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jc w:val="center"/>
      </w:pPr>
      <w:r>
        <w:rPr>
          <w:rFonts w:ascii="Times New Roman" w:hAnsi="Times New Roman"/>
          <w:b/>
          <w:i w:val="0"/>
          <w:color w:val="000000"/>
          <w:sz w:val="28"/>
        </w:rPr>
        <w:t>A PROJECT REPORT</w:t>
      </w:r>
    </w:p>
    <w:p>
      <w:pPr>
        <w:spacing w:line="360" w:lineRule="auto" w:after="120"/>
        <w:jc w:val="center"/>
      </w:pPr>
      <w:r>
        <w:rPr>
          <w:rFonts w:ascii="Times New Roman" w:hAnsi="Times New Roman"/>
          <w:b/>
          <w:i w:val="0"/>
          <w:color w:val="000000"/>
          <w:sz w:val="24"/>
        </w:rPr>
        <w:t>ON</w:t>
      </w:r>
    </w:p>
    <w:p>
      <w:pPr>
        <w:spacing w:line="360" w:lineRule="auto" w:after="360"/>
        <w:jc w:val="center"/>
      </w:pPr>
      <w:r>
        <w:rPr>
          <w:rFonts w:ascii="Times New Roman" w:hAnsi="Times New Roman"/>
          <w:b/>
          <w:i w:val="0"/>
          <w:color w:val="000000"/>
          <w:sz w:val="28"/>
        </w:rPr>
        <w:t>AiSOC: AN AUTONOMOUS, OPEN-SOURCE, MULTI-AGENT SECURITY OPERATIONS CENTER (SOC) PLATFORM WITH KNOWLEDGE-GRAPH ENRICHMENT AND CLOSED-LOOP TRIAGE</w:t>
      </w:r>
    </w:p>
    <w:p>
      <w:pPr>
        <w:spacing w:line="360" w:lineRule="auto" w:after="40"/>
        <w:jc w:val="center"/>
      </w:pPr>
      <w:r>
        <w:rPr>
          <w:rFonts w:ascii="Times New Roman" w:hAnsi="Times New Roman"/>
          <w:b w:val="0"/>
          <w:i/>
          <w:color w:val="000000"/>
          <w:sz w:val="22"/>
        </w:rPr>
        <w:t>Submitted in partial fulfillment of the requirements for the award of the degree of</w:t>
      </w:r>
    </w:p>
    <w:p>
      <w:pPr>
        <w:spacing w:line="360" w:lineRule="auto" w:after="40"/>
        <w:jc w:val="center"/>
      </w:pPr>
      <w:r>
        <w:rPr>
          <w:rFonts w:ascii="Times New Roman" w:hAnsi="Times New Roman"/>
          <w:b/>
          <w:i w:val="0"/>
          <w:color w:val="000000"/>
          <w:sz w:val="28"/>
        </w:rPr>
        <w:t>BACHELOR OF TECHNOLOGY</w:t>
      </w:r>
    </w:p>
    <w:p>
      <w:pPr>
        <w:spacing w:line="360" w:lineRule="auto" w:after="40"/>
        <w:jc w:val="center"/>
      </w:pPr>
      <w:r>
        <w:rPr>
          <w:rFonts w:ascii="Times New Roman" w:hAnsi="Times New Roman"/>
          <w:b/>
          <w:i w:val="0"/>
          <w:color w:val="000000"/>
          <w:sz w:val="22"/>
        </w:rPr>
        <w:t>IN</w:t>
      </w:r>
    </w:p>
    <w:p>
      <w:pPr>
        <w:spacing w:line="360" w:lineRule="auto" w:after="480"/>
        <w:jc w:val="center"/>
      </w:pPr>
      <w:r>
        <w:rPr>
          <w:rFonts w:ascii="Times New Roman" w:hAnsi="Times New Roman"/>
          <w:b/>
          <w:i w:val="0"/>
          <w:color w:val="000000"/>
          <w:sz w:val="24"/>
        </w:rPr>
        <w:t>COMPUTER SCIENCE AND ENGINEERING / CYBER SECURITY</w:t>
      </w:r>
    </w:p>
    <w:p>
      <w:pPr>
        <w:spacing w:line="360" w:lineRule="auto" w:after="40"/>
        <w:jc w:val="center"/>
      </w:pPr>
      <w:r>
        <w:rPr>
          <w:rFonts w:ascii="Times New Roman" w:hAnsi="Times New Roman"/>
          <w:b/>
          <w:i w:val="0"/>
          <w:color w:val="000000"/>
          <w:sz w:val="22"/>
        </w:rPr>
        <w:t>Submitted by:</w:t>
      </w:r>
    </w:p>
    <w:p>
      <w:pPr>
        <w:spacing w:line="360" w:lineRule="auto" w:after="480"/>
        <w:jc w:val="center"/>
      </w:pPr>
      <w:r>
        <w:rPr>
          <w:rFonts w:ascii="Times New Roman" w:hAnsi="Times New Roman"/>
          <w:b/>
          <w:i w:val="0"/>
          <w:color w:val="000000"/>
          <w:sz w:val="24"/>
        </w:rPr>
        <w:t>STUDENT NAME: [Candidate Name]</w:t>
        <w:br/>
        <w:t>UNIVERSITY ROLL NO: [University Roll Number]</w:t>
        <w:br/>
        <w:t>REGISTER NUMBER: [Register Number]</w:t>
      </w:r>
    </w:p>
    <w:p>
      <w:pPr>
        <w:spacing w:line="360" w:lineRule="auto" w:after="40"/>
        <w:jc w:val="center"/>
      </w:pPr>
      <w:r>
        <w:rPr>
          <w:rFonts w:ascii="Times New Roman" w:hAnsi="Times New Roman"/>
          <w:b/>
          <w:i w:val="0"/>
          <w:color w:val="000000"/>
          <w:sz w:val="22"/>
        </w:rPr>
        <w:t>Under the Guidance of:</w:t>
      </w:r>
    </w:p>
    <w:p>
      <w:pPr>
        <w:spacing w:line="360" w:lineRule="auto" w:after="600"/>
        <w:jc w:val="center"/>
      </w:pPr>
      <w:r>
        <w:rPr>
          <w:rFonts w:ascii="Times New Roman" w:hAnsi="Times New Roman"/>
          <w:b/>
          <w:i w:val="0"/>
          <w:color w:val="000000"/>
          <w:sz w:val="24"/>
        </w:rPr>
        <w:t>PROJECT SUPERVISOR: [Supervisor Name, Designation]</w:t>
        <w:br/>
        <w:t>Department of Computer Science and Engineering</w:t>
      </w:r>
    </w:p>
    <w:p>
      <w:pPr>
        <w:spacing w:line="360" w:lineRule="auto" w:after="0"/>
        <w:jc w:val="center"/>
      </w:pPr>
      <w:r>
        <w:rPr>
          <w:rFonts w:ascii="Times New Roman" w:hAnsi="Times New Roman"/>
          <w:b/>
          <w:i w:val="0"/>
          <w:color w:val="000000"/>
          <w:sz w:val="24"/>
        </w:rPr>
        <w:t>DEPARTMENT OF COMPUTER SCIENCE AND ENGINEERING</w:t>
        <w:br/>
        <w:t>[COLLEGE / UNIVERSITY NAME]</w:t>
        <w:br/>
        <w:t>[CAMPUS ADDRESS / CITY, STATE, PIN]</w:t>
        <w:br/>
        <w:t>ACADEMIC YEAR: 2025–2026</w:t>
      </w:r>
    </w:p>
    <w:p>
      <w:r>
        <w:br w:type="page"/>
      </w:r>
    </w:p>
    <w:p>
      <w:pPr>
        <w:spacing w:before="400" w:after="240" w:line="360" w:lineRule="auto"/>
        <w:jc w:val="center"/>
      </w:pPr>
      <w:r>
        <w:rPr>
          <w:rFonts w:ascii="Times New Roman" w:hAnsi="Times New Roman"/>
          <w:b/>
          <w:color w:val="000000"/>
          <w:sz w:val="28"/>
        </w:rPr>
        <w:t>BONAFIDE CERTIFICATE</w:t>
      </w:r>
    </w:p>
    <w:p>
      <w:pPr>
        <w:spacing w:line="360" w:lineRule="auto" w:after="120"/>
        <w:jc w:val="both"/>
      </w:pPr>
      <w:r>
        <w:rPr>
          <w:rFonts w:ascii="Times New Roman" w:hAnsi="Times New Roman"/>
          <w:b w:val="0"/>
          <w:i w:val="0"/>
          <w:color w:val="000000"/>
          <w:sz w:val="24"/>
        </w:rPr>
        <w:t>Certified that this project report titled "AiSOC: AN AUTONOMOUS, OPEN-SOURCE, MULTI-AGENT SECURITY OPERATIONS CENTER (SOC) PLATFORM WITH KNOWLEDGE-GRAPH ENRICHMENT AND CLOSED-LOOP TRIAGE" is the bonafide work of [STUDENT NAME] (Register No: [Register Number]), who carried out the mini-project work under my supervision in partial fulfillment of the requirements for the award of the degree of Bachelor of Technology in Computer Science and Engineering / Cyber Security of [University Name].</w:t>
      </w:r>
    </w:p>
    <w:p>
      <w:pPr>
        <w:spacing w:line="360" w:lineRule="auto" w:after="120"/>
        <w:jc w:val="both"/>
      </w:pPr>
      <w:r>
        <w:rPr>
          <w:rFonts w:ascii="Times New Roman" w:hAnsi="Times New Roman"/>
          <w:b w:val="0"/>
          <w:i w:val="0"/>
          <w:color w:val="000000"/>
          <w:sz w:val="24"/>
        </w:rPr>
        <w:t>This report represents original work carried out by the candidate and has not been submitted elsewhere for the award of any degree, diploma, associateship, fellowship, or other similar title.</w:t>
      </w:r>
    </w:p>
    <w:p>
      <w:pPr>
        <w:spacing w:line="360" w:lineRule="auto" w:after="120"/>
        <w:jc w:val="both"/>
      </w:pPr>
      <w:r>
        <w:rPr>
          <w:rFonts w:ascii="Times New Roman" w:hAnsi="Times New Roman"/>
          <w:b w:val="0"/>
          <w:i w:val="0"/>
          <w:color w:val="000000"/>
          <w:sz w:val="24"/>
        </w:rPr>
        <w:br/>
        <w:br/>
      </w:r>
    </w:p>
    <w:tbl>
      <w:tblPr>
        <w:tblW w:type="auto" w:w="0"/>
        <w:jc w:val="center"/>
        <w:tblLook w:firstColumn="1" w:firstRow="1" w:lastColumn="0" w:lastRow="0" w:noHBand="0" w:noVBand="1" w:val="04A0"/>
      </w:tblPr>
      <w:tblGrid>
        <w:gridCol w:w="4677"/>
        <w:gridCol w:w="4677"/>
      </w:tblGrid>
      <w:tr>
        <w:tc>
          <w:tcPr>
            <w:tcW w:type="dxa" w:w="4608"/>
          </w:tcPr>
          <w:p>
            <w:pPr>
              <w:spacing w:line="312" w:lineRule="auto"/>
            </w:pPr>
            <w:r>
              <w:rPr>
                <w:rFonts w:ascii="Times New Roman" w:hAnsi="Times New Roman"/>
              </w:rPr>
              <w:t>______________________________</w:t>
              <w:br/>
              <w:t>PROJECT GUIDE / SUPERVISOR</w:t>
              <w:br/>
              <w:t>[Supervisor Name &amp; Academic Rank]</w:t>
              <w:br/>
              <w:t>Department of Computer Science &amp; Engg.</w:t>
              <w:br/>
              <w:t>[Institution Name]</w:t>
            </w:r>
          </w:p>
        </w:tc>
        <w:tc>
          <w:tcPr>
            <w:tcW w:type="dxa" w:w="4608"/>
          </w:tcPr>
          <w:p>
            <w:pPr>
              <w:spacing w:line="312" w:lineRule="auto"/>
            </w:pPr>
            <w:r>
              <w:rPr>
                <w:rFonts w:ascii="Times New Roman" w:hAnsi="Times New Roman"/>
              </w:rPr>
              <w:t>______________________________</w:t>
              <w:br/>
              <w:t>HEAD OF THE DEPARTMENT (HOD)</w:t>
              <w:br/>
              <w:t>[HOD Name &amp; Academic Rank]</w:t>
              <w:br/>
              <w:t>Department of Computer Science &amp; Engg.</w:t>
              <w:br/>
              <w:t>[Institution Name]</w:t>
            </w:r>
          </w:p>
        </w:tc>
      </w:tr>
    </w:tbl>
    <w:p>
      <w:pPr>
        <w:spacing w:line="360" w:lineRule="auto" w:after="120"/>
        <w:jc w:val="both"/>
      </w:pPr>
      <w:r>
        <w:rPr>
          <w:rFonts w:ascii="Times New Roman" w:hAnsi="Times New Roman"/>
          <w:b w:val="0"/>
          <w:i w:val="0"/>
          <w:color w:val="000000"/>
          <w:sz w:val="24"/>
        </w:rPr>
        <w:br/>
        <w:br/>
        <w:t>Submitted for the Mini Project Viva-Voce Examination held on: ____________________</w:t>
        <w:br/>
        <w:br/>
      </w:r>
    </w:p>
    <w:tbl>
      <w:tblPr>
        <w:tblW w:type="auto" w:w="0"/>
        <w:jc w:val="center"/>
        <w:tblLook w:firstColumn="1" w:firstRow="1" w:lastColumn="0" w:lastRow="0" w:noHBand="0" w:noVBand="1" w:val="04A0"/>
      </w:tblPr>
      <w:tblGrid>
        <w:gridCol w:w="4677"/>
        <w:gridCol w:w="4677"/>
      </w:tblGrid>
      <w:tr>
        <w:tc>
          <w:tcPr>
            <w:tcW w:type="dxa" w:w="4608"/>
          </w:tcPr>
          <w:p>
            <w:r>
              <w:rPr>
                <w:rFonts w:ascii="Times New Roman" w:hAnsi="Times New Roman"/>
              </w:rPr>
              <w:t>______________________________</w:t>
              <w:br/>
              <w:t>INTERNAL EXAMINER</w:t>
            </w:r>
          </w:p>
        </w:tc>
        <w:tc>
          <w:tcPr>
            <w:tcW w:type="dxa" w:w="4608"/>
          </w:tcPr>
          <w:p>
            <w:r>
              <w:rPr>
                <w:rFonts w:ascii="Times New Roman" w:hAnsi="Times New Roman"/>
              </w:rPr>
              <w:t>______________________________</w:t>
              <w:br/>
              <w:t>EXTERNAL EXAMINER</w:t>
            </w:r>
          </w:p>
        </w:tc>
      </w:tr>
    </w:tbl>
    <w:p>
      <w:r>
        <w:br w:type="page"/>
      </w:r>
    </w:p>
    <w:p>
      <w:pPr>
        <w:spacing w:before="400" w:after="240" w:line="360" w:lineRule="auto"/>
        <w:jc w:val="center"/>
      </w:pPr>
      <w:r>
        <w:rPr>
          <w:rFonts w:ascii="Times New Roman" w:hAnsi="Times New Roman"/>
          <w:b/>
          <w:color w:val="000000"/>
          <w:sz w:val="28"/>
        </w:rPr>
        <w:t>STANDARDS TABLE</w:t>
      </w:r>
    </w:p>
    <w:p>
      <w:pPr>
        <w:spacing w:line="360" w:lineRule="auto" w:after="120"/>
        <w:jc w:val="both"/>
      </w:pPr>
      <w:r>
        <w:rPr>
          <w:rFonts w:ascii="Times New Roman" w:hAnsi="Times New Roman"/>
          <w:b w:val="0"/>
          <w:i w:val="0"/>
          <w:color w:val="000000"/>
          <w:sz w:val="24"/>
        </w:rPr>
        <w:t>The AiSOC platform is designed, engineered, and evaluated in strict compliance with globally recognized international cybersecurity, data modeling, architectural, and procedural standards:</w:t>
      </w:r>
    </w:p>
    <w:tbl>
      <w:tblPr>
        <w:tblW w:type="auto" w:w="0"/>
        <w:jc w:val="center"/>
        <w:tblLook w:firstColumn="1" w:firstRow="1" w:lastColumn="0" w:lastRow="0" w:noHBand="0" w:noVBand="1" w:val="04A0"/>
      </w:tblPr>
      <w:tblGrid>
        <w:gridCol w:w="3118"/>
        <w:gridCol w:w="3118"/>
        <w:gridCol w:w="3118"/>
      </w:tblGrid>
      <w:tr>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Standard Identifier</w:t>
            </w:r>
          </w:p>
        </w:tc>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Issuing Organization</w:t>
            </w:r>
          </w:p>
        </w:tc>
        <w:tc>
          <w:tcPr>
            <w:tcW w:type="dxa" w:w="403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Application Domain in AiSOC Architecture</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OCSF v1.1.0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Linux Foundation / Open Source</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Universal event normalization across disparate telemetry sources (EDR, Cloud, Network, Identity).</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MITRE ATT&amp;CK® v14.1</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MITRE Corporation</w:t>
            </w:r>
          </w:p>
        </w:tc>
        <w:tc>
          <w:tcPr>
            <w:tcW w:type="dxa" w:w="403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Adversarial TTP tagging, threat matrix indexing, and semantic attack chain mapping.</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STIX™ v2.1 / TAXII™ v2.1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OASIS Standard</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Structured threat intelligence exchange, IOC/Threat Actor representation, and automated feed consumption.</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NIST SP 800-61 Rev. 2</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NIST (USA)</w:t>
            </w:r>
          </w:p>
        </w:tc>
        <w:tc>
          <w:tcPr>
            <w:tcW w:type="dxa" w:w="403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Computer security incident response lifecycle alignment (Detect, Triage, Contain, Remediate).</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RFC 6749 / RFC 7519</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IETF Standard</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OAuth 2.0 Authorization Framework and JSON Web Tokens (JWT) for multi-tenant API security.</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RFC 5424 / CEF</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IETF / ArcSight</w:t>
            </w:r>
          </w:p>
        </w:tc>
        <w:tc>
          <w:tcPr>
            <w:tcW w:type="dxa" w:w="403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Common Event Format (CEF) and Syslog protocol universal ingest interfaces.</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W3C Web Push / RFC 8030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W3C / IETF</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Real-time incident notifications, VAPID handshakes, and on-call analyst escalation.</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ISO/IEC 27001:2022</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ISO / IEC</w:t>
            </w:r>
          </w:p>
        </w:tc>
        <w:tc>
          <w:tcPr>
            <w:tcW w:type="dxa" w:w="403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Audit logging, cryptographic credential vaulting (AES-128-CBC), and tenant data isolation.</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Semantic Versioning 2.0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SemVer</w:t>
            </w:r>
          </w:p>
        </w:tc>
        <w:tc>
          <w:tcPr>
            <w:tcW w:type="dxa" w:w="403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Deterministic lifecycle tracking for detection rules, playbooks, connectors, and services.</w:t>
            </w:r>
          </w:p>
        </w:tc>
      </w:tr>
    </w:tbl>
    <w:p>
      <w:pPr>
        <w:spacing w:after="120"/>
      </w:pPr>
    </w:p>
    <w:p>
      <w:r>
        <w:br w:type="page"/>
      </w:r>
    </w:p>
    <w:p>
      <w:pPr>
        <w:spacing w:before="400" w:after="240" w:line="360" w:lineRule="auto"/>
        <w:jc w:val="center"/>
      </w:pPr>
      <w:r>
        <w:rPr>
          <w:rFonts w:ascii="Times New Roman" w:hAnsi="Times New Roman"/>
          <w:b/>
          <w:color w:val="000000"/>
          <w:sz w:val="28"/>
        </w:rPr>
        <w:t>ACKNOWLEDGEMENT</w:t>
      </w:r>
    </w:p>
    <w:p>
      <w:pPr>
        <w:spacing w:line="360" w:lineRule="auto" w:after="120"/>
        <w:jc w:val="both"/>
      </w:pPr>
      <w:r>
        <w:rPr>
          <w:rFonts w:ascii="Times New Roman" w:hAnsi="Times New Roman"/>
          <w:b w:val="0"/>
          <w:i w:val="0"/>
          <w:color w:val="000000"/>
          <w:sz w:val="24"/>
        </w:rPr>
        <w:t>First and foremost, I express my deepest gratitude to the Almighty for bestowing the wisdom, strength, clarity of thought, and perseverance required to conceptualize, design, and implement this comprehensive mini-project work successfully.</w:t>
      </w:r>
    </w:p>
    <w:p>
      <w:pPr>
        <w:spacing w:line="360" w:lineRule="auto" w:after="120"/>
        <w:jc w:val="both"/>
      </w:pPr>
      <w:r>
        <w:rPr>
          <w:rFonts w:ascii="Times New Roman" w:hAnsi="Times New Roman"/>
          <w:b w:val="0"/>
          <w:i w:val="0"/>
          <w:color w:val="000000"/>
          <w:sz w:val="24"/>
        </w:rPr>
        <w:t>I express my heartfelt gratitude and sincere thanks to our esteemed Principal / Dean, [Dean/Principal Name], for providing state-of-the-art computational infrastructure, high-speed laboratory connectivity, and an inspiring academic atmosphere conducive to advanced cybersecurity research.</w:t>
      </w:r>
    </w:p>
    <w:p>
      <w:pPr>
        <w:spacing w:line="360" w:lineRule="auto" w:after="120"/>
        <w:jc w:val="both"/>
      </w:pPr>
      <w:r>
        <w:rPr>
          <w:rFonts w:ascii="Times New Roman" w:hAnsi="Times New Roman"/>
          <w:b w:val="0"/>
          <w:i w:val="0"/>
          <w:color w:val="000000"/>
          <w:sz w:val="24"/>
        </w:rPr>
        <w:t>I extend my profound gratitude to [HOD Name], Professor and Head of the Department of Computer Science and Engineering, for his continuous encouragement, academic administrative support, and invaluable advice throughout the development of this project.</w:t>
      </w:r>
    </w:p>
    <w:p>
      <w:pPr>
        <w:spacing w:line="360" w:lineRule="auto" w:after="120"/>
        <w:jc w:val="both"/>
      </w:pPr>
      <w:r>
        <w:rPr>
          <w:rFonts w:ascii="Times New Roman" w:hAnsi="Times New Roman"/>
          <w:b w:val="0"/>
          <w:i w:val="0"/>
          <w:color w:val="000000"/>
          <w:sz w:val="24"/>
        </w:rPr>
        <w:t>I register my special and heartfelt thanks to my project supervisor, [Supervisor Name], [Designation], Department of Computer Science and Engineering, for his insightful guidance, relentless technical reviews, architectural critiques, and constant motivation during the mathematical formulation and software development lifecycle of this project.</w:t>
      </w:r>
    </w:p>
    <w:p>
      <w:pPr>
        <w:spacing w:line="360" w:lineRule="auto" w:after="120"/>
        <w:jc w:val="both"/>
      </w:pPr>
      <w:r>
        <w:rPr>
          <w:rFonts w:ascii="Times New Roman" w:hAnsi="Times New Roman"/>
          <w:b w:val="0"/>
          <w:i w:val="0"/>
          <w:color w:val="000000"/>
          <w:sz w:val="24"/>
        </w:rPr>
        <w:t>I also extend my sincere appreciation to all faculty members, technical laboratory assistants, and administrative staff of the Department of Computer Science and Engineering for their direct and indirect cooperation.</w:t>
      </w:r>
    </w:p>
    <w:p>
      <w:pPr>
        <w:spacing w:line="360" w:lineRule="auto" w:after="120"/>
        <w:jc w:val="both"/>
      </w:pPr>
      <w:r>
        <w:rPr>
          <w:rFonts w:ascii="Times New Roman" w:hAnsi="Times New Roman"/>
          <w:b w:val="0"/>
          <w:i w:val="0"/>
          <w:color w:val="000000"/>
          <w:sz w:val="24"/>
        </w:rPr>
        <w:t>Finally, I am profoundly indebted to my parents, family members, and peers for their unceasing moral support, patience, understanding, and encouragement throughout my academic journey.</w:t>
      </w:r>
    </w:p>
    <w:p>
      <w:pPr>
        <w:spacing w:line="360" w:lineRule="auto" w:after="120"/>
        <w:jc w:val="both"/>
      </w:pPr>
      <w:r>
        <w:rPr>
          <w:rFonts w:ascii="Times New Roman" w:hAnsi="Times New Roman"/>
          <w:b/>
          <w:i w:val="0"/>
          <w:color w:val="000000"/>
          <w:sz w:val="24"/>
        </w:rPr>
        <w:br/>
        <w:br/>
        <w:t>[STUDENT NAME]</w:t>
        <w:br/>
        <w:t>Roll No: [University Roll Number]</w:t>
      </w:r>
    </w:p>
    <w:p>
      <w:r>
        <w:br w:type="page"/>
      </w:r>
    </w:p>
    <w:p>
      <w:pPr>
        <w:spacing w:before="400" w:after="240" w:line="360" w:lineRule="auto"/>
        <w:jc w:val="center"/>
      </w:pPr>
      <w:r>
        <w:rPr>
          <w:rFonts w:ascii="Times New Roman" w:hAnsi="Times New Roman"/>
          <w:b/>
          <w:color w:val="000000"/>
          <w:sz w:val="28"/>
        </w:rPr>
        <w:t>ABSTRACT</w:t>
      </w:r>
    </w:p>
    <w:p>
      <w:pPr>
        <w:spacing w:line="360" w:lineRule="auto" w:after="120"/>
        <w:jc w:val="both"/>
      </w:pPr>
      <w:r>
        <w:rPr>
          <w:rFonts w:ascii="Times New Roman" w:hAnsi="Times New Roman"/>
          <w:b w:val="0"/>
          <w:i w:val="0"/>
          <w:color w:val="000000"/>
          <w:sz w:val="24"/>
        </w:rPr>
        <w:t>Contemporary enterprise Security Operations Centers (SOCs) face an acute operational crisis driven by catastrophic alert volume, complex multi-cloud attack surfaces, sophisticated cyber adversaries, and a chronic shortage of skilled Tier-1 and Tier-2 cybersecurity analysts. Traditional Security Information and Event Management (SIEM) and Security Orchestration, Automation, and Response (SOAR) platforms operate primarily on rigid, static regex/rule evaluations that lack semantic context, generating over 80% false positives and causing widespread analyst burnout ("alert fatigue").</w:t>
      </w:r>
    </w:p>
    <w:p>
      <w:pPr>
        <w:spacing w:line="360" w:lineRule="auto" w:after="120"/>
        <w:jc w:val="both"/>
      </w:pPr>
      <w:r>
        <w:rPr>
          <w:rFonts w:ascii="Times New Roman" w:hAnsi="Times New Roman"/>
          <w:b w:val="0"/>
          <w:i w:val="0"/>
          <w:color w:val="000000"/>
          <w:sz w:val="24"/>
        </w:rPr>
        <w:t>To resolve these systemic bottlenecks, this project presents AiSOC, an end-to-end, open-source, multi-agent AI-powered Security Operations Center. AiSOC transforms reactive log collection into an autonomous, closed-loop investigation and containment ecosystem. Telemetry from endpoint detection and response (EDR), cloud audit logs, identity providers, and network sensors is ingested through a high-throughput Go-based pipeline, normalized into the Open Cybersecurity Schema Framework (OCSF v1.1.0), and tagged with MITRE ATT&amp;CK techniques in sub-millisecond latencies.</w:t>
      </w:r>
    </w:p>
    <w:p>
      <w:pPr>
        <w:spacing w:line="360" w:lineRule="auto" w:after="120"/>
        <w:jc w:val="both"/>
      </w:pPr>
      <w:r>
        <w:rPr>
          <w:rFonts w:ascii="Times New Roman" w:hAnsi="Times New Roman"/>
          <w:b w:val="0"/>
          <w:i w:val="0"/>
          <w:color w:val="000000"/>
          <w:sz w:val="24"/>
        </w:rPr>
        <w:t>A hybrid correlation engine combines 64-bit Simhash locality-sensitive hashing for deduplication with a dual-stage machine learning scorer (Isolation Forest for anomaly estimation and LightGBM LambdaRank for context-weighted priority calculation). Connected entities and kill chains are projected onto an in-memory Neo4j Knowledge Graph, enabling 3-hop blast-radius traversal and graph-based correlation. Automated triage, deep-dive forensic queries, and threat hunting are orchestrated across a directed acyclic graph (DAG) of specialized LangGraph LLM agents (DetectAgent, TriageAgent, HuntAgent, and RespondAgent). High-impact containment actions are strictly governed by blast-radius safety gates across an L0–L4 automation maturity model.</w:t>
      </w:r>
    </w:p>
    <w:p>
      <w:pPr>
        <w:spacing w:line="360" w:lineRule="auto" w:after="120"/>
        <w:jc w:val="both"/>
      </w:pPr>
      <w:r>
        <w:rPr>
          <w:rFonts w:ascii="Times New Roman" w:hAnsi="Times New Roman"/>
          <w:b w:val="0"/>
          <w:i w:val="0"/>
          <w:color w:val="000000"/>
          <w:sz w:val="24"/>
        </w:rPr>
        <w:t>Benchmarked against an enterprise evaluation suite of 200 synthetic and empirical incident datasets across five standard attack classes (Lateral Movement, AWS Credential Exfiltration, Kubernetes Privilege Escalation, GitHub Token Compromise, and Phishing), AiSOC achieves an 85.5% reduction in alert noise, compresses investigation MTTR from 45 minutes to under 1.2 seconds, and achieves 94.2% MITRE ATT&amp;CK tactical mapping accuracy. The complete platform features a responsive Next.js 14 console, offline simulation sandbox, automated reporting, and air-gapped local LLM deployment capabilities.</w:t>
      </w:r>
    </w:p>
    <w:p>
      <w:pPr>
        <w:spacing w:line="360" w:lineRule="auto" w:after="120"/>
        <w:jc w:val="both"/>
      </w:pPr>
      <w:r>
        <w:rPr>
          <w:rFonts w:ascii="Times New Roman" w:hAnsi="Times New Roman"/>
          <w:b/>
          <w:i/>
          <w:color w:val="000000"/>
          <w:sz w:val="24"/>
        </w:rPr>
        <w:t>Keywords: Security Operations Center (SOC), Multi-Agent Systems, LangGraph, OCSF, MITRE ATT&amp;CK, Knowledge Graph, Alert Fusion, SOAR, Machine Learning, Threat Hunting.</w:t>
      </w:r>
    </w:p>
    <w:p>
      <w:r>
        <w:br w:type="page"/>
      </w:r>
    </w:p>
    <w:p>
      <w:pPr>
        <w:spacing w:before="400" w:after="240" w:line="360" w:lineRule="auto"/>
        <w:jc w:val="center"/>
      </w:pPr>
      <w:r>
        <w:rPr>
          <w:rFonts w:ascii="Times New Roman" w:hAnsi="Times New Roman"/>
          <w:b/>
          <w:color w:val="000000"/>
          <w:sz w:val="28"/>
        </w:rPr>
        <w:t>TABLE OF CONTENTS</w:t>
      </w:r>
    </w:p>
    <w:tbl>
      <w:tblPr>
        <w:tblW w:type="auto" w:w="0"/>
        <w:jc w:val="center"/>
        <w:tblLook w:firstColumn="1" w:firstRow="1" w:lastColumn="0" w:lastRow="0" w:noHBand="0" w:noVBand="1" w:val="04A0"/>
      </w:tblPr>
      <w:tblGrid>
        <w:gridCol w:w="3118"/>
        <w:gridCol w:w="3118"/>
        <w:gridCol w:w="3118"/>
      </w:tblGrid>
      <w:tr>
        <w:tc>
          <w:tcPr>
            <w:tcW w:type="dxa" w:w="172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Chapter No.</w:t>
            </w:r>
          </w:p>
        </w:tc>
        <w:tc>
          <w:tcPr>
            <w:tcW w:type="dxa" w:w="604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Chapter Title / Section</w:t>
            </w:r>
          </w:p>
        </w:tc>
        <w:tc>
          <w:tcPr>
            <w:tcW w:type="dxa" w:w="144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Page No.</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BONAFIDE CERTIFICATE</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ii</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STANDARDS TABLE</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iii</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ACKNOWLEDGEMENT</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iv</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ABSTRACT</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v</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LIST OF TABLES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viii</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LIST OF FIGURES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ix</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LIST OF SYMBOLS AND ABBREVIATIONS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x</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INTRODUCTION</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1.1 Broad Area of the Project</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1.2 Problem Statement</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3</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1.3 Motivation</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1.4 Objectives of the Project</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1.5 Ethical, Social, and Professional Issues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9</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1.6 Enterprise Threat Landscape &amp; Regulatory Frameworks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11</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1.7 System Feasibility Analysis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12</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1.8 Project Deliverables and Scope Boundaries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13</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1.9 Expected Socio-Economic and Enterprise Impacts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14</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1.10 Report Organization</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15</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LITERATURE SURVEY</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16</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2.1 Evolution of SIEM, SOAR, and Modern SOC Architecture</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16</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2.2 Telemetry Normalization and Taxonomic Frameworks (OCSF, CEF, ECS)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19</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2.3 Machine Learning and Heuristics in Alert Triage and Deduplication</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22</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2.4 Knowledge Graphs and Graph Neural Networks for Attack Path Tracing</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25</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2.5 Multi-Agent Large Language Model (LLM) Orchestration in Cybersecurity</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28</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2.6 Summary of Literature Gaps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31</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3</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EXISTING SYSTEM</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33</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3.1 Overview of Current Enterprise SOC Workflows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33</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3.2 Architectural Bottlenecks and Deficiencies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36</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3.3 Quantitative Deficiencies (MTTA, MTTR, False Positive Rates)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39</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3.4 Disadvantages of the Existing System</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41</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PROPOSED SYSTEM</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43</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4.1 System Overview and Vision</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43</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4.2 System Architecture and High-Level Topology</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46</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4.3 Key Architectural Modules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49</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4.4 Unified Modeling Language (UML) Diagrams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53</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 xml:space="preserve">    4.4.1 Use Case Diagram</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53</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 xml:space="preserve">    4.4.2 Class Diagram</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56</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 xml:space="preserve">    4.4.3 Sequence Diagram (Alert Ingest to Automated Containment)</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59</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 xml:space="preserve">    4.4.4 Activity Diagram (Multi-Agent Investigation Cycle)</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62</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 xml:space="preserve">    4.4.5 State Machine Diagram (Case and Alert Lifecycle)</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65</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4.5 Engineering and Security Standards Adopted</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68</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5</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SYSTEM SPECIFICATION</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71</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5.1 Hardware Requirements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71</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5.2 Software Requirements and Runtimes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73</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5.3 Frameworks, Libraries, and External Services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76</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5.4 Database and Streaming Storage Engines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79</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5.5 Cryptographic Network Security &amp; Cipher Configurations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81</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IMPLEMENTATION</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83</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6.1 Data Ingestion and OCSF Normalization Engine (services/ingest)</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83</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6.2 Threat Intelligence and IOC Aggregation Pipeline (services/threatintel)</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87</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6.3 Alert Fusion, Simhash Deduplication, and ML Scoring (services/fusion)</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91</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6.4 Neo4j Knowledge Graph and Attack-Path Traversal (services/api)</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96</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6.5 Multi-Agent Orchestrator DAG with LangGraph (services/agents)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101</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6.6 Blast-Radius Gating and Automated Response Engine (services/actions)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106</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6.7 Credential Vaulting &amp; AST Rules Engine Security</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109</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6.8 Visual SOAR Playbook Studio with Edge Validation</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111</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6.9 Air-Gapped Local LLM &amp; Quantization Overlay</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113</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6.10 Prompt Injection Guard and LLM Input Sanitization</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115</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6.11 Real-time WebSocket Gateway and Next.js 14 Web Console (apps/web)</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117</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6.12 Offline Agent Sandbox and Evaluation Harness (packages/aisoc-sandbox)</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120</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7</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RESULT AND CONCLUSION</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123</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7.1 Experimental Setup and Dataset Description</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123</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7.2 Performance Evaluation Metrics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126</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7.3 Comparative Results and Benchmark Findings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129</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7.4 Qualitative Analysis of Investigation Cases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133</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7.5 Ablation Study on Fusion and ML Parameters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138</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7.6 Conclusion</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140</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7.7 Future Scope and Enhancements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142</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REFERENCES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144</w:t>
            </w:r>
          </w:p>
        </w:tc>
      </w:tr>
    </w:tbl>
    <w:p>
      <w:pPr>
        <w:spacing w:after="120"/>
      </w:pPr>
    </w:p>
    <w:p>
      <w:r>
        <w:br w:type="page"/>
      </w:r>
    </w:p>
    <w:p>
      <w:pPr>
        <w:spacing w:before="400" w:after="240" w:line="360" w:lineRule="auto"/>
        <w:jc w:val="center"/>
      </w:pPr>
      <w:r>
        <w:rPr>
          <w:rFonts w:ascii="Times New Roman" w:hAnsi="Times New Roman"/>
          <w:b/>
          <w:color w:val="000000"/>
          <w:sz w:val="28"/>
        </w:rPr>
        <w:t>LIST OF TABLES</w:t>
      </w:r>
    </w:p>
    <w:tbl>
      <w:tblPr>
        <w:tblW w:type="auto" w:w="0"/>
        <w:jc w:val="center"/>
        <w:tblLook w:firstColumn="1" w:firstRow="1" w:lastColumn="0" w:lastRow="0" w:noHBand="0" w:noVBand="1" w:val="04A0"/>
      </w:tblPr>
      <w:tblGrid>
        <w:gridCol w:w="3118"/>
        <w:gridCol w:w="3118"/>
        <w:gridCol w:w="3118"/>
      </w:tblGrid>
      <w:tr>
        <w:tc>
          <w:tcPr>
            <w:tcW w:type="dxa" w:w="172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Table No.</w:t>
            </w:r>
          </w:p>
        </w:tc>
        <w:tc>
          <w:tcPr>
            <w:tcW w:type="dxa" w:w="604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Table Title</w:t>
            </w:r>
          </w:p>
        </w:tc>
        <w:tc>
          <w:tcPr>
            <w:tcW w:type="dxa" w:w="144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Page No.</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2.1</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Comparative Analysis of Telemetry Normalization Formats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20</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2.2</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Summary of Related Works and Algorithmic Approaches in SOC Automation</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32</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3.1</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Baseline Performance Metrics of Traditional Tier-1 SOC Operations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40</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4.1</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Microservice Matrix and Language Runtimes in AiSOC</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50</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4.2</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L0–L4 Automation Maturity Model Specification and Gating Rules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69</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5.1</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Minimum and Recommended Hardware Specifications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72</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5.2</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Software Stack, Language Runtimes, and Engineering Toolchain</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74</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5.3</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Persistence, Streaming, and Caching Storage Engine Specifications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80</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6.1</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OCSF Schema Class Mapping for Heterogeneous Ingested Telemetry</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85</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6.2</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Threat Intelligence Feed Adapters, Protocols, and Update Intervals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89</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6.3</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Feature Vector Encoding for Isolation Forest and LightGBM Alert Prioritization</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93</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6.4</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Neo4j Knowledge Graph Entity Node Labels and Relationship Semantics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98</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6.5</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Specialized AI Agent Roles, Tools, and Sub-graph Responsibilities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103</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7.1</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Benchmark Evaluation Scenario Dataset Characteristics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124</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7.2</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Quantitative Evaluation Results Across Standard Attack Scenarios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130</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7.3</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Comprehensive Performance Matrix: Traditional SOC vs. SIEM vs. AiSOC</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132</w:t>
            </w:r>
          </w:p>
        </w:tc>
      </w:tr>
    </w:tbl>
    <w:p>
      <w:pPr>
        <w:spacing w:after="120"/>
      </w:pPr>
    </w:p>
    <w:p>
      <w:r>
        <w:br w:type="page"/>
      </w:r>
    </w:p>
    <w:p>
      <w:pPr>
        <w:spacing w:before="400" w:after="240" w:line="360" w:lineRule="auto"/>
        <w:jc w:val="center"/>
      </w:pPr>
      <w:r>
        <w:rPr>
          <w:rFonts w:ascii="Times New Roman" w:hAnsi="Times New Roman"/>
          <w:b/>
          <w:color w:val="000000"/>
          <w:sz w:val="28"/>
        </w:rPr>
        <w:t>LIST OF FIGURES</w:t>
      </w:r>
    </w:p>
    <w:tbl>
      <w:tblPr>
        <w:tblW w:type="auto" w:w="0"/>
        <w:jc w:val="center"/>
        <w:tblLook w:firstColumn="1" w:firstRow="1" w:lastColumn="0" w:lastRow="0" w:noHBand="0" w:noVBand="1" w:val="04A0"/>
      </w:tblPr>
      <w:tblGrid>
        <w:gridCol w:w="3118"/>
        <w:gridCol w:w="3118"/>
        <w:gridCol w:w="3118"/>
      </w:tblGrid>
      <w:tr>
        <w:tc>
          <w:tcPr>
            <w:tcW w:type="dxa" w:w="172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Figure No.</w:t>
            </w:r>
          </w:p>
        </w:tc>
        <w:tc>
          <w:tcPr>
            <w:tcW w:type="dxa" w:w="604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Figure Title</w:t>
            </w:r>
          </w:p>
        </w:tc>
        <w:tc>
          <w:tcPr>
            <w:tcW w:type="dxa" w:w="144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Page No.</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1.1</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Multi-Disciplinary Domain Mapping of the AiSOC Platform</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1.2</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The Tier-1 SOC Alert Fatigue Crisis and Analysis Bottleneck</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2.1</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Evolutionary Timeline of Security Monitoring Architecture (2000–2026)</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17</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3.1</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Traditional Multi-Tier SOC Operational Funnel and Hand-off Delays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34</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4.1</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High-Level End-to-End System Topology of AiSOC</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47</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4.2</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UML Use Case Diagram for Enterprise SOC Actors and Autonomous Engine</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54</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4.3</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UML Class Diagram of Core Entity Model and System Constraints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57</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4.4</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UML Sequence Diagram: Telemetry Ingest to Gated Action Containment</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60</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4.5</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UML Activity Diagram: Autonomous Multi-Agent Investigation Loop</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63</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4.6</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UML State Machine Diagram: Incident and Alert Lifecycle State Transitions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66</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6.1</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High-Throughput OCSF Normalization and ATT&amp;CK Indexing Pipeline</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84</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6.2</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Threat Intelligence Ingestion, Bloom Filter Deduplication, and Sink Fan-out</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88</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6.3</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Dual-Stage MLScorer Architecture (Isolation Forest &amp; LambdaRank)</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92</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6.4</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Neo4j Knowledge Graph Schema with Kill-Chain Attack Traversals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97</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6.5</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LangGraph Multi-Agent Directed Acyclic Graph (DAG) Execution Flow</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102</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6.6</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Blast-Radius Safety Gating Boundary and L0–L4 Approval Mechanism</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107</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6.7</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Next.js 14 SOC Analyst Workbench and Investigation Rail Interface</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118</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6.8</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Live AiSOC Executive Security Operations Dashboard Running on Next.js 14</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119</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6.9</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Live Real-Time Multi-Tenant Alert Triage Queue and Investigation Workbench</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120</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6.10</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Live Natural Language Threat Hunting and Query Synthesis Workbench</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121</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7.1</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Comparative Alert Noise Reduction and MTTR Compression Chart</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131</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7.2</w:t>
            </w:r>
          </w:p>
        </w:tc>
        <w:tc>
          <w:tcPr>
            <w:tcW w:type="dxa" w:w="604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Lateral Movement Investigation Trace in the Next.js Web Console</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135</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7.3</w:t>
            </w:r>
          </w:p>
        </w:tc>
        <w:tc>
          <w:tcPr>
            <w:tcW w:type="dxa" w:w="604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Live Incident Case Dossier and Containment Tracking Console Running on Next.js 14</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137</w:t>
            </w:r>
          </w:p>
        </w:tc>
      </w:tr>
    </w:tbl>
    <w:p>
      <w:pPr>
        <w:spacing w:after="120"/>
      </w:pPr>
    </w:p>
    <w:p>
      <w:r>
        <w:br w:type="page"/>
      </w:r>
    </w:p>
    <w:p>
      <w:pPr>
        <w:spacing w:before="400" w:after="240" w:line="360" w:lineRule="auto"/>
        <w:jc w:val="center"/>
      </w:pPr>
      <w:r>
        <w:rPr>
          <w:rFonts w:ascii="Times New Roman" w:hAnsi="Times New Roman"/>
          <w:b/>
          <w:color w:val="000000"/>
          <w:sz w:val="28"/>
        </w:rPr>
        <w:t>LIST OF SYMBOLS AND ABBREVIATIONS</w:t>
      </w:r>
    </w:p>
    <w:p>
      <w:pPr>
        <w:spacing w:before="280" w:after="120" w:line="360" w:lineRule="auto"/>
        <w:jc w:val="left"/>
      </w:pPr>
      <w:r>
        <w:rPr>
          <w:rFonts w:ascii="Times New Roman" w:hAnsi="Times New Roman"/>
          <w:b/>
          <w:color w:val="000000"/>
          <w:sz w:val="24"/>
        </w:rPr>
        <w:t>Mathematical Symbols and Notation</w:t>
      </w:r>
    </w:p>
    <w:p>
      <w:pPr>
        <w:spacing w:line="360" w:lineRule="auto" w:after="120"/>
        <w:jc w:val="both"/>
      </w:pPr>
      <w:r>
        <w:rPr>
          <w:rFonts w:ascii="Times New Roman" w:hAnsi="Times New Roman"/>
          <w:b w:val="0"/>
          <w:i w:val="0"/>
          <w:color w:val="000000"/>
          <w:sz w:val="24"/>
        </w:rPr>
        <w:t>• H(x, y) : Hamming Distance between two 64-bit binary bitstrings x and y.</w:t>
      </w:r>
    </w:p>
    <w:p>
      <w:pPr>
        <w:spacing w:line="360" w:lineRule="auto" w:after="120"/>
        <w:jc w:val="both"/>
      </w:pPr>
      <w:r>
        <w:rPr>
          <w:rFonts w:ascii="Times New Roman" w:hAnsi="Times New Roman"/>
          <w:b w:val="0"/>
          <w:i w:val="0"/>
          <w:color w:val="000000"/>
          <w:sz w:val="24"/>
        </w:rPr>
        <w:t>• s(x, n) : Anomaly Score output by the Isolation Forest ensemble for feature vector x on sample size n.</w:t>
      </w:r>
    </w:p>
    <w:p>
      <w:pPr>
        <w:spacing w:line="360" w:lineRule="auto" w:after="120"/>
        <w:jc w:val="both"/>
      </w:pPr>
      <w:r>
        <w:rPr>
          <w:rFonts w:ascii="Times New Roman" w:hAnsi="Times New Roman"/>
          <w:b w:val="0"/>
          <w:i w:val="0"/>
          <w:color w:val="000000"/>
          <w:sz w:val="24"/>
        </w:rPr>
        <w:t>• E(h(x)) : Expected path length of sample x across isolation trees.</w:t>
      </w:r>
    </w:p>
    <w:p>
      <w:pPr>
        <w:spacing w:line="360" w:lineRule="auto" w:after="120"/>
        <w:jc w:val="both"/>
      </w:pPr>
      <w:r>
        <w:rPr>
          <w:rFonts w:ascii="Times New Roman" w:hAnsi="Times New Roman"/>
          <w:b w:val="0"/>
          <w:i w:val="0"/>
          <w:color w:val="000000"/>
          <w:sz w:val="24"/>
        </w:rPr>
        <w:t>• c(n) : Average path length of unsuccessful searches in a Binary Search Tree (BST) of size n.</w:t>
      </w:r>
    </w:p>
    <w:p>
      <w:pPr>
        <w:spacing w:line="360" w:lineRule="auto" w:after="120"/>
        <w:jc w:val="both"/>
      </w:pPr>
      <w:r>
        <w:rPr>
          <w:rFonts w:ascii="Times New Roman" w:hAnsi="Times New Roman"/>
          <w:b w:val="0"/>
          <w:i w:val="0"/>
          <w:color w:val="000000"/>
          <w:sz w:val="24"/>
        </w:rPr>
        <w:t>• ΔZ_ij : Gradient step delta in LightGBM LambdaRank for item pair (i, j).</w:t>
      </w:r>
    </w:p>
    <w:p>
      <w:pPr>
        <w:spacing w:line="360" w:lineRule="auto" w:after="120"/>
        <w:jc w:val="both"/>
      </w:pPr>
      <w:r>
        <w:rPr>
          <w:rFonts w:ascii="Times New Roman" w:hAnsi="Times New Roman"/>
          <w:b w:val="0"/>
          <w:i w:val="0"/>
          <w:color w:val="000000"/>
          <w:sz w:val="24"/>
        </w:rPr>
        <w:t>• μ_k, σ_k^2 : Online mean and variance computed using Welford's algorithm at step k.</w:t>
      </w:r>
    </w:p>
    <w:p>
      <w:pPr>
        <w:spacing w:line="360" w:lineRule="auto" w:after="120"/>
        <w:jc w:val="both"/>
      </w:pPr>
      <w:r>
        <w:rPr>
          <w:rFonts w:ascii="Times New Roman" w:hAnsi="Times New Roman"/>
          <w:b w:val="0"/>
          <w:i w:val="0"/>
          <w:color w:val="000000"/>
          <w:sz w:val="24"/>
        </w:rPr>
        <w:t>• B_r(e) : Blast Radius graph traversal metric for entity e within radius r.</w:t>
      </w:r>
    </w:p>
    <w:p>
      <w:pPr>
        <w:spacing w:line="360" w:lineRule="auto" w:after="120"/>
        <w:jc w:val="both"/>
      </w:pPr>
      <w:r>
        <w:rPr>
          <w:rFonts w:ascii="Times New Roman" w:hAnsi="Times New Roman"/>
          <w:b w:val="0"/>
          <w:i w:val="0"/>
          <w:color w:val="000000"/>
          <w:sz w:val="24"/>
        </w:rPr>
        <w:t>• p : Theoretical false positive probability of a Redis Bloom filter.</w:t>
      </w:r>
    </w:p>
    <w:p>
      <w:pPr>
        <w:spacing w:line="360" w:lineRule="auto" w:after="120"/>
        <w:jc w:val="both"/>
      </w:pPr>
      <w:r>
        <w:rPr>
          <w:rFonts w:ascii="Times New Roman" w:hAnsi="Times New Roman"/>
          <w:b w:val="0"/>
          <w:i w:val="0"/>
          <w:color w:val="000000"/>
          <w:sz w:val="24"/>
        </w:rPr>
        <w:t>• R_alert : Percentage reduction in alert volume achieved through fusion deduplication.</w:t>
      </w:r>
    </w:p>
    <w:p>
      <w:pPr>
        <w:spacing w:line="360" w:lineRule="auto" w:after="120"/>
        <w:jc w:val="both"/>
      </w:pPr>
      <w:r>
        <w:rPr>
          <w:rFonts w:ascii="Times New Roman" w:hAnsi="Times New Roman"/>
          <w:b w:val="0"/>
          <w:i w:val="0"/>
          <w:color w:val="000000"/>
          <w:sz w:val="24"/>
        </w:rPr>
        <w:t>• A_mitre : Percentage accuracy of automated MITRE ATT&amp;CK technique extraction.</w:t>
      </w:r>
    </w:p>
    <w:p>
      <w:pPr>
        <w:spacing w:before="280" w:after="120" w:line="360" w:lineRule="auto"/>
        <w:jc w:val="left"/>
      </w:pPr>
      <w:r>
        <w:rPr>
          <w:rFonts w:ascii="Times New Roman" w:hAnsi="Times New Roman"/>
          <w:b/>
          <w:color w:val="000000"/>
          <w:sz w:val="24"/>
        </w:rPr>
        <w:t>Acronyms and Abbreviations</w:t>
      </w:r>
    </w:p>
    <w:p>
      <w:pPr>
        <w:spacing w:line="360" w:lineRule="auto" w:after="120"/>
        <w:jc w:val="both"/>
      </w:pPr>
      <w:r>
        <w:rPr>
          <w:rFonts w:ascii="Times New Roman" w:hAnsi="Times New Roman"/>
          <w:b w:val="0"/>
          <w:i w:val="0"/>
          <w:color w:val="000000"/>
          <w:sz w:val="24"/>
        </w:rPr>
        <w:t>• AI : Artificial Intelligence</w:t>
      </w:r>
    </w:p>
    <w:p>
      <w:pPr>
        <w:spacing w:line="360" w:lineRule="auto" w:after="120"/>
        <w:jc w:val="both"/>
      </w:pPr>
      <w:r>
        <w:rPr>
          <w:rFonts w:ascii="Times New Roman" w:hAnsi="Times New Roman"/>
          <w:b w:val="0"/>
          <w:i w:val="0"/>
          <w:color w:val="000000"/>
          <w:sz w:val="24"/>
        </w:rPr>
        <w:t>• API : Application Programming Interface</w:t>
      </w:r>
    </w:p>
    <w:p>
      <w:pPr>
        <w:spacing w:line="360" w:lineRule="auto" w:after="120"/>
        <w:jc w:val="both"/>
      </w:pPr>
      <w:r>
        <w:rPr>
          <w:rFonts w:ascii="Times New Roman" w:hAnsi="Times New Roman"/>
          <w:b w:val="0"/>
          <w:i w:val="0"/>
          <w:color w:val="000000"/>
          <w:sz w:val="24"/>
        </w:rPr>
        <w:t>• ASN : Autonomous System Number</w:t>
      </w:r>
    </w:p>
    <w:p>
      <w:pPr>
        <w:spacing w:line="360" w:lineRule="auto" w:after="120"/>
        <w:jc w:val="both"/>
      </w:pPr>
      <w:r>
        <w:rPr>
          <w:rFonts w:ascii="Times New Roman" w:hAnsi="Times New Roman"/>
          <w:b w:val="0"/>
          <w:i w:val="0"/>
          <w:color w:val="000000"/>
          <w:sz w:val="24"/>
        </w:rPr>
        <w:t>• ATT&amp;CK : Adversarial Tactics, Techniques, and Common Knowledge</w:t>
      </w:r>
    </w:p>
    <w:p>
      <w:pPr>
        <w:spacing w:line="360" w:lineRule="auto" w:after="120"/>
        <w:jc w:val="both"/>
      </w:pPr>
      <w:r>
        <w:rPr>
          <w:rFonts w:ascii="Times New Roman" w:hAnsi="Times New Roman"/>
          <w:b w:val="0"/>
          <w:i w:val="0"/>
          <w:color w:val="000000"/>
          <w:sz w:val="24"/>
        </w:rPr>
        <w:t>• AWS : Amazon Web Services</w:t>
      </w:r>
    </w:p>
    <w:p>
      <w:pPr>
        <w:spacing w:line="360" w:lineRule="auto" w:after="120"/>
        <w:jc w:val="both"/>
      </w:pPr>
      <w:r>
        <w:rPr>
          <w:rFonts w:ascii="Times New Roman" w:hAnsi="Times New Roman"/>
          <w:b w:val="0"/>
          <w:i w:val="0"/>
          <w:color w:val="000000"/>
          <w:sz w:val="24"/>
        </w:rPr>
        <w:t>• CEF : Common Event Format</w:t>
      </w:r>
    </w:p>
    <w:p>
      <w:pPr>
        <w:spacing w:line="360" w:lineRule="auto" w:after="120"/>
        <w:jc w:val="both"/>
      </w:pPr>
      <w:r>
        <w:rPr>
          <w:rFonts w:ascii="Times New Roman" w:hAnsi="Times New Roman"/>
          <w:b w:val="0"/>
          <w:i w:val="0"/>
          <w:color w:val="000000"/>
          <w:sz w:val="24"/>
        </w:rPr>
        <w:t>• CISA : Cybersecurity and Infrastructure Security Agency</w:t>
      </w:r>
    </w:p>
    <w:p>
      <w:pPr>
        <w:spacing w:line="360" w:lineRule="auto" w:after="120"/>
        <w:jc w:val="both"/>
      </w:pPr>
      <w:r>
        <w:rPr>
          <w:rFonts w:ascii="Times New Roman" w:hAnsi="Times New Roman"/>
          <w:b w:val="0"/>
          <w:i w:val="0"/>
          <w:color w:val="000000"/>
          <w:sz w:val="24"/>
        </w:rPr>
        <w:t>• CVE : Common Vulnerabilities and Exposures</w:t>
      </w:r>
    </w:p>
    <w:p>
      <w:pPr>
        <w:spacing w:line="360" w:lineRule="auto" w:after="120"/>
        <w:jc w:val="both"/>
      </w:pPr>
      <w:r>
        <w:rPr>
          <w:rFonts w:ascii="Times New Roman" w:hAnsi="Times New Roman"/>
          <w:b w:val="0"/>
          <w:i w:val="0"/>
          <w:color w:val="000000"/>
          <w:sz w:val="24"/>
        </w:rPr>
        <w:t>• DAG : Directed Acyclic Graph</w:t>
      </w:r>
    </w:p>
    <w:p>
      <w:pPr>
        <w:spacing w:line="360" w:lineRule="auto" w:after="120"/>
        <w:jc w:val="both"/>
      </w:pPr>
      <w:r>
        <w:rPr>
          <w:rFonts w:ascii="Times New Roman" w:hAnsi="Times New Roman"/>
          <w:b w:val="0"/>
          <w:i w:val="0"/>
          <w:color w:val="000000"/>
          <w:sz w:val="24"/>
        </w:rPr>
        <w:t>• DCO : Developer Certificate of Origin</w:t>
      </w:r>
    </w:p>
    <w:p>
      <w:pPr>
        <w:spacing w:line="360" w:lineRule="auto" w:after="120"/>
        <w:jc w:val="both"/>
      </w:pPr>
      <w:r>
        <w:rPr>
          <w:rFonts w:ascii="Times New Roman" w:hAnsi="Times New Roman"/>
          <w:b w:val="0"/>
          <w:i w:val="0"/>
          <w:color w:val="000000"/>
          <w:sz w:val="24"/>
        </w:rPr>
        <w:t>• EDR : Endpoint Detection and Response</w:t>
      </w:r>
    </w:p>
    <w:p>
      <w:pPr>
        <w:spacing w:line="360" w:lineRule="auto" w:after="120"/>
        <w:jc w:val="both"/>
      </w:pPr>
      <w:r>
        <w:rPr>
          <w:rFonts w:ascii="Times New Roman" w:hAnsi="Times New Roman"/>
          <w:b w:val="0"/>
          <w:i w:val="0"/>
          <w:color w:val="000000"/>
          <w:sz w:val="24"/>
        </w:rPr>
        <w:t>• ES|QL : Elasticsearch Query Language</w:t>
      </w:r>
    </w:p>
    <w:p>
      <w:pPr>
        <w:spacing w:line="360" w:lineRule="auto" w:after="120"/>
        <w:jc w:val="both"/>
      </w:pPr>
      <w:r>
        <w:rPr>
          <w:rFonts w:ascii="Times New Roman" w:hAnsi="Times New Roman"/>
          <w:b w:val="0"/>
          <w:i w:val="0"/>
          <w:color w:val="000000"/>
          <w:sz w:val="24"/>
        </w:rPr>
        <w:t>• GCP : Google Cloud Platform</w:t>
      </w:r>
    </w:p>
    <w:p>
      <w:pPr>
        <w:spacing w:line="360" w:lineRule="auto" w:after="120"/>
        <w:jc w:val="both"/>
      </w:pPr>
      <w:r>
        <w:rPr>
          <w:rFonts w:ascii="Times New Roman" w:hAnsi="Times New Roman"/>
          <w:b w:val="0"/>
          <w:i w:val="0"/>
          <w:color w:val="000000"/>
          <w:sz w:val="24"/>
        </w:rPr>
        <w:t>• HEC : HTTP Event Collector (Splunk)</w:t>
      </w:r>
    </w:p>
    <w:p>
      <w:pPr>
        <w:spacing w:line="360" w:lineRule="auto" w:after="120"/>
        <w:jc w:val="both"/>
      </w:pPr>
      <w:r>
        <w:rPr>
          <w:rFonts w:ascii="Times New Roman" w:hAnsi="Times New Roman"/>
          <w:b w:val="0"/>
          <w:i w:val="0"/>
          <w:color w:val="000000"/>
          <w:sz w:val="24"/>
        </w:rPr>
        <w:t>• IAM : Identity and Access Management</w:t>
      </w:r>
    </w:p>
    <w:p>
      <w:pPr>
        <w:spacing w:line="360" w:lineRule="auto" w:after="120"/>
        <w:jc w:val="both"/>
      </w:pPr>
      <w:r>
        <w:rPr>
          <w:rFonts w:ascii="Times New Roman" w:hAnsi="Times New Roman"/>
          <w:b w:val="0"/>
          <w:i w:val="0"/>
          <w:color w:val="000000"/>
          <w:sz w:val="24"/>
        </w:rPr>
        <w:t>• IOC : Indicator of Compromise</w:t>
      </w:r>
    </w:p>
    <w:p>
      <w:pPr>
        <w:spacing w:line="360" w:lineRule="auto" w:after="120"/>
        <w:jc w:val="both"/>
      </w:pPr>
      <w:r>
        <w:rPr>
          <w:rFonts w:ascii="Times New Roman" w:hAnsi="Times New Roman"/>
          <w:b w:val="0"/>
          <w:i w:val="0"/>
          <w:color w:val="000000"/>
          <w:sz w:val="24"/>
        </w:rPr>
        <w:t>• IP : Internet Protocol</w:t>
      </w:r>
    </w:p>
    <w:p>
      <w:pPr>
        <w:spacing w:line="360" w:lineRule="auto" w:after="120"/>
        <w:jc w:val="both"/>
      </w:pPr>
      <w:r>
        <w:rPr>
          <w:rFonts w:ascii="Times New Roman" w:hAnsi="Times New Roman"/>
          <w:b w:val="0"/>
          <w:i w:val="0"/>
          <w:color w:val="000000"/>
          <w:sz w:val="24"/>
        </w:rPr>
        <w:t>• JWT : JSON Web Token</w:t>
      </w:r>
    </w:p>
    <w:p>
      <w:pPr>
        <w:spacing w:line="360" w:lineRule="auto" w:after="120"/>
        <w:jc w:val="both"/>
      </w:pPr>
      <w:r>
        <w:rPr>
          <w:rFonts w:ascii="Times New Roman" w:hAnsi="Times New Roman"/>
          <w:b w:val="0"/>
          <w:i w:val="0"/>
          <w:color w:val="000000"/>
          <w:sz w:val="24"/>
        </w:rPr>
        <w:t>• KEV : Known Exploited Vulnerabilities</w:t>
      </w:r>
    </w:p>
    <w:p>
      <w:pPr>
        <w:spacing w:line="360" w:lineRule="auto" w:after="120"/>
        <w:jc w:val="both"/>
      </w:pPr>
      <w:r>
        <w:rPr>
          <w:rFonts w:ascii="Times New Roman" w:hAnsi="Times New Roman"/>
          <w:b w:val="0"/>
          <w:i w:val="0"/>
          <w:color w:val="000000"/>
          <w:sz w:val="24"/>
        </w:rPr>
        <w:t>• KQL : Kusto Query Language / Kibana Query Language</w:t>
      </w:r>
    </w:p>
    <w:p>
      <w:pPr>
        <w:spacing w:line="360" w:lineRule="auto" w:after="120"/>
        <w:jc w:val="both"/>
      </w:pPr>
      <w:r>
        <w:rPr>
          <w:rFonts w:ascii="Times New Roman" w:hAnsi="Times New Roman"/>
          <w:b w:val="0"/>
          <w:i w:val="0"/>
          <w:color w:val="000000"/>
          <w:sz w:val="24"/>
        </w:rPr>
        <w:t>• LLM : Large Language Model</w:t>
      </w:r>
    </w:p>
    <w:p>
      <w:pPr>
        <w:spacing w:line="360" w:lineRule="auto" w:after="120"/>
        <w:jc w:val="both"/>
      </w:pPr>
      <w:r>
        <w:rPr>
          <w:rFonts w:ascii="Times New Roman" w:hAnsi="Times New Roman"/>
          <w:b w:val="0"/>
          <w:i w:val="0"/>
          <w:color w:val="000000"/>
          <w:sz w:val="24"/>
        </w:rPr>
        <w:t>• LSH : Locality-Sensitive Hashing</w:t>
      </w:r>
    </w:p>
    <w:p>
      <w:pPr>
        <w:spacing w:line="360" w:lineRule="auto" w:after="120"/>
        <w:jc w:val="both"/>
      </w:pPr>
      <w:r>
        <w:rPr>
          <w:rFonts w:ascii="Times New Roman" w:hAnsi="Times New Roman"/>
          <w:b w:val="0"/>
          <w:i w:val="0"/>
          <w:color w:val="000000"/>
          <w:sz w:val="24"/>
        </w:rPr>
        <w:t>• MCP : Model Context Protocol</w:t>
      </w:r>
    </w:p>
    <w:p>
      <w:pPr>
        <w:spacing w:line="360" w:lineRule="auto" w:after="120"/>
        <w:jc w:val="both"/>
      </w:pPr>
      <w:r>
        <w:rPr>
          <w:rFonts w:ascii="Times New Roman" w:hAnsi="Times New Roman"/>
          <w:b w:val="0"/>
          <w:i w:val="0"/>
          <w:color w:val="000000"/>
          <w:sz w:val="24"/>
        </w:rPr>
        <w:t>• MISP : Malware Information Sharing Platform</w:t>
      </w:r>
    </w:p>
    <w:p>
      <w:pPr>
        <w:spacing w:line="360" w:lineRule="auto" w:after="120"/>
        <w:jc w:val="both"/>
      </w:pPr>
      <w:r>
        <w:rPr>
          <w:rFonts w:ascii="Times New Roman" w:hAnsi="Times New Roman"/>
          <w:b w:val="0"/>
          <w:i w:val="0"/>
          <w:color w:val="000000"/>
          <w:sz w:val="24"/>
        </w:rPr>
        <w:t>• MITRE : Massachusetts Institute of Technology Research Establishment</w:t>
      </w:r>
    </w:p>
    <w:p>
      <w:pPr>
        <w:spacing w:line="360" w:lineRule="auto" w:after="120"/>
        <w:jc w:val="both"/>
      </w:pPr>
      <w:r>
        <w:rPr>
          <w:rFonts w:ascii="Times New Roman" w:hAnsi="Times New Roman"/>
          <w:b w:val="0"/>
          <w:i w:val="0"/>
          <w:color w:val="000000"/>
          <w:sz w:val="24"/>
        </w:rPr>
        <w:t>• MTTA : Mean Time to Acknowledge</w:t>
      </w:r>
    </w:p>
    <w:p>
      <w:pPr>
        <w:spacing w:line="360" w:lineRule="auto" w:after="120"/>
        <w:jc w:val="both"/>
      </w:pPr>
      <w:r>
        <w:rPr>
          <w:rFonts w:ascii="Times New Roman" w:hAnsi="Times New Roman"/>
          <w:b w:val="0"/>
          <w:i w:val="0"/>
          <w:color w:val="000000"/>
          <w:sz w:val="24"/>
        </w:rPr>
        <w:t>• MTTR : Mean Time to Respond / Remediate</w:t>
      </w:r>
    </w:p>
    <w:p>
      <w:pPr>
        <w:spacing w:line="360" w:lineRule="auto" w:after="120"/>
        <w:jc w:val="both"/>
      </w:pPr>
      <w:r>
        <w:rPr>
          <w:rFonts w:ascii="Times New Roman" w:hAnsi="Times New Roman"/>
          <w:b w:val="0"/>
          <w:i w:val="0"/>
          <w:color w:val="000000"/>
          <w:sz w:val="24"/>
        </w:rPr>
        <w:t>• NDR : Network Detection and Response</w:t>
      </w:r>
    </w:p>
    <w:p>
      <w:pPr>
        <w:spacing w:line="360" w:lineRule="auto" w:after="120"/>
        <w:jc w:val="both"/>
      </w:pPr>
      <w:r>
        <w:rPr>
          <w:rFonts w:ascii="Times New Roman" w:hAnsi="Times New Roman"/>
          <w:b w:val="0"/>
          <w:i w:val="0"/>
          <w:color w:val="000000"/>
          <w:sz w:val="24"/>
        </w:rPr>
        <w:t>• OCSF : Open Cybersecurity Schema Framework</w:t>
      </w:r>
    </w:p>
    <w:p>
      <w:pPr>
        <w:spacing w:line="360" w:lineRule="auto" w:after="120"/>
        <w:jc w:val="both"/>
      </w:pPr>
      <w:r>
        <w:rPr>
          <w:rFonts w:ascii="Times New Roman" w:hAnsi="Times New Roman"/>
          <w:b w:val="0"/>
          <w:i w:val="0"/>
          <w:color w:val="000000"/>
          <w:sz w:val="24"/>
        </w:rPr>
        <w:t>• OTX : Open Threat Exchange (AlienVault)</w:t>
      </w:r>
    </w:p>
    <w:p>
      <w:pPr>
        <w:spacing w:line="360" w:lineRule="auto" w:after="120"/>
        <w:jc w:val="both"/>
      </w:pPr>
      <w:r>
        <w:rPr>
          <w:rFonts w:ascii="Times New Roman" w:hAnsi="Times New Roman"/>
          <w:b w:val="0"/>
          <w:i w:val="0"/>
          <w:color w:val="000000"/>
          <w:sz w:val="24"/>
        </w:rPr>
        <w:t>• PWA : Progressive Web Application</w:t>
      </w:r>
    </w:p>
    <w:p>
      <w:pPr>
        <w:spacing w:line="360" w:lineRule="auto" w:after="120"/>
        <w:jc w:val="both"/>
      </w:pPr>
      <w:r>
        <w:rPr>
          <w:rFonts w:ascii="Times New Roman" w:hAnsi="Times New Roman"/>
          <w:b w:val="0"/>
          <w:i w:val="0"/>
          <w:color w:val="000000"/>
          <w:sz w:val="24"/>
        </w:rPr>
        <w:t>• RAG : Retrieval-Augmented Generation</w:t>
      </w:r>
    </w:p>
    <w:p>
      <w:pPr>
        <w:spacing w:line="360" w:lineRule="auto" w:after="120"/>
        <w:jc w:val="both"/>
      </w:pPr>
      <w:r>
        <w:rPr>
          <w:rFonts w:ascii="Times New Roman" w:hAnsi="Times New Roman"/>
          <w:b w:val="0"/>
          <w:i w:val="0"/>
          <w:color w:val="000000"/>
          <w:sz w:val="24"/>
        </w:rPr>
        <w:t>• RBAC : Role-Based Access Control</w:t>
      </w:r>
    </w:p>
    <w:p>
      <w:pPr>
        <w:spacing w:line="360" w:lineRule="auto" w:after="120"/>
        <w:jc w:val="both"/>
      </w:pPr>
      <w:r>
        <w:rPr>
          <w:rFonts w:ascii="Times New Roman" w:hAnsi="Times New Roman"/>
          <w:b w:val="0"/>
          <w:i w:val="0"/>
          <w:color w:val="000000"/>
          <w:sz w:val="24"/>
        </w:rPr>
        <w:t>• REST : Representational State Transfer</w:t>
      </w:r>
    </w:p>
    <w:p>
      <w:pPr>
        <w:spacing w:line="360" w:lineRule="auto" w:after="120"/>
        <w:jc w:val="both"/>
      </w:pPr>
      <w:r>
        <w:rPr>
          <w:rFonts w:ascii="Times New Roman" w:hAnsi="Times New Roman"/>
          <w:b w:val="0"/>
          <w:i w:val="0"/>
          <w:color w:val="000000"/>
          <w:sz w:val="24"/>
        </w:rPr>
        <w:t>• RLS : Row-Level Security</w:t>
      </w:r>
    </w:p>
    <w:p>
      <w:pPr>
        <w:spacing w:line="360" w:lineRule="auto" w:after="120"/>
        <w:jc w:val="both"/>
      </w:pPr>
      <w:r>
        <w:rPr>
          <w:rFonts w:ascii="Times New Roman" w:hAnsi="Times New Roman"/>
          <w:b w:val="0"/>
          <w:i w:val="0"/>
          <w:color w:val="000000"/>
          <w:sz w:val="24"/>
        </w:rPr>
        <w:t>• SIEM : Security Information and Event Management</w:t>
      </w:r>
    </w:p>
    <w:p>
      <w:pPr>
        <w:spacing w:line="360" w:lineRule="auto" w:after="120"/>
        <w:jc w:val="both"/>
      </w:pPr>
      <w:r>
        <w:rPr>
          <w:rFonts w:ascii="Times New Roman" w:hAnsi="Times New Roman"/>
          <w:b w:val="0"/>
          <w:i w:val="0"/>
          <w:color w:val="000000"/>
          <w:sz w:val="24"/>
        </w:rPr>
        <w:t>• SIGMA : Generic Signature Format for SIEM Systems</w:t>
      </w:r>
    </w:p>
    <w:p>
      <w:pPr>
        <w:spacing w:line="360" w:lineRule="auto" w:after="120"/>
        <w:jc w:val="both"/>
      </w:pPr>
      <w:r>
        <w:rPr>
          <w:rFonts w:ascii="Times New Roman" w:hAnsi="Times New Roman"/>
          <w:b w:val="0"/>
          <w:i w:val="0"/>
          <w:color w:val="000000"/>
          <w:sz w:val="24"/>
        </w:rPr>
        <w:t>• SOAR : Security Orchestration, Automation, and Response</w:t>
      </w:r>
    </w:p>
    <w:p>
      <w:pPr>
        <w:spacing w:line="360" w:lineRule="auto" w:after="120"/>
        <w:jc w:val="both"/>
      </w:pPr>
      <w:r>
        <w:rPr>
          <w:rFonts w:ascii="Times New Roman" w:hAnsi="Times New Roman"/>
          <w:b w:val="0"/>
          <w:i w:val="0"/>
          <w:color w:val="000000"/>
          <w:sz w:val="24"/>
        </w:rPr>
        <w:t>• SOC : Security Operations Center</w:t>
      </w:r>
    </w:p>
    <w:p>
      <w:pPr>
        <w:spacing w:line="360" w:lineRule="auto" w:after="120"/>
        <w:jc w:val="both"/>
      </w:pPr>
      <w:r>
        <w:rPr>
          <w:rFonts w:ascii="Times New Roman" w:hAnsi="Times New Roman"/>
          <w:b w:val="0"/>
          <w:i w:val="0"/>
          <w:color w:val="000000"/>
          <w:sz w:val="24"/>
        </w:rPr>
        <w:t>• SPL : Search Processing Language (Splunk)</w:t>
      </w:r>
    </w:p>
    <w:p>
      <w:pPr>
        <w:spacing w:line="360" w:lineRule="auto" w:after="120"/>
        <w:jc w:val="both"/>
      </w:pPr>
      <w:r>
        <w:rPr>
          <w:rFonts w:ascii="Times New Roman" w:hAnsi="Times New Roman"/>
          <w:b w:val="0"/>
          <w:i w:val="0"/>
          <w:color w:val="000000"/>
          <w:sz w:val="24"/>
        </w:rPr>
        <w:t>• SSE : Server-Sent Events</w:t>
      </w:r>
    </w:p>
    <w:p>
      <w:pPr>
        <w:spacing w:line="360" w:lineRule="auto" w:after="120"/>
        <w:jc w:val="both"/>
      </w:pPr>
      <w:r>
        <w:rPr>
          <w:rFonts w:ascii="Times New Roman" w:hAnsi="Times New Roman"/>
          <w:b w:val="0"/>
          <w:i w:val="0"/>
          <w:color w:val="000000"/>
          <w:sz w:val="24"/>
        </w:rPr>
        <w:t>• STIX : Structured Threat Information Expression</w:t>
      </w:r>
    </w:p>
    <w:p>
      <w:pPr>
        <w:spacing w:line="360" w:lineRule="auto" w:after="120"/>
        <w:jc w:val="both"/>
      </w:pPr>
      <w:r>
        <w:rPr>
          <w:rFonts w:ascii="Times New Roman" w:hAnsi="Times New Roman"/>
          <w:b w:val="0"/>
          <w:i w:val="0"/>
          <w:color w:val="000000"/>
          <w:sz w:val="24"/>
        </w:rPr>
        <w:t>• TAXII : Trusted Automated Exchange of Intelligence Information</w:t>
      </w:r>
    </w:p>
    <w:p>
      <w:pPr>
        <w:spacing w:line="360" w:lineRule="auto" w:after="120"/>
        <w:jc w:val="both"/>
      </w:pPr>
      <w:r>
        <w:rPr>
          <w:rFonts w:ascii="Times New Roman" w:hAnsi="Times New Roman"/>
          <w:b w:val="0"/>
          <w:i w:val="0"/>
          <w:color w:val="000000"/>
          <w:sz w:val="24"/>
        </w:rPr>
        <w:t>• TTP : Tactics, Techniques, and Procedures</w:t>
      </w:r>
    </w:p>
    <w:p>
      <w:pPr>
        <w:spacing w:line="360" w:lineRule="auto" w:after="120"/>
        <w:jc w:val="both"/>
      </w:pPr>
      <w:r>
        <w:rPr>
          <w:rFonts w:ascii="Times New Roman" w:hAnsi="Times New Roman"/>
          <w:b w:val="0"/>
          <w:i w:val="0"/>
          <w:color w:val="000000"/>
          <w:sz w:val="24"/>
        </w:rPr>
        <w:t>• UEBA : User and Entity Behavior Analytics</w:t>
      </w:r>
    </w:p>
    <w:p>
      <w:pPr>
        <w:spacing w:line="360" w:lineRule="auto" w:after="120"/>
        <w:jc w:val="both"/>
      </w:pPr>
      <w:r>
        <w:rPr>
          <w:rFonts w:ascii="Times New Roman" w:hAnsi="Times New Roman"/>
          <w:b w:val="0"/>
          <w:i w:val="0"/>
          <w:color w:val="000000"/>
          <w:sz w:val="24"/>
        </w:rPr>
        <w:t>• UML : Unified Modeling Language</w:t>
      </w:r>
    </w:p>
    <w:p>
      <w:pPr>
        <w:spacing w:line="360" w:lineRule="auto" w:after="120"/>
        <w:jc w:val="both"/>
      </w:pPr>
      <w:r>
        <w:rPr>
          <w:rFonts w:ascii="Times New Roman" w:hAnsi="Times New Roman"/>
          <w:b w:val="0"/>
          <w:i w:val="0"/>
          <w:color w:val="000000"/>
          <w:sz w:val="24"/>
        </w:rPr>
        <w:t>• URI : Uniform Resource Identifier</w:t>
      </w:r>
    </w:p>
    <w:p>
      <w:pPr>
        <w:spacing w:line="360" w:lineRule="auto" w:after="120"/>
        <w:jc w:val="both"/>
      </w:pPr>
      <w:r>
        <w:rPr>
          <w:rFonts w:ascii="Times New Roman" w:hAnsi="Times New Roman"/>
          <w:b w:val="0"/>
          <w:i w:val="0"/>
          <w:color w:val="000000"/>
          <w:sz w:val="24"/>
        </w:rPr>
        <w:t>• UUID : Universally Unique Identifier</w:t>
      </w:r>
    </w:p>
    <w:p>
      <w:pPr>
        <w:spacing w:line="360" w:lineRule="auto" w:after="120"/>
        <w:jc w:val="both"/>
      </w:pPr>
      <w:r>
        <w:rPr>
          <w:rFonts w:ascii="Times New Roman" w:hAnsi="Times New Roman"/>
          <w:b w:val="0"/>
          <w:i w:val="0"/>
          <w:color w:val="000000"/>
          <w:sz w:val="24"/>
        </w:rPr>
        <w:t>• VAPID : Voluntary Application Server Identification (Web Push)</w:t>
      </w:r>
    </w:p>
    <w:p>
      <w:pPr>
        <w:spacing w:line="360" w:lineRule="auto" w:after="120"/>
        <w:jc w:val="both"/>
      </w:pPr>
      <w:r>
        <w:rPr>
          <w:rFonts w:ascii="Times New Roman" w:hAnsi="Times New Roman"/>
          <w:b w:val="0"/>
          <w:i w:val="0"/>
          <w:color w:val="000000"/>
          <w:sz w:val="24"/>
        </w:rPr>
        <w:t>• VCS : Version Control System</w:t>
      </w:r>
    </w:p>
    <w:p>
      <w:pPr>
        <w:spacing w:line="360" w:lineRule="auto" w:after="120"/>
        <w:jc w:val="both"/>
      </w:pPr>
      <w:r>
        <w:rPr>
          <w:rFonts w:ascii="Times New Roman" w:hAnsi="Times New Roman"/>
          <w:b w:val="0"/>
          <w:i w:val="0"/>
          <w:color w:val="000000"/>
          <w:sz w:val="24"/>
        </w:rPr>
        <w:t>• VM : Virtual Machine</w:t>
      </w:r>
    </w:p>
    <w:p>
      <w:pPr>
        <w:spacing w:line="360" w:lineRule="auto" w:after="120"/>
        <w:jc w:val="both"/>
      </w:pPr>
      <w:r>
        <w:rPr>
          <w:rFonts w:ascii="Times New Roman" w:hAnsi="Times New Roman"/>
          <w:b w:val="0"/>
          <w:i w:val="0"/>
          <w:color w:val="000000"/>
          <w:sz w:val="24"/>
        </w:rPr>
        <w:t>• WCAG : Web Content Accessibility Guidelines</w:t>
      </w:r>
    </w:p>
    <w:p>
      <w:pPr>
        <w:spacing w:line="360" w:lineRule="auto" w:after="120"/>
        <w:jc w:val="both"/>
      </w:pPr>
      <w:r>
        <w:rPr>
          <w:rFonts w:ascii="Times New Roman" w:hAnsi="Times New Roman"/>
          <w:b w:val="0"/>
          <w:i w:val="0"/>
          <w:color w:val="000000"/>
          <w:sz w:val="24"/>
        </w:rPr>
        <w:t>• WS : WebSocket</w:t>
      </w:r>
    </w:p>
    <w:p>
      <w:pPr>
        <w:spacing w:line="360" w:lineRule="auto" w:after="120"/>
        <w:jc w:val="both"/>
      </w:pPr>
      <w:r>
        <w:rPr>
          <w:rFonts w:ascii="Times New Roman" w:hAnsi="Times New Roman"/>
          <w:b w:val="0"/>
          <w:i w:val="0"/>
          <w:color w:val="000000"/>
          <w:sz w:val="24"/>
        </w:rPr>
        <w:t>• YARA : Yet Another Recursive Acronym (Pattern Matching Engine)</w:t>
      </w:r>
    </w:p>
    <w:p>
      <w:r>
        <w:br w:type="page"/>
      </w:r>
    </w:p>
    <w:p>
      <w:pPr>
        <w:spacing w:before="400" w:after="240" w:line="360" w:lineRule="auto"/>
        <w:jc w:val="center"/>
      </w:pPr>
      <w:r>
        <w:rPr>
          <w:rFonts w:ascii="Times New Roman" w:hAnsi="Times New Roman"/>
          <w:b/>
          <w:color w:val="000000"/>
          <w:sz w:val="28"/>
        </w:rPr>
        <w:t>CHAPTER 1</w:t>
        <w:br/>
        <w:t>INTRODUCTION</w:t>
      </w:r>
    </w:p>
    <w:p>
      <w:pPr>
        <w:spacing w:before="280" w:after="120" w:line="360" w:lineRule="auto"/>
        <w:jc w:val="left"/>
      </w:pPr>
      <w:r>
        <w:rPr>
          <w:rFonts w:ascii="Times New Roman" w:hAnsi="Times New Roman"/>
          <w:b/>
          <w:color w:val="000000"/>
          <w:sz w:val="24"/>
        </w:rPr>
        <w:t>1.1 Broad Area of the Project</w:t>
      </w:r>
    </w:p>
    <w:p>
      <w:pPr>
        <w:spacing w:line="360" w:lineRule="auto" w:after="120"/>
        <w:jc w:val="both"/>
      </w:pPr>
      <w:r>
        <w:rPr>
          <w:rFonts w:ascii="Times New Roman" w:hAnsi="Times New Roman"/>
          <w:b w:val="0"/>
          <w:i w:val="0"/>
          <w:color w:val="000000"/>
          <w:sz w:val="24"/>
        </w:rPr>
        <w:t>The domain of this project lies at the multidisciplinary intersection of Cybersecurity Engineering, Distributed Systems Architecture, Machine Learning, Property Graph Database Theory, and Multi-Agent Artificial Intelligence (AI). Specifically, the project addresses the design, mathematical modeling, software architecture, and operationalization of next-generation Autonomous Security Operations Centers (Autonomous SOC).</w:t>
      </w:r>
    </w:p>
    <w:p>
      <w:pPr>
        <w:spacing w:line="360" w:lineRule="auto" w:after="120"/>
        <w:jc w:val="both"/>
      </w:pPr>
      <w:r>
        <w:rPr>
          <w:rFonts w:ascii="Times New Roman" w:hAnsi="Times New Roman"/>
          <w:b w:val="0"/>
          <w:i w:val="0"/>
          <w:color w:val="000000"/>
          <w:sz w:val="24"/>
        </w:rPr>
        <w:t>In the contemporary enterprise computing landscape, organizations operate across highly distributed, heterogeneous, and dynamic multi-cloud environments. A modern enterprise digital perimeter encompasses tens of thousands of physical endpoints (Windows, macOS, Linux workstations and servers), ephemeral containerized microservices managed within Kubernetes clusters, serverless computing functions distributed across Amazon Web Services (AWS), Google Cloud Platform (GCP), and Microsoft Azure, alongside expansive Identity and Access Management (IAM) directories and Software-as-a-Service (SaaS) collaborative platforms such as Okta, Microsoft Entra ID, GitHub Enterprise, Google Workspace, Slack, and Salesforce.</w:t>
      </w:r>
    </w:p>
    <w:p>
      <w:pPr>
        <w:spacing w:line="360" w:lineRule="auto" w:after="120"/>
        <w:jc w:val="both"/>
      </w:pPr>
      <w:r>
        <w:rPr>
          <w:rFonts w:ascii="Times New Roman" w:hAnsi="Times New Roman"/>
          <w:b w:val="0"/>
          <w:i w:val="0"/>
          <w:color w:val="000000"/>
          <w:sz w:val="24"/>
        </w:rPr>
        <w:t>To protect these critical digital assets against persistent, sophisticated, and well-funded cyber adversaries (including state-sponsored Advanced Persistent Threats, organized ransomware syndicates, and malicious insiders), enterprises establish Security Operations Centers (SOCs). A SOC serves as the centralized organizational, technological, and procedural nerve center responsible for the continuous 24/7/365 ingestion, parsing, behavioral analysis, threat correlation, incident triage, and forensic containment of security events across the entire enterprise digital footprint.</w:t>
      </w:r>
    </w:p>
    <w:p>
      <w:pPr>
        <w:spacing w:before="200" w:after="40"/>
        <w:jc w:val="center"/>
      </w:pPr>
      <w:r>
        <w:drawing>
          <wp:inline xmlns:a="http://schemas.openxmlformats.org/drawingml/2006/main" xmlns:pic="http://schemas.openxmlformats.org/drawingml/2006/picture">
            <wp:extent cx="5120640" cy="3499103"/>
            <wp:docPr id="1" name="Picture 1"/>
            <wp:cNvGraphicFramePr>
              <a:graphicFrameLocks noChangeAspect="1"/>
            </wp:cNvGraphicFramePr>
            <a:graphic>
              <a:graphicData uri="http://schemas.openxmlformats.org/drawingml/2006/picture">
                <pic:pic>
                  <pic:nvPicPr>
                    <pic:cNvPr id="0" name="fig1_1_domain_mapping.png"/>
                    <pic:cNvPicPr/>
                  </pic:nvPicPr>
                  <pic:blipFill>
                    <a:blip r:embed="rId9"/>
                    <a:stretch>
                      <a:fillRect/>
                    </a:stretch>
                  </pic:blipFill>
                  <pic:spPr>
                    <a:xfrm>
                      <a:off x="0" y="0"/>
                      <a:ext cx="5120640" cy="3499103"/>
                    </a:xfrm>
                    <a:prstGeom prst="rect"/>
                  </pic:spPr>
                </pic:pic>
              </a:graphicData>
            </a:graphic>
          </wp:inline>
        </w:drawing>
      </w:r>
    </w:p>
    <w:p>
      <w:pPr>
        <w:spacing w:before="40" w:after="200"/>
        <w:jc w:val="center"/>
      </w:pPr>
      <w:r>
        <w:rPr>
          <w:rFonts w:ascii="Times New Roman" w:hAnsi="Times New Roman"/>
          <w:b/>
          <w:color w:val="111827"/>
          <w:sz w:val="21"/>
        </w:rPr>
        <w:t>Figure 1.1: Multi-Disciplinary Domain Mapping of the AiSOC Platform</w:t>
      </w:r>
    </w:p>
    <w:p>
      <w:pPr>
        <w:spacing w:line="360" w:lineRule="auto" w:after="120"/>
        <w:jc w:val="both"/>
      </w:pPr>
      <w:r>
        <w:rPr>
          <w:rFonts w:ascii="Times New Roman" w:hAnsi="Times New Roman"/>
          <w:b w:val="0"/>
          <w:i w:val="0"/>
          <w:color w:val="000000"/>
          <w:sz w:val="24"/>
        </w:rPr>
        <w:t>The telemetry ingested by a modern SOC is massive and extraordinarily diverse, originating from five foundational monitoring tiers:</w:t>
      </w:r>
    </w:p>
    <w:p>
      <w:pPr>
        <w:spacing w:line="360" w:lineRule="auto" w:after="120"/>
        <w:jc w:val="both"/>
      </w:pPr>
      <w:r>
        <w:rPr>
          <w:rFonts w:ascii="Times New Roman" w:hAnsi="Times New Roman"/>
          <w:b w:val="0"/>
          <w:i w:val="0"/>
          <w:color w:val="000000"/>
          <w:sz w:val="24"/>
        </w:rPr>
        <w:t>1. Endpoint Detection and Response (EDR) and Host Telemetry: Kernel-level process execution events, dynamic link library (DLL) loading, memory process injections, thread creation, file system modifications, and local registry/configuration edits captured by kernel drivers (e.g., CrowdStrike Falcon, SentinelOne, Microsoft Defender for Endpoint, osquery, AuditD).</w:t>
      </w:r>
    </w:p>
    <w:p>
      <w:pPr>
        <w:spacing w:line="360" w:lineRule="auto" w:after="120"/>
        <w:jc w:val="both"/>
      </w:pPr>
      <w:r>
        <w:rPr>
          <w:rFonts w:ascii="Times New Roman" w:hAnsi="Times New Roman"/>
          <w:b w:val="0"/>
          <w:i w:val="0"/>
          <w:color w:val="000000"/>
          <w:sz w:val="24"/>
        </w:rPr>
        <w:t>2. Identity and Access Management (IAM) and Authentication Streams: User sign-in attempts, multi-factor authentication (MFA) challenges, privilege escalations, OAuth application grants, cross-tenant identity assertions, and service account token minting (e.g., Okta SystemLog, Azure AD / Entra ID audit logs, Ping Identity, AWS IAM).</w:t>
      </w:r>
    </w:p>
    <w:p>
      <w:pPr>
        <w:spacing w:line="360" w:lineRule="auto" w:after="120"/>
        <w:jc w:val="both"/>
      </w:pPr>
      <w:r>
        <w:rPr>
          <w:rFonts w:ascii="Times New Roman" w:hAnsi="Times New Roman"/>
          <w:b w:val="0"/>
          <w:i w:val="0"/>
          <w:color w:val="000000"/>
          <w:sz w:val="24"/>
        </w:rPr>
        <w:t>3. Cloud Infrastructure and Control Plane Audit Trails: API control-plane calls, security group modifications, S3 bucket policy alterations, Kubernetes API server audit records, role assumptions, and administrative mutations (e.g., AWS CloudTrail, GCP Cloud Audit Logs, Azure Activity Logs, Kubernetes Audit Logs).</w:t>
      </w:r>
    </w:p>
    <w:p>
      <w:pPr>
        <w:spacing w:line="360" w:lineRule="auto" w:after="120"/>
        <w:jc w:val="both"/>
      </w:pPr>
      <w:r>
        <w:rPr>
          <w:rFonts w:ascii="Times New Roman" w:hAnsi="Times New Roman"/>
          <w:b w:val="0"/>
          <w:i w:val="0"/>
          <w:color w:val="000000"/>
          <w:sz w:val="24"/>
        </w:rPr>
        <w:t>4. Network Detection and Response (NDR) and Perimeter Sensors: Deep packet inspection (DPI) summaries, flow records (NetFlow, IPFIX), DNS transaction logs, TLS certificate handshakes, HTTP/HTTPS session metadata, and firewall session drops (e.g., Zeek, Suricata, Palo Alto Networks, Fortinet, Cloudflare Zero Trust).</w:t>
      </w:r>
    </w:p>
    <w:p>
      <w:pPr>
        <w:spacing w:line="360" w:lineRule="auto" w:after="120"/>
        <w:jc w:val="both"/>
      </w:pPr>
      <w:r>
        <w:rPr>
          <w:rFonts w:ascii="Times New Roman" w:hAnsi="Times New Roman"/>
          <w:b w:val="0"/>
          <w:i w:val="0"/>
          <w:color w:val="000000"/>
          <w:sz w:val="24"/>
        </w:rPr>
        <w:t>5. Software-as-a-Service (SaaS) and Application Telemetry: Repository commit activity, pull request merges, personal access token (PAT) minting, enterprise messaging exports, email gateway transaction records, and CRM customer export logs (e.g., GitHub Enterprise, Slack, Google Workspace, Microsoft 365 Defender).</w:t>
      </w:r>
    </w:p>
    <w:p>
      <w:pPr>
        <w:spacing w:line="360" w:lineRule="auto" w:after="120"/>
        <w:jc w:val="both"/>
      </w:pPr>
      <w:r>
        <w:rPr>
          <w:rFonts w:ascii="Times New Roman" w:hAnsi="Times New Roman"/>
          <w:b w:val="0"/>
          <w:i w:val="0"/>
          <w:color w:val="000000"/>
          <w:sz w:val="24"/>
        </w:rPr>
        <w:t>The foundational challenge in contemporary cybersecurity engineering is that while sensory log collection has become ubiquitous, the automated synthesis, cognitive correlation, and autonomous containment of threats across these multi-layered telemetry streams remain primitive, fragmented, and overwhelmed by noise.</w:t>
      </w:r>
    </w:p>
    <w:p>
      <w:pPr>
        <w:spacing w:before="280" w:after="120" w:line="360" w:lineRule="auto"/>
        <w:jc w:val="left"/>
      </w:pPr>
      <w:r>
        <w:rPr>
          <w:rFonts w:ascii="Times New Roman" w:hAnsi="Times New Roman"/>
          <w:b/>
          <w:color w:val="000000"/>
          <w:sz w:val="24"/>
        </w:rPr>
        <w:t>1.2 Problem Statement</w:t>
      </w:r>
    </w:p>
    <w:p>
      <w:pPr>
        <w:spacing w:line="360" w:lineRule="auto" w:after="120"/>
        <w:jc w:val="both"/>
      </w:pPr>
      <w:r>
        <w:rPr>
          <w:rFonts w:ascii="Times New Roman" w:hAnsi="Times New Roman"/>
          <w:b w:val="0"/>
          <w:i w:val="0"/>
          <w:color w:val="000000"/>
          <w:sz w:val="24"/>
        </w:rPr>
        <w:t>Enterprise cybersecurity operations face four existential challenges that severely compromise organizational resilience and leave corporate networks vulnerable to catastrophic breaches:</w:t>
      </w:r>
    </w:p>
    <w:p>
      <w:pPr>
        <w:spacing w:before="200" w:after="80" w:line="360" w:lineRule="auto"/>
        <w:jc w:val="left"/>
      </w:pPr>
      <w:r>
        <w:rPr>
          <w:rFonts w:ascii="Times New Roman" w:hAnsi="Times New Roman"/>
          <w:b/>
          <w:color w:val="000000"/>
          <w:sz w:val="24"/>
        </w:rPr>
        <w:t>1.2.1 Catastrophic Alert Volume and Analyst Alert Fatigue</w:t>
      </w:r>
    </w:p>
    <w:p>
      <w:pPr>
        <w:spacing w:line="360" w:lineRule="auto" w:after="120"/>
        <w:jc w:val="both"/>
      </w:pPr>
      <w:r>
        <w:rPr>
          <w:rFonts w:ascii="Times New Roman" w:hAnsi="Times New Roman"/>
          <w:b w:val="0"/>
          <w:i w:val="0"/>
          <w:color w:val="000000"/>
          <w:sz w:val="24"/>
        </w:rPr>
        <w:t>A standard enterprise SOC ingests between 10,000 and 500,000 discrete security events and raw alert notifications every single day. Due to the high sensitivity of heuristic and signature-based detection rules, over 80% to 92% of these alerts represent benign operational anomalies, false positives, or redundant duplicates caused by automated enterprise workflows (e.g., routine IT software updates, vulnerability scanners, batch database backups).</w:t>
      </w:r>
    </w:p>
    <w:p>
      <w:pPr>
        <w:spacing w:line="360" w:lineRule="auto" w:after="120"/>
        <w:jc w:val="both"/>
      </w:pPr>
      <w:r>
        <w:rPr>
          <w:rFonts w:ascii="Times New Roman" w:hAnsi="Times New Roman"/>
          <w:b w:val="0"/>
          <w:i w:val="0"/>
          <w:color w:val="000000"/>
          <w:sz w:val="24"/>
        </w:rPr>
        <w:t>Human Tier-1 security analysts are physically and cognitively incapable of reviewing this immense volume. Analysts are subjected to repetitive, low-context ticket triage, spending 3 to 5 minutes per alert manually copying indicators across disconnected web portals. This cognitive overload leads to severe "alert fatigue," where genuine high-priority adversarial intrusions are inadvertently dismissed, overlooked, or delayed in long backlogs.</w:t>
      </w:r>
    </w:p>
    <w:p>
      <w:pPr>
        <w:spacing w:before="200" w:after="40"/>
        <w:jc w:val="center"/>
      </w:pPr>
      <w:r>
        <w:drawing>
          <wp:inline xmlns:a="http://schemas.openxmlformats.org/drawingml/2006/main" xmlns:pic="http://schemas.openxmlformats.org/drawingml/2006/picture">
            <wp:extent cx="5120640" cy="2725964"/>
            <wp:docPr id="2" name="Picture 2"/>
            <wp:cNvGraphicFramePr>
              <a:graphicFrameLocks noChangeAspect="1"/>
            </wp:cNvGraphicFramePr>
            <a:graphic>
              <a:graphicData uri="http://schemas.openxmlformats.org/drawingml/2006/picture">
                <pic:pic>
                  <pic:nvPicPr>
                    <pic:cNvPr id="0" name="fig1_2_alert_fatigue.png"/>
                    <pic:cNvPicPr/>
                  </pic:nvPicPr>
                  <pic:blipFill>
                    <a:blip r:embed="rId10"/>
                    <a:stretch>
                      <a:fillRect/>
                    </a:stretch>
                  </pic:blipFill>
                  <pic:spPr>
                    <a:xfrm>
                      <a:off x="0" y="0"/>
                      <a:ext cx="5120640" cy="2725964"/>
                    </a:xfrm>
                    <a:prstGeom prst="rect"/>
                  </pic:spPr>
                </pic:pic>
              </a:graphicData>
            </a:graphic>
          </wp:inline>
        </w:drawing>
      </w:r>
    </w:p>
    <w:p>
      <w:pPr>
        <w:spacing w:before="40" w:after="200"/>
        <w:jc w:val="center"/>
      </w:pPr>
      <w:r>
        <w:rPr>
          <w:rFonts w:ascii="Times New Roman" w:hAnsi="Times New Roman"/>
          <w:b/>
          <w:color w:val="111827"/>
          <w:sz w:val="21"/>
        </w:rPr>
        <w:t>Figure 1.2: The Tier-1 SOC Alert Fatigue Crisis and Analysis Bottleneck</w:t>
      </w:r>
    </w:p>
    <w:p>
      <w:pPr>
        <w:spacing w:before="200" w:after="80" w:line="360" w:lineRule="auto"/>
        <w:jc w:val="left"/>
      </w:pPr>
      <w:r>
        <w:rPr>
          <w:rFonts w:ascii="Times New Roman" w:hAnsi="Times New Roman"/>
          <w:b/>
          <w:color w:val="000000"/>
          <w:sz w:val="24"/>
        </w:rPr>
        <w:t>1.2.2 Severe Context Fragmentation and Data Silos</w:t>
      </w:r>
    </w:p>
    <w:p>
      <w:pPr>
        <w:spacing w:line="360" w:lineRule="auto" w:after="120"/>
        <w:jc w:val="both"/>
      </w:pPr>
      <w:r>
        <w:rPr>
          <w:rFonts w:ascii="Times New Roman" w:hAnsi="Times New Roman"/>
          <w:b w:val="0"/>
          <w:i w:val="0"/>
          <w:color w:val="000000"/>
          <w:sz w:val="24"/>
        </w:rPr>
        <w:t>Cyber threats do not operate in isolation within a single log source. A modern multi-stage attack—such as a ransomware campaign or an Advanced Persistent Threat (APT)—traverses multiple domains: starting with a phishing email (Email Gateway), proceeding to initial execution and credential dumping on a workstation (EDR), escalating privileges via a compromised cloud token (IAM), pivoting across internal subnets (NDR), and finally exfiltrating database archives from an S3 bucket (CloudTrail).</w:t>
      </w:r>
    </w:p>
    <w:p>
      <w:pPr>
        <w:spacing w:line="360" w:lineRule="auto" w:after="120"/>
        <w:jc w:val="both"/>
      </w:pPr>
      <w:r>
        <w:rPr>
          <w:rFonts w:ascii="Times New Roman" w:hAnsi="Times New Roman"/>
          <w:b w:val="0"/>
          <w:i w:val="0"/>
          <w:color w:val="000000"/>
          <w:sz w:val="24"/>
        </w:rPr>
        <w:t>In traditional SOC environments, each telemetry stream resides in a proprietary, disconnected database or vendor console. Reconstructing the complete attack path requires an analyst to perform manual mental joins across IP addresses, MAC addresses, hostnames, user Principal Names (UPNs), process GUIDs, and cloud Amazon Resource Names (ARNs). This lack of a unified relational knowledge graph severely impedes situational awareness.</w:t>
      </w:r>
    </w:p>
    <w:p>
      <w:pPr>
        <w:spacing w:before="200" w:after="80" w:line="360" w:lineRule="auto"/>
        <w:jc w:val="left"/>
      </w:pPr>
      <w:r>
        <w:rPr>
          <w:rFonts w:ascii="Times New Roman" w:hAnsi="Times New Roman"/>
          <w:b/>
          <w:color w:val="000000"/>
          <w:sz w:val="24"/>
        </w:rPr>
        <w:t>1.2.3 Asymmetric Adversary Velocity vs. Human Mean Time to Remediate (MTTR)</w:t>
      </w:r>
    </w:p>
    <w:p>
      <w:pPr>
        <w:spacing w:line="360" w:lineRule="auto" w:after="120"/>
        <w:jc w:val="both"/>
      </w:pPr>
      <w:r>
        <w:rPr>
          <w:rFonts w:ascii="Times New Roman" w:hAnsi="Times New Roman"/>
          <w:b w:val="0"/>
          <w:i w:val="0"/>
          <w:color w:val="000000"/>
          <w:sz w:val="24"/>
        </w:rPr>
        <w:t>Modern automated threat actors and ransomware operators achieve full network lateral movement, domain controller takeover, and data exfiltration in less than 15 to 45 minutes from initial access. In contrast, the industry average Mean Time to Detect (MTTD) remains over 200 days, and the Mean Time to Remediate (MTTR) for an acknowledged incident spans 45 to 60 minutes of human coordination.</w:t>
      </w:r>
    </w:p>
    <w:p>
      <w:pPr>
        <w:spacing w:line="360" w:lineRule="auto" w:after="120"/>
        <w:jc w:val="both"/>
      </w:pPr>
      <w:r>
        <w:rPr>
          <w:rFonts w:ascii="Times New Roman" w:hAnsi="Times New Roman"/>
          <w:b w:val="0"/>
          <w:i w:val="0"/>
          <w:color w:val="000000"/>
          <w:sz w:val="24"/>
        </w:rPr>
        <w:t>This orders-of-magnitude asymmetry between attacker velocity and human response latency ensures that even when detection rules fire correctly, defenders are structurally too slow to prevent data destruction or exfiltration.</w:t>
      </w:r>
    </w:p>
    <w:p>
      <w:pPr>
        <w:spacing w:before="200" w:after="80" w:line="360" w:lineRule="auto"/>
        <w:jc w:val="left"/>
      </w:pPr>
      <w:r>
        <w:rPr>
          <w:rFonts w:ascii="Times New Roman" w:hAnsi="Times New Roman"/>
          <w:b/>
          <w:color w:val="000000"/>
          <w:sz w:val="24"/>
        </w:rPr>
        <w:t>1.2.4 Opaque, Brittle, and Dangerous Scripted Automation</w:t>
      </w:r>
    </w:p>
    <w:p>
      <w:pPr>
        <w:spacing w:line="360" w:lineRule="auto" w:after="120"/>
        <w:jc w:val="both"/>
      </w:pPr>
      <w:r>
        <w:rPr>
          <w:rFonts w:ascii="Times New Roman" w:hAnsi="Times New Roman"/>
          <w:b w:val="0"/>
          <w:i w:val="0"/>
          <w:color w:val="000000"/>
          <w:sz w:val="24"/>
        </w:rPr>
        <w:t>First-generation Security Orchestration, Automation, and Response (SOAR) platforms attempt to solve latency by deploying static, linear scripts (e.g., Python scripts triggered by webhooks). However, these legacy playbooks are extremely brittle: they lack semantic reasoning, cannot handle schema variations or unexpected network errors, and execute "blind" containment actions (e.g., isolating a mission-critical database server or blocking an internal core DNS router) without evaluating the operational blast radius.</w:t>
      </w:r>
    </w:p>
    <w:p>
      <w:pPr>
        <w:spacing w:before="280" w:after="120" w:line="360" w:lineRule="auto"/>
        <w:jc w:val="left"/>
      </w:pPr>
      <w:r>
        <w:rPr>
          <w:rFonts w:ascii="Times New Roman" w:hAnsi="Times New Roman"/>
          <w:b/>
          <w:color w:val="000000"/>
          <w:sz w:val="24"/>
        </w:rPr>
        <w:t>1.3 Motivation</w:t>
      </w:r>
    </w:p>
    <w:p>
      <w:pPr>
        <w:spacing w:line="360" w:lineRule="auto" w:after="120"/>
        <w:jc w:val="both"/>
      </w:pPr>
      <w:r>
        <w:rPr>
          <w:rFonts w:ascii="Times New Roman" w:hAnsi="Times New Roman"/>
          <w:b w:val="0"/>
          <w:i w:val="0"/>
          <w:color w:val="000000"/>
          <w:sz w:val="24"/>
        </w:rPr>
        <w:t>The central motivation of this project is to eliminate the architectural and operational bottlenecks of legacy SOCs by building AiSOC—an autonomous, open-source, multi-agent AI Security Operations Center platform.</w:t>
      </w:r>
    </w:p>
    <w:p>
      <w:pPr>
        <w:spacing w:line="360" w:lineRule="auto" w:after="120"/>
        <w:jc w:val="both"/>
      </w:pPr>
      <w:r>
        <w:rPr>
          <w:rFonts w:ascii="Times New Roman" w:hAnsi="Times New Roman"/>
          <w:b w:val="0"/>
          <w:i w:val="0"/>
          <w:color w:val="000000"/>
          <w:sz w:val="24"/>
        </w:rPr>
        <w:t>Recent breakthroughs in Large Language Models (LLMs), stateful multi-agent directed acyclic graphs (LangGraph), graph database theory (Neo4j property graphs), and streaming locality-sensitive hashing (Simhash) provide a transformative opportunity to convert the SOC from a reactive human ticket-processing queue into an autonomous, closed-loop, self-improving cognitive immune system.</w:t>
      </w:r>
    </w:p>
    <w:p>
      <w:pPr>
        <w:spacing w:line="360" w:lineRule="auto" w:after="120"/>
        <w:jc w:val="both"/>
      </w:pPr>
      <w:r>
        <w:rPr>
          <w:rFonts w:ascii="Times New Roman" w:hAnsi="Times New Roman"/>
          <w:b w:val="0"/>
          <w:i w:val="0"/>
          <w:color w:val="000000"/>
          <w:sz w:val="24"/>
        </w:rPr>
        <w:t>By unifying universal schema normalization via the Open Cybersecurity Schema Framework (OCSF v1.1.0), in-memory knowledge-graph relational modeling, machine-learning-driven alert deduplication, and specialized agent collaboration (Detect, Triage, Hunt, Respond), AiSOC empowers organizations to achieve sub-second autonomous investigation and containment while preserving absolute human-in-the-loop safety through mathematical blast-radius gating.</w:t>
      </w:r>
    </w:p>
    <w:p>
      <w:pPr>
        <w:spacing w:before="280" w:after="120" w:line="360" w:lineRule="auto"/>
        <w:jc w:val="left"/>
      </w:pPr>
      <w:r>
        <w:rPr>
          <w:rFonts w:ascii="Times New Roman" w:hAnsi="Times New Roman"/>
          <w:b/>
          <w:color w:val="000000"/>
          <w:sz w:val="24"/>
        </w:rPr>
        <w:t>1.4 Objectives of the Project</w:t>
      </w:r>
    </w:p>
    <w:p>
      <w:pPr>
        <w:spacing w:line="360" w:lineRule="auto" w:after="120"/>
        <w:jc w:val="both"/>
      </w:pPr>
      <w:r>
        <w:rPr>
          <w:rFonts w:ascii="Times New Roman" w:hAnsi="Times New Roman"/>
          <w:b w:val="0"/>
          <w:i w:val="0"/>
          <w:color w:val="000000"/>
          <w:sz w:val="24"/>
        </w:rPr>
        <w:t>The core technical and functional objectives of this project are structured as follows:</w:t>
      </w:r>
    </w:p>
    <w:p>
      <w:pPr>
        <w:spacing w:line="360" w:lineRule="auto" w:after="120"/>
        <w:jc w:val="both"/>
      </w:pPr>
      <w:r>
        <w:rPr>
          <w:rFonts w:ascii="Times New Roman" w:hAnsi="Times New Roman"/>
          <w:b w:val="0"/>
          <w:i w:val="0"/>
          <w:color w:val="000000"/>
          <w:sz w:val="24"/>
        </w:rPr>
        <w:t>1. High-Throughput Universal Telemetry Ingestion: Design and implement a microsecond-latency ingestion engine in Go 1.21 capable of parsing heterogeneous security feeds (Syslog, Webhooks, Splunk HEC, CEF) and normalizing them into canonical OCSF v1.1.0 JSON event schemas.</w:t>
      </w:r>
    </w:p>
    <w:p>
      <w:pPr>
        <w:spacing w:line="360" w:lineRule="auto" w:after="120"/>
        <w:jc w:val="both"/>
      </w:pPr>
      <w:r>
        <w:rPr>
          <w:rFonts w:ascii="Times New Roman" w:hAnsi="Times New Roman"/>
          <w:b w:val="0"/>
          <w:i w:val="0"/>
          <w:color w:val="000000"/>
          <w:sz w:val="24"/>
        </w:rPr>
        <w:t>2. Real-Time MITRE ATT&amp;CK TTP Extraction: Embed an in-memory Aho-Corasick technique tagger within the ingestion hot path to automatically map incoming event command-lines and behavior strings to MITRE ATT&amp;CK v14.1 tactics and techniques in under 5 milliseconds.</w:t>
      </w:r>
    </w:p>
    <w:p>
      <w:pPr>
        <w:spacing w:line="360" w:lineRule="auto" w:after="120"/>
        <w:jc w:val="both"/>
      </w:pPr>
      <w:r>
        <w:rPr>
          <w:rFonts w:ascii="Times New Roman" w:hAnsi="Times New Roman"/>
          <w:b w:val="0"/>
          <w:i w:val="0"/>
          <w:color w:val="000000"/>
          <w:sz w:val="24"/>
        </w:rPr>
        <w:t>3. Hybrid Alert Fusion and Noise Reduction: Develop an intelligent alert fusion pipeline combining 64-bit Simhash locality-sensitive hashing for sliding-window deduplication with a dual-stage MLScorer (Isolation Forest for unsupervised anomaly estimation and LightGBM LambdaRank for context-weighted priority ranking), achieving &gt;= 85% noise elimination.</w:t>
      </w:r>
    </w:p>
    <w:p>
      <w:pPr>
        <w:spacing w:line="360" w:lineRule="auto" w:after="120"/>
        <w:jc w:val="both"/>
      </w:pPr>
      <w:r>
        <w:rPr>
          <w:rFonts w:ascii="Times New Roman" w:hAnsi="Times New Roman"/>
          <w:b w:val="0"/>
          <w:i w:val="0"/>
          <w:color w:val="000000"/>
          <w:sz w:val="24"/>
        </w:rPr>
        <w:t>4. Enterprise Knowledge Graph Construction: Implement a native Neo4j property graph database modeling entities (Hosts, Users, IOCs, Alerts, Cases, Tactics, Techniques, Threat Actors) with optimized Cypher queries to compute attack paths and 3-hop blast-radius traversals in real time.</w:t>
      </w:r>
    </w:p>
    <w:p>
      <w:pPr>
        <w:spacing w:line="360" w:lineRule="auto" w:after="120"/>
        <w:jc w:val="both"/>
      </w:pPr>
      <w:r>
        <w:rPr>
          <w:rFonts w:ascii="Times New Roman" w:hAnsi="Times New Roman"/>
          <w:b w:val="0"/>
          <w:i w:val="0"/>
          <w:color w:val="000000"/>
          <w:sz w:val="24"/>
        </w:rPr>
        <w:t>5. Multi-Agent Cognitive Orchestration: Construct a stateful, collaborative multi-agent Directed Acyclic Graph (DAG) using LangGraph comprising DetectAgent, TriageAgent, HuntAgent, and RespondAgent to autonomously execute end-to-end alert verification, query synthesis (ES|QL, SPL, KQL), and forensic reasoning.</w:t>
      </w:r>
    </w:p>
    <w:p>
      <w:pPr>
        <w:spacing w:line="360" w:lineRule="auto" w:after="120"/>
        <w:jc w:val="both"/>
      </w:pPr>
      <w:r>
        <w:rPr>
          <w:rFonts w:ascii="Times New Roman" w:hAnsi="Times New Roman"/>
          <w:b w:val="0"/>
          <w:i w:val="0"/>
          <w:color w:val="000000"/>
          <w:sz w:val="24"/>
        </w:rPr>
        <w:t>6. Blast-Radius Gated Containment Controller: Engineer a safety-gated SOAR action execution engine operating under an L0–L4 Automation Maturity Model, ensuring high-impact actions (host isolation, account suspension) are verified against graph blast-radius caps and approved via Slack/Web ChatOps hooks.</w:t>
      </w:r>
    </w:p>
    <w:p>
      <w:pPr>
        <w:spacing w:line="360" w:lineRule="auto" w:after="120"/>
        <w:jc w:val="both"/>
      </w:pPr>
      <w:r>
        <w:rPr>
          <w:rFonts w:ascii="Times New Roman" w:hAnsi="Times New Roman"/>
          <w:b w:val="0"/>
          <w:i w:val="0"/>
          <w:color w:val="000000"/>
          <w:sz w:val="24"/>
        </w:rPr>
        <w:t>7. Modern SOC Analyst Workbench: Build a responsive Next.js 14 / React 19 web console featuring real-time WebSocket alert streaming, a two-pane Investigation Rail with narrative projections, interactive Cytoscape graph visualizers, and one-click PDF post-mortem report generation.</w:t>
      </w:r>
    </w:p>
    <w:p>
      <w:pPr>
        <w:spacing w:line="360" w:lineRule="auto" w:after="120"/>
        <w:jc w:val="both"/>
      </w:pPr>
      <w:r>
        <w:rPr>
          <w:rFonts w:ascii="Times New Roman" w:hAnsi="Times New Roman"/>
          <w:b w:val="0"/>
          <w:i w:val="0"/>
          <w:color w:val="000000"/>
          <w:sz w:val="24"/>
        </w:rPr>
        <w:t>8. Empirical Evaluation and Benchmark Validation: Validate the platform against a rigorous 200-incident benchmark dataset spanning 5 standard attack classes, proving superior noise reduction, MTTR compression, and MITRE mapping accuracy.</w:t>
      </w:r>
    </w:p>
    <w:p>
      <w:pPr>
        <w:spacing w:before="280" w:after="120" w:line="360" w:lineRule="auto"/>
        <w:jc w:val="left"/>
      </w:pPr>
      <w:r>
        <w:rPr>
          <w:rFonts w:ascii="Times New Roman" w:hAnsi="Times New Roman"/>
          <w:b/>
          <w:color w:val="000000"/>
          <w:sz w:val="24"/>
        </w:rPr>
        <w:t>1.5 Ethical, Social, and Professional Issues</w:t>
      </w:r>
    </w:p>
    <w:p>
      <w:pPr>
        <w:spacing w:before="200" w:after="80" w:line="360" w:lineRule="auto"/>
        <w:jc w:val="left"/>
      </w:pPr>
      <w:r>
        <w:rPr>
          <w:rFonts w:ascii="Times New Roman" w:hAnsi="Times New Roman"/>
          <w:b/>
          <w:color w:val="000000"/>
          <w:sz w:val="24"/>
        </w:rPr>
        <w:t>1.5.1 Algorithmic Accountability and Explainability</w:t>
      </w:r>
    </w:p>
    <w:p>
      <w:pPr>
        <w:spacing w:line="360" w:lineRule="auto" w:after="120"/>
        <w:jc w:val="both"/>
      </w:pPr>
      <w:r>
        <w:rPr>
          <w:rFonts w:ascii="Times New Roman" w:hAnsi="Times New Roman"/>
          <w:b w:val="0"/>
          <w:i w:val="0"/>
          <w:color w:val="000000"/>
          <w:sz w:val="24"/>
        </w:rPr>
        <w:t>Deploying autonomous AI agents into defensive security operations carries critical accountability obligations. If an autonomous system isolates an executive's workstation or disconnects a production server during a high-traffic business hour, security engineers must understand exactly why the decision was taken. AiSOC addresses algorithmic opacity by enforcing a deterministic Investigation Ledger. Every prompt, intermediate LLM thought token, tool call argument, and confidence score is permanently serialized into PostgreSQL, providing full auditability and step-by-step investigation replayability.</w:t>
      </w:r>
    </w:p>
    <w:p>
      <w:pPr>
        <w:spacing w:before="200" w:after="80" w:line="360" w:lineRule="auto"/>
        <w:jc w:val="left"/>
      </w:pPr>
      <w:r>
        <w:rPr>
          <w:rFonts w:ascii="Times New Roman" w:hAnsi="Times New Roman"/>
          <w:b/>
          <w:color w:val="000000"/>
          <w:sz w:val="24"/>
        </w:rPr>
        <w:t>1.5.2 Employee Privacy and Telemetry Data Sanitization</w:t>
      </w:r>
    </w:p>
    <w:p>
      <w:pPr>
        <w:spacing w:line="360" w:lineRule="auto" w:after="120"/>
        <w:jc w:val="both"/>
      </w:pPr>
      <w:r>
        <w:rPr>
          <w:rFonts w:ascii="Times New Roman" w:hAnsi="Times New Roman"/>
          <w:b w:val="0"/>
          <w:i w:val="0"/>
          <w:color w:val="000000"/>
          <w:sz w:val="24"/>
        </w:rPr>
        <w:t>Enterprise security telemetry inherently captures sensitive employee data, including email subject lines, file system paths, browsing histories, and geographic login coordinates. Exposing raw Personally Identifiable Information (PII) to external cloud-hosted LLM endpoints poses compliance and privacy risks under regulations such as GDPR and CCPA. AiSOC incorporates automated pre-prompt redaction pipelines and provides an air-gapped deployment topology utilizing local open-weights LLMs (e.g., Llama-3, Mistral) hosted on private infrastructure via Ollama/LiteLLM.</w:t>
      </w:r>
    </w:p>
    <w:p>
      <w:pPr>
        <w:spacing w:before="200" w:after="80" w:line="360" w:lineRule="auto"/>
        <w:jc w:val="left"/>
      </w:pPr>
      <w:r>
        <w:rPr>
          <w:rFonts w:ascii="Times New Roman" w:hAnsi="Times New Roman"/>
          <w:b/>
          <w:color w:val="000000"/>
          <w:sz w:val="24"/>
        </w:rPr>
        <w:t>1.5.3 Social and Workforce Impact on Cybersecurity Professionals</w:t>
      </w:r>
    </w:p>
    <w:p>
      <w:pPr>
        <w:spacing w:line="360" w:lineRule="auto" w:after="120"/>
        <w:jc w:val="both"/>
      </w:pPr>
      <w:r>
        <w:rPr>
          <w:rFonts w:ascii="Times New Roman" w:hAnsi="Times New Roman"/>
          <w:b w:val="0"/>
          <w:i w:val="0"/>
          <w:color w:val="000000"/>
          <w:sz w:val="24"/>
        </w:rPr>
        <w:t>A frequent concern regarding AI automation is the displacement of human labor. However, in the cybersecurity domain, there is a global shortage of over 3.4 million cybersecurity professionals. Rather than replacing human analysts, AiSOC acts as an "intelligence multiplier" and cognitive shield. By autonomously filtering benign noise and synthesizing structured investigative dossiers, AiSOC relieves human operators from mundane clicking, allowing them to focus on proactive threat hunting, strategic threat modeling, and resilience engineering.</w:t>
      </w:r>
    </w:p>
    <w:p>
      <w:pPr>
        <w:spacing w:before="280" w:after="120" w:line="360" w:lineRule="auto"/>
        <w:jc w:val="left"/>
      </w:pPr>
      <w:r>
        <w:rPr>
          <w:rFonts w:ascii="Times New Roman" w:hAnsi="Times New Roman"/>
          <w:b/>
          <w:color w:val="000000"/>
          <w:sz w:val="24"/>
        </w:rPr>
        <w:t>1.6 Enterprise Threat Landscape &amp; Regulatory Frameworks</w:t>
      </w:r>
    </w:p>
    <w:p>
      <w:pPr>
        <w:spacing w:line="360" w:lineRule="auto" w:after="120"/>
        <w:jc w:val="both"/>
      </w:pPr>
      <w:r>
        <w:rPr>
          <w:rFonts w:ascii="Times New Roman" w:hAnsi="Times New Roman"/>
          <w:b w:val="0"/>
          <w:i w:val="0"/>
          <w:color w:val="000000"/>
          <w:sz w:val="24"/>
        </w:rPr>
        <w:t>To ensure comprehensive compliance across highly regulated commercial and government sectors, AiSOC aligns its internal control mechanics with leading international regulatory and cybersecurity governance frameworks:</w:t>
      </w:r>
    </w:p>
    <w:p>
      <w:pPr>
        <w:spacing w:line="360" w:lineRule="auto" w:after="120"/>
        <w:jc w:val="both"/>
      </w:pPr>
      <w:r>
        <w:rPr>
          <w:rFonts w:ascii="Times New Roman" w:hAnsi="Times New Roman"/>
          <w:b w:val="0"/>
          <w:i w:val="0"/>
          <w:color w:val="000000"/>
          <w:sz w:val="24"/>
        </w:rPr>
        <w:t>1. NIST Cybersecurity Framework (NIST CSF 2.0): AiSOC maps directly to the five core functions: Identify (Knowledge Graph Asset Inventory), Protect (Gated Access Controls), Detect (Sub-second Ingest &amp; MLScorer), Respond (Multi-Agent Containment), and Recover (Automated Incident Dossiers and Action Rollbacks).</w:t>
      </w:r>
    </w:p>
    <w:p>
      <w:pPr>
        <w:spacing w:line="360" w:lineRule="auto" w:after="120"/>
        <w:jc w:val="both"/>
      </w:pPr>
      <w:r>
        <w:rPr>
          <w:rFonts w:ascii="Times New Roman" w:hAnsi="Times New Roman"/>
          <w:b w:val="0"/>
          <w:i w:val="0"/>
          <w:color w:val="000000"/>
          <w:sz w:val="24"/>
        </w:rPr>
        <w:t>2. ISO/IEC 27001:2022 Controls: Implements Annex A.8.15 (Logging), A.8.16 (Monitoring activities), and A.8.20 (Network security) through immutable cryptographic audit logging, continuous behavioral anomaly detection, and automated containment gating.</w:t>
      </w:r>
    </w:p>
    <w:p>
      <w:pPr>
        <w:spacing w:line="360" w:lineRule="auto" w:after="120"/>
        <w:jc w:val="both"/>
      </w:pPr>
      <w:r>
        <w:rPr>
          <w:rFonts w:ascii="Times New Roman" w:hAnsi="Times New Roman"/>
          <w:b w:val="0"/>
          <w:i w:val="0"/>
          <w:color w:val="000000"/>
          <w:sz w:val="24"/>
        </w:rPr>
        <w:t>3. SOC 2 Type II Trust Services Criteria: Satisfies Common Criteria CC7.2 (Infrastructure and Software Monitoring) and CC7.3 (Incident Evaluation and Containment) via verified end-to-end investigation replayability and tenant isolation.</w:t>
      </w:r>
    </w:p>
    <w:p>
      <w:pPr>
        <w:spacing w:line="360" w:lineRule="auto" w:after="120"/>
        <w:jc w:val="both"/>
      </w:pPr>
      <w:r>
        <w:rPr>
          <w:rFonts w:ascii="Times New Roman" w:hAnsi="Times New Roman"/>
          <w:b w:val="0"/>
          <w:i w:val="0"/>
          <w:color w:val="000000"/>
          <w:sz w:val="24"/>
        </w:rPr>
        <w:t>4. Health Insurance Portability and Accountability Act (HIPAA): Safeguards electronic Protected Health Information (ePHI) through strict pre-prompt redaction of medical identifier strings and local air-gapped LLM inference options.</w:t>
      </w:r>
    </w:p>
    <w:p>
      <w:pPr>
        <w:spacing w:before="280" w:after="120" w:line="360" w:lineRule="auto"/>
        <w:jc w:val="left"/>
      </w:pPr>
      <w:r>
        <w:rPr>
          <w:rFonts w:ascii="Times New Roman" w:hAnsi="Times New Roman"/>
          <w:b/>
          <w:color w:val="000000"/>
          <w:sz w:val="24"/>
        </w:rPr>
        <w:t>1.7 System Feasibility Analysis</w:t>
      </w:r>
    </w:p>
    <w:p>
      <w:pPr>
        <w:spacing w:line="360" w:lineRule="auto" w:after="120"/>
        <w:jc w:val="both"/>
      </w:pPr>
      <w:r>
        <w:rPr>
          <w:rFonts w:ascii="Times New Roman" w:hAnsi="Times New Roman"/>
          <w:b w:val="0"/>
          <w:i w:val="0"/>
          <w:color w:val="000000"/>
          <w:sz w:val="24"/>
        </w:rPr>
        <w:t>Prior to architectural engineering, a four-dimensional feasibility analysis was conducted:</w:t>
      </w:r>
    </w:p>
    <w:p>
      <w:pPr>
        <w:spacing w:line="360" w:lineRule="auto" w:after="120"/>
        <w:jc w:val="both"/>
      </w:pPr>
      <w:r>
        <w:rPr>
          <w:rFonts w:ascii="Times New Roman" w:hAnsi="Times New Roman"/>
          <w:b w:val="0"/>
          <w:i w:val="0"/>
          <w:color w:val="000000"/>
          <w:sz w:val="24"/>
        </w:rPr>
        <w:t>1. Technical Feasibility: The integration of Go 1.21 for microsecond network serialization, Neo4j 5.18 for property graph traversals, and LangGraph for deterministic stateful agent routing is fully supported by modern open-source toolchains and tested compiler infrastructures.</w:t>
      </w:r>
    </w:p>
    <w:p>
      <w:pPr>
        <w:spacing w:line="360" w:lineRule="auto" w:after="120"/>
        <w:jc w:val="both"/>
      </w:pPr>
      <w:r>
        <w:rPr>
          <w:rFonts w:ascii="Times New Roman" w:hAnsi="Times New Roman"/>
          <w:b w:val="0"/>
          <w:i w:val="0"/>
          <w:color w:val="000000"/>
          <w:sz w:val="24"/>
        </w:rPr>
        <w:t>2. Economic Feasibility: By filtering over 85% of redundant alert noise prior to LLM invocation, AiSOC reduces API token expenditures by more than 80%, providing a return on investment (ROI) that drastically lowers commercial SIEM/SOAR operational costs.</w:t>
      </w:r>
    </w:p>
    <w:p>
      <w:pPr>
        <w:spacing w:line="360" w:lineRule="auto" w:after="120"/>
        <w:jc w:val="both"/>
      </w:pPr>
      <w:r>
        <w:rPr>
          <w:rFonts w:ascii="Times New Roman" w:hAnsi="Times New Roman"/>
          <w:b w:val="0"/>
          <w:i w:val="0"/>
          <w:color w:val="000000"/>
          <w:sz w:val="24"/>
        </w:rPr>
        <w:t>3. Operational Feasibility: The platform adopts standard enterprise protocols (Syslog, Kafka, REST, WebSockets) and supports zero-dependency local simulation (`aisoc-sandbox`), ensuring frictionless adoption across existing SOC engineering workflows.</w:t>
      </w:r>
    </w:p>
    <w:p>
      <w:pPr>
        <w:spacing w:line="360" w:lineRule="auto" w:after="120"/>
        <w:jc w:val="both"/>
      </w:pPr>
      <w:r>
        <w:rPr>
          <w:rFonts w:ascii="Times New Roman" w:hAnsi="Times New Roman"/>
          <w:b w:val="0"/>
          <w:i w:val="0"/>
          <w:color w:val="000000"/>
          <w:sz w:val="24"/>
        </w:rPr>
        <w:t>4. Legal and Licensing Feasibility: AiSOC is released under the permissive MIT Open Source License, allowing enterprises and research institutions to audit, modify, and host the platform without proprietary lock-in.</w:t>
      </w:r>
    </w:p>
    <w:p>
      <w:pPr>
        <w:spacing w:before="280" w:after="120" w:line="360" w:lineRule="auto"/>
        <w:jc w:val="left"/>
      </w:pPr>
      <w:r>
        <w:rPr>
          <w:rFonts w:ascii="Times New Roman" w:hAnsi="Times New Roman"/>
          <w:b/>
          <w:color w:val="000000"/>
          <w:sz w:val="24"/>
        </w:rPr>
        <w:t>1.8 Project Deliverables and Scope Boundaries</w:t>
      </w:r>
    </w:p>
    <w:p>
      <w:pPr>
        <w:spacing w:line="360" w:lineRule="auto" w:after="120"/>
        <w:jc w:val="both"/>
      </w:pPr>
      <w:r>
        <w:rPr>
          <w:rFonts w:ascii="Times New Roman" w:hAnsi="Times New Roman"/>
          <w:b w:val="0"/>
          <w:i w:val="0"/>
          <w:color w:val="000000"/>
          <w:sz w:val="24"/>
        </w:rPr>
        <w:t>The tangible engineering deliverables produced by this mini-project comprise:</w:t>
      </w:r>
    </w:p>
    <w:p>
      <w:pPr>
        <w:spacing w:line="360" w:lineRule="auto" w:after="120"/>
        <w:jc w:val="both"/>
      </w:pPr>
      <w:r>
        <w:rPr>
          <w:rFonts w:ascii="Times New Roman" w:hAnsi="Times New Roman"/>
          <w:b w:val="0"/>
          <w:i w:val="0"/>
          <w:color w:val="000000"/>
          <w:sz w:val="24"/>
        </w:rPr>
        <w:t>1. Core Microservices Codebase: Complete, production-grade source code for all microservices (`services/ingest` in Go, `services/fusion`, `services/api`, `services/agents`, `services/actions`, `services/threatintel` in Python, and `services/realtime` in Node.js).</w:t>
      </w:r>
    </w:p>
    <w:p>
      <w:pPr>
        <w:spacing w:line="360" w:lineRule="auto" w:after="120"/>
        <w:jc w:val="both"/>
      </w:pPr>
      <w:r>
        <w:rPr>
          <w:rFonts w:ascii="Times New Roman" w:hAnsi="Times New Roman"/>
          <w:b w:val="0"/>
          <w:i w:val="0"/>
          <w:color w:val="000000"/>
          <w:sz w:val="24"/>
        </w:rPr>
        <w:t>2. Next.js 14 SOC Analyst Workbench: Full frontend web application featuring the live alert queue, two-pane Investigation Rail, interactive Cytoscape network graph, and visual SOAR playbook canvas.</w:t>
      </w:r>
    </w:p>
    <w:p>
      <w:pPr>
        <w:spacing w:line="360" w:lineRule="auto" w:after="120"/>
        <w:jc w:val="both"/>
      </w:pPr>
      <w:r>
        <w:rPr>
          <w:rFonts w:ascii="Times New Roman" w:hAnsi="Times New Roman"/>
          <w:b w:val="0"/>
          <w:i w:val="0"/>
          <w:color w:val="000000"/>
          <w:sz w:val="24"/>
        </w:rPr>
        <w:t>3. Standalone Simulation Harness (`aisoc-sandbox`): Zero-dependency Python CLI package capable of running end-to-end multi-agent triage simulations offline in &lt; 10 ms.</w:t>
      </w:r>
    </w:p>
    <w:p>
      <w:pPr>
        <w:spacing w:line="360" w:lineRule="auto" w:after="120"/>
        <w:jc w:val="both"/>
      </w:pPr>
      <w:r>
        <w:rPr>
          <w:rFonts w:ascii="Times New Roman" w:hAnsi="Times New Roman"/>
          <w:b w:val="0"/>
          <w:i w:val="0"/>
          <w:color w:val="000000"/>
          <w:sz w:val="24"/>
        </w:rPr>
        <w:t>4. Empirical Benchmark Suite &amp; 200-Incident Corpus: Curated evaluation datasets with ground-truth MITRE ATT&amp;CK labels, automated evaluation scripts, and statistical validation scoring.</w:t>
      </w:r>
    </w:p>
    <w:p>
      <w:pPr>
        <w:spacing w:line="360" w:lineRule="auto" w:after="120"/>
        <w:jc w:val="both"/>
      </w:pPr>
      <w:r>
        <w:rPr>
          <w:rFonts w:ascii="Times New Roman" w:hAnsi="Times New Roman"/>
          <w:b w:val="0"/>
          <w:i w:val="0"/>
          <w:color w:val="000000"/>
          <w:sz w:val="24"/>
        </w:rPr>
        <w:t>5. Comprehensive Engineering &amp; Operations Documentation: Complete architecture specifications, credential rotation guides, OpenAPI schemas, and academic project reports.</w:t>
      </w:r>
    </w:p>
    <w:p>
      <w:pPr>
        <w:spacing w:before="280" w:after="120" w:line="360" w:lineRule="auto"/>
        <w:jc w:val="left"/>
      </w:pPr>
      <w:r>
        <w:rPr>
          <w:rFonts w:ascii="Times New Roman" w:hAnsi="Times New Roman"/>
          <w:b/>
          <w:color w:val="000000"/>
          <w:sz w:val="24"/>
        </w:rPr>
        <w:t>1.9 Expected Socio-Economic and Enterprise Impacts</w:t>
      </w:r>
    </w:p>
    <w:p>
      <w:pPr>
        <w:spacing w:line="360" w:lineRule="auto" w:after="120"/>
        <w:jc w:val="both"/>
      </w:pPr>
      <w:r>
        <w:rPr>
          <w:rFonts w:ascii="Times New Roman" w:hAnsi="Times New Roman"/>
          <w:b w:val="0"/>
          <w:i w:val="0"/>
          <w:color w:val="000000"/>
          <w:sz w:val="24"/>
        </w:rPr>
        <w:t>The operationalization of AiSOC delivers measurable socio-economic advantages for enterprise security organizations:</w:t>
      </w:r>
    </w:p>
    <w:p>
      <w:pPr>
        <w:spacing w:line="360" w:lineRule="auto" w:after="120"/>
        <w:jc w:val="both"/>
      </w:pPr>
      <w:r>
        <w:rPr>
          <w:rFonts w:ascii="Times New Roman" w:hAnsi="Times New Roman"/>
          <w:b w:val="0"/>
          <w:i w:val="0"/>
          <w:color w:val="000000"/>
          <w:sz w:val="24"/>
        </w:rPr>
        <w:t>• Human Capital Optimization: By automating repetitive Tier-1 triage, cybersecurity personnel can transition from reactive alert queue monitoring to proactive threat hunting, vulnerability research, and security architecture design.</w:t>
      </w:r>
    </w:p>
    <w:p>
      <w:pPr>
        <w:spacing w:line="360" w:lineRule="auto" w:after="120"/>
        <w:jc w:val="both"/>
      </w:pPr>
      <w:r>
        <w:rPr>
          <w:rFonts w:ascii="Times New Roman" w:hAnsi="Times New Roman"/>
          <w:b w:val="0"/>
          <w:i w:val="0"/>
          <w:color w:val="000000"/>
          <w:sz w:val="24"/>
        </w:rPr>
        <w:t>• Mitigation of Critical Breach Losses: Compressing incident response MTTR from 45 minutes to sub-2 seconds directly limits adversary dwell time, preventing multi-million dollar data breaches, extortion demands, and regulatory non-compliance fines.</w:t>
      </w:r>
    </w:p>
    <w:p>
      <w:pPr>
        <w:spacing w:line="360" w:lineRule="auto" w:after="120"/>
        <w:jc w:val="both"/>
      </w:pPr>
      <w:r>
        <w:rPr>
          <w:rFonts w:ascii="Times New Roman" w:hAnsi="Times New Roman"/>
          <w:b w:val="0"/>
          <w:i w:val="0"/>
          <w:color w:val="000000"/>
          <w:sz w:val="24"/>
        </w:rPr>
        <w:t>• Democratization of Enterprise Cyber Defense: Releasing AiSOC as open-source software under the MIT license enables small-to-medium enterprises (SMEs), academic institutions, and developing nations to deploy state-of-the-art autonomous defense without costly commercial licensing barriers.</w:t>
      </w:r>
    </w:p>
    <w:p>
      <w:pPr>
        <w:spacing w:before="280" w:after="120" w:line="360" w:lineRule="auto"/>
        <w:jc w:val="left"/>
      </w:pPr>
      <w:r>
        <w:rPr>
          <w:rFonts w:ascii="Times New Roman" w:hAnsi="Times New Roman"/>
          <w:b/>
          <w:color w:val="000000"/>
          <w:sz w:val="24"/>
        </w:rPr>
        <w:t>1.10 Report Organization</w:t>
      </w:r>
    </w:p>
    <w:p>
      <w:pPr>
        <w:spacing w:line="360" w:lineRule="auto" w:after="120"/>
        <w:jc w:val="both"/>
      </w:pPr>
      <w:r>
        <w:rPr>
          <w:rFonts w:ascii="Times New Roman" w:hAnsi="Times New Roman"/>
          <w:b w:val="0"/>
          <w:i w:val="0"/>
          <w:color w:val="000000"/>
          <w:sz w:val="24"/>
        </w:rPr>
        <w:t>The remainder of this project report is organized as follows:</w:t>
      </w:r>
    </w:p>
    <w:p>
      <w:pPr>
        <w:spacing w:line="360" w:lineRule="auto" w:after="120"/>
        <w:jc w:val="both"/>
      </w:pPr>
      <w:r>
        <w:rPr>
          <w:rFonts w:ascii="Times New Roman" w:hAnsi="Times New Roman"/>
          <w:b w:val="0"/>
          <w:i w:val="0"/>
          <w:color w:val="000000"/>
          <w:sz w:val="24"/>
        </w:rPr>
        <w:t>• Chapter 2 (Literature Survey) presents a comprehensive academic and industry survey of SIEM architectures, taxonomy normalization models, machine learning triage algorithms, graph theory in intrusion detection, and multi-agent LLM systems.</w:t>
      </w:r>
    </w:p>
    <w:p>
      <w:pPr>
        <w:spacing w:line="360" w:lineRule="auto" w:after="120"/>
        <w:jc w:val="both"/>
      </w:pPr>
      <w:r>
        <w:rPr>
          <w:rFonts w:ascii="Times New Roman" w:hAnsi="Times New Roman"/>
          <w:b w:val="0"/>
          <w:i w:val="0"/>
          <w:color w:val="000000"/>
          <w:sz w:val="24"/>
        </w:rPr>
        <w:t>• Chapter 3 (Existing System) analyzes the operational mechanics and quantitative failure modes of legacy SOC workflows, highlighting structural bottlenecks.</w:t>
      </w:r>
    </w:p>
    <w:p>
      <w:pPr>
        <w:spacing w:line="360" w:lineRule="auto" w:after="120"/>
        <w:jc w:val="both"/>
      </w:pPr>
      <w:r>
        <w:rPr>
          <w:rFonts w:ascii="Times New Roman" w:hAnsi="Times New Roman"/>
          <w:b w:val="0"/>
          <w:i w:val="0"/>
          <w:color w:val="000000"/>
          <w:sz w:val="24"/>
        </w:rPr>
        <w:t>• Chapter 4 (Proposed System) details the end-to-end architecture of AiSOC, mathematical formulations, UML diagrams (Use Case, Class, Sequence, Activity, State Machine), and the L0–L4 maturity model.</w:t>
      </w:r>
    </w:p>
    <w:p>
      <w:pPr>
        <w:spacing w:line="360" w:lineRule="auto" w:after="120"/>
        <w:jc w:val="both"/>
      </w:pPr>
      <w:r>
        <w:rPr>
          <w:rFonts w:ascii="Times New Roman" w:hAnsi="Times New Roman"/>
          <w:b w:val="0"/>
          <w:i w:val="0"/>
          <w:color w:val="000000"/>
          <w:sz w:val="24"/>
        </w:rPr>
        <w:t>• Chapter 5 (System Specification) outlines the hardware, software, programming language runtimes, database engines, and external frameworks required for platform deployment.</w:t>
      </w:r>
    </w:p>
    <w:p>
      <w:pPr>
        <w:spacing w:line="360" w:lineRule="auto" w:after="120"/>
        <w:jc w:val="both"/>
      </w:pPr>
      <w:r>
        <w:rPr>
          <w:rFonts w:ascii="Times New Roman" w:hAnsi="Times New Roman"/>
          <w:b w:val="0"/>
          <w:i w:val="0"/>
          <w:color w:val="000000"/>
          <w:sz w:val="24"/>
        </w:rPr>
        <w:t>• Chapter 6 (Implementation) provides an extensive, code-level architectural walkthrough of every microservice and module within the AiSOC codebase.</w:t>
      </w:r>
    </w:p>
    <w:p>
      <w:pPr>
        <w:spacing w:line="360" w:lineRule="auto" w:after="120"/>
        <w:jc w:val="both"/>
      </w:pPr>
      <w:r>
        <w:rPr>
          <w:rFonts w:ascii="Times New Roman" w:hAnsi="Times New Roman"/>
          <w:b w:val="0"/>
          <w:i w:val="0"/>
          <w:color w:val="000000"/>
          <w:sz w:val="24"/>
        </w:rPr>
        <w:t>• Chapter 7 (Result and Conclusion) presents the experimental benchmark results across 200 incident simulations, qualitative case study traces, comparative analysis tables, conclusions, and future research directions.</w:t>
      </w:r>
    </w:p>
    <w:p>
      <w:pPr>
        <w:spacing w:line="360" w:lineRule="auto" w:after="120"/>
        <w:jc w:val="both"/>
      </w:pPr>
      <w:r>
        <w:rPr>
          <w:rFonts w:ascii="Times New Roman" w:hAnsi="Times New Roman"/>
          <w:b w:val="0"/>
          <w:i w:val="0"/>
          <w:color w:val="000000"/>
          <w:sz w:val="24"/>
        </w:rPr>
        <w:t>• References lists all academic publications, technical standards, and foundational research cited throughout this report.</w:t>
      </w:r>
    </w:p>
    <w:p>
      <w:r>
        <w:br w:type="page"/>
      </w:r>
    </w:p>
    <w:p>
      <w:pPr>
        <w:spacing w:before="400" w:after="240" w:line="360" w:lineRule="auto"/>
        <w:jc w:val="center"/>
      </w:pPr>
      <w:r>
        <w:rPr>
          <w:rFonts w:ascii="Times New Roman" w:hAnsi="Times New Roman"/>
          <w:b/>
          <w:color w:val="000000"/>
          <w:sz w:val="28"/>
        </w:rPr>
        <w:t>CHAPTER 2</w:t>
        <w:br/>
        <w:t>LITERATURE SURVEY</w:t>
      </w:r>
    </w:p>
    <w:p>
      <w:pPr>
        <w:spacing w:before="280" w:after="120" w:line="360" w:lineRule="auto"/>
        <w:jc w:val="left"/>
      </w:pPr>
      <w:r>
        <w:rPr>
          <w:rFonts w:ascii="Times New Roman" w:hAnsi="Times New Roman"/>
          <w:b/>
          <w:color w:val="000000"/>
          <w:sz w:val="24"/>
        </w:rPr>
        <w:t>2.1 Evolution of SIEM, SOAR, and Modern SOC Architecture</w:t>
      </w:r>
    </w:p>
    <w:p>
      <w:pPr>
        <w:spacing w:line="360" w:lineRule="auto" w:after="120"/>
        <w:jc w:val="both"/>
      </w:pPr>
      <w:r>
        <w:rPr>
          <w:rFonts w:ascii="Times New Roman" w:hAnsi="Times New Roman"/>
          <w:b w:val="0"/>
          <w:i w:val="0"/>
          <w:color w:val="000000"/>
          <w:sz w:val="24"/>
        </w:rPr>
        <w:t>The conceptual origin of centralized security event monitoring dates back to the late 1990s and early 2000s when organizations first deployed dedicated network firewalls, host intrusion detection systems (HIDS), and network intrusion detection systems (NIDS). As documented by Kent and Souppaya (2006) in NIST Special Publication 800-92, early log management architectures operated primarily as passive text aggregators utilizing the BSD Syslog protocol (RFC 3164, later codified as RFC 5424).</w:t>
      </w:r>
    </w:p>
    <w:p>
      <w:pPr>
        <w:spacing w:before="200" w:after="40"/>
        <w:jc w:val="center"/>
      </w:pPr>
      <w:r>
        <w:drawing>
          <wp:inline xmlns:a="http://schemas.openxmlformats.org/drawingml/2006/main" xmlns:pic="http://schemas.openxmlformats.org/drawingml/2006/picture">
            <wp:extent cx="5120640" cy="2294947"/>
            <wp:docPr id="3" name="Picture 3"/>
            <wp:cNvGraphicFramePr>
              <a:graphicFrameLocks noChangeAspect="1"/>
            </wp:cNvGraphicFramePr>
            <a:graphic>
              <a:graphicData uri="http://schemas.openxmlformats.org/drawingml/2006/picture">
                <pic:pic>
                  <pic:nvPicPr>
                    <pic:cNvPr id="0" name="fig2_1_evolution_timeline.png"/>
                    <pic:cNvPicPr/>
                  </pic:nvPicPr>
                  <pic:blipFill>
                    <a:blip r:embed="rId11"/>
                    <a:stretch>
                      <a:fillRect/>
                    </a:stretch>
                  </pic:blipFill>
                  <pic:spPr>
                    <a:xfrm>
                      <a:off x="0" y="0"/>
                      <a:ext cx="5120640" cy="2294947"/>
                    </a:xfrm>
                    <a:prstGeom prst="rect"/>
                  </pic:spPr>
                </pic:pic>
              </a:graphicData>
            </a:graphic>
          </wp:inline>
        </w:drawing>
      </w:r>
    </w:p>
    <w:p>
      <w:pPr>
        <w:spacing w:before="40" w:after="200"/>
        <w:jc w:val="center"/>
      </w:pPr>
      <w:r>
        <w:rPr>
          <w:rFonts w:ascii="Times New Roman" w:hAnsi="Times New Roman"/>
          <w:b/>
          <w:color w:val="111827"/>
          <w:sz w:val="21"/>
        </w:rPr>
        <w:t>Figure 2.1: Evolutionary Timeline of Security Monitoring Architecture (2000–2026)</w:t>
      </w:r>
    </w:p>
    <w:p>
      <w:pPr>
        <w:spacing w:line="360" w:lineRule="auto" w:after="120"/>
        <w:jc w:val="both"/>
      </w:pPr>
      <w:r>
        <w:rPr>
          <w:rFonts w:ascii="Times New Roman" w:hAnsi="Times New Roman"/>
          <w:b w:val="0"/>
          <w:i w:val="0"/>
          <w:color w:val="000000"/>
          <w:sz w:val="24"/>
        </w:rPr>
        <w:t>To bridge the gap between simple log archival and active real-time correlation, early industry pioneers introduced Security Event Management (SEM) and Security Information Management (SIM), which ultimately converged into the modern discipline of Security Information and Event Management (SIEM) (Chuvakin and Schmidt, 2014). Early SIEM platforms—such as ArcSight Enterprise Security Manager, Cisco MARS, and IBM QRadar—attempted to perform real-time correlation using relational database engines (e.g., Oracle, Microsoft SQL Server). However, as enterprise networks expanded and log ingestion rates surged from hundreds of events per second to tens of thousands of events per second, relational schemas experienced severe I/O bottlenecks, lock contention, and storage degradation.</w:t>
      </w:r>
    </w:p>
    <w:p>
      <w:pPr>
        <w:spacing w:line="360" w:lineRule="auto" w:after="120"/>
        <w:jc w:val="both"/>
      </w:pPr>
      <w:r>
        <w:rPr>
          <w:rFonts w:ascii="Times New Roman" w:hAnsi="Times New Roman"/>
          <w:b w:val="0"/>
          <w:i w:val="0"/>
          <w:color w:val="000000"/>
          <w:sz w:val="24"/>
        </w:rPr>
        <w:t>During the 2010s, SIEM architectures underwent a massive architectural shift toward distributed search engines (Elasticsearch, Apache Solr, OpenSearch) and scalable distributed commit-log messaging systems such as Apache Kafka and Apache Pulsar (Bose et al., 2017). While this transition resolved ingest scalability and enabled sub-second full-text keyword searches across terabytes of historical logs, it failed to solve the fundamental cognitive challenge of detection: SIEMs continued to evaluate brittle, static threshold rules and regular expressions (e.g., matching Windows Event ID 4624/4625 for login tracking).</w:t>
      </w:r>
    </w:p>
    <w:p>
      <w:pPr>
        <w:spacing w:line="360" w:lineRule="auto" w:after="120"/>
        <w:jc w:val="both"/>
      </w:pPr>
      <w:r>
        <w:rPr>
          <w:rFonts w:ascii="Times New Roman" w:hAnsi="Times New Roman"/>
          <w:b w:val="0"/>
          <w:i w:val="0"/>
          <w:color w:val="000000"/>
          <w:sz w:val="24"/>
        </w:rPr>
        <w:t>To alleviate the massive human burden of manual incident response, Security Orchestration, Automation, and Response (SOAR) platforms emerged in the late 2010s (Islam, Babar, and Nepal, 2019). SOAR platforms introduced workflow engines designed to automate repetitive operational actions—such as querying VirusTotal for a file hash, adding an IP address to a firewall blocklist, or issuing a user password reset. However, empirical studies conducted by Al-Mohannadi et al. (2020) demonstrated that first-generation SOAR solutions suffer from severe structural brittleness: they rely on rigid, hardcoded conditional logic that completely breaks when encountering novel attack variations, altered API payloads, or nuanced contextual ambiguities.</w:t>
      </w:r>
    </w:p>
    <w:p>
      <w:pPr>
        <w:spacing w:before="280" w:after="120" w:line="360" w:lineRule="auto"/>
        <w:jc w:val="left"/>
      </w:pPr>
      <w:r>
        <w:rPr>
          <w:rFonts w:ascii="Times New Roman" w:hAnsi="Times New Roman"/>
          <w:b/>
          <w:color w:val="000000"/>
          <w:sz w:val="24"/>
        </w:rPr>
        <w:t>2.2 Telemetry Normalization and Taxonomic Frameworks (OCSF, CEF, ECS)</w:t>
      </w:r>
    </w:p>
    <w:p>
      <w:pPr>
        <w:spacing w:line="360" w:lineRule="auto" w:after="120"/>
        <w:jc w:val="both"/>
      </w:pPr>
      <w:r>
        <w:rPr>
          <w:rFonts w:ascii="Times New Roman" w:hAnsi="Times New Roman"/>
          <w:b w:val="0"/>
          <w:i w:val="0"/>
          <w:color w:val="000000"/>
          <w:sz w:val="24"/>
        </w:rPr>
        <w:t>A primary barrier hindering automated security analysis is the severe syntactic and semantic heterogeneity of vendor log formats. Every security appliance, cloud provider, and endpoint sensor vendor formats event logs differently.</w:t>
      </w:r>
    </w:p>
    <w:p>
      <w:pPr>
        <w:spacing w:before="200" w:after="80" w:line="360" w:lineRule="auto"/>
        <w:jc w:val="left"/>
      </w:pPr>
      <w:r>
        <w:rPr>
          <w:rFonts w:ascii="Times New Roman" w:hAnsi="Times New Roman"/>
          <w:b/>
          <w:color w:val="000000"/>
          <w:sz w:val="24"/>
        </w:rPr>
        <w:t>2.2.1 ArcSight Common Event Format (CEF) and Log Extensibility</w:t>
      </w:r>
    </w:p>
    <w:p>
      <w:pPr>
        <w:spacing w:line="360" w:lineRule="auto" w:after="120"/>
        <w:jc w:val="both"/>
      </w:pPr>
      <w:r>
        <w:rPr>
          <w:rFonts w:ascii="Times New Roman" w:hAnsi="Times New Roman"/>
          <w:b w:val="0"/>
          <w:i w:val="0"/>
          <w:color w:val="000000"/>
          <w:sz w:val="24"/>
        </w:rPr>
        <w:t>Introduced by ArcSight in the mid-2000s, the Common Event Format (CEF) was the earliest widespread industry attempt to standardize security logs. CEF implements a pipe-delimited header followed by a key-value extension block:</w:t>
      </w:r>
    </w:p>
    <w:p>
      <w:pPr>
        <w:spacing w:line="276" w:lineRule="auto" w:before="80" w:after="120"/>
        <w:ind w:left="360"/>
        <w:jc w:val="left"/>
      </w:pPr>
      <w:r>
        <w:rPr>
          <w:rFonts w:ascii="Consolas" w:hAnsi="Consolas"/>
          <w:color w:val="1E1E1E"/>
          <w:sz w:val="19"/>
        </w:rPr>
        <w:t>CEF:0|Vendor|Product|Version|SignatureID|Name|Severity|src=192.168.1.50 dst=10.0.0.1 msg=Unauthorized access</w:t>
      </w:r>
    </w:p>
    <w:p>
      <w:pPr>
        <w:spacing w:line="360" w:lineRule="auto" w:after="120"/>
        <w:jc w:val="both"/>
      </w:pPr>
      <w:r>
        <w:rPr>
          <w:rFonts w:ascii="Times New Roman" w:hAnsi="Times New Roman"/>
          <w:b w:val="0"/>
          <w:i w:val="0"/>
          <w:color w:val="000000"/>
          <w:sz w:val="24"/>
        </w:rPr>
        <w:t>While CEF established a common prefix structure, it suffered from severe limitations: the extension keys were loosely typed, vendor implementations frequently repurposed standard fields (e.g., storing a process GUID inside a custom string field `cs1`), and it lacked native support for complex nested object structures such as container metadata or cloud IAM policy documents.</w:t>
      </w:r>
    </w:p>
    <w:p>
      <w:pPr>
        <w:spacing w:before="200" w:after="80" w:line="360" w:lineRule="auto"/>
        <w:jc w:val="left"/>
      </w:pPr>
      <w:r>
        <w:rPr>
          <w:rFonts w:ascii="Times New Roman" w:hAnsi="Times New Roman"/>
          <w:b/>
          <w:color w:val="000000"/>
          <w:sz w:val="24"/>
        </w:rPr>
        <w:t>2.2.2 Elastic Common Schema (ECS)</w:t>
      </w:r>
    </w:p>
    <w:p>
      <w:pPr>
        <w:spacing w:line="360" w:lineRule="auto" w:after="120"/>
        <w:jc w:val="both"/>
      </w:pPr>
      <w:r>
        <w:rPr>
          <w:rFonts w:ascii="Times New Roman" w:hAnsi="Times New Roman"/>
          <w:b w:val="0"/>
          <w:i w:val="0"/>
          <w:color w:val="000000"/>
          <w:sz w:val="24"/>
        </w:rPr>
        <w:t>Developed by Elastic NV for the Elasticsearch and OpenSearch ecosystems, the Elastic Common Schema (ECS) introduced a structured JSON field taxonomy covering network, host, process, and cloud attributes (e.g., `process.name`, `source.ip`, `destination.port`, `cloud.provider`). ECS drastically improved search uniformity across Elasticsearch indices. However, ECS remained primarily a field-naming convention rather than a strict class-based taxonomic hierarchy. It lacked semantic class constraints, activity type codes, and universal observable definitions required for multi-vendor autonomous reasoning.</w:t>
      </w:r>
    </w:p>
    <w:p>
      <w:pPr>
        <w:spacing w:before="200" w:after="80" w:line="360" w:lineRule="auto"/>
        <w:jc w:val="left"/>
      </w:pPr>
      <w:r>
        <w:rPr>
          <w:rFonts w:ascii="Times New Roman" w:hAnsi="Times New Roman"/>
          <w:b/>
          <w:color w:val="000000"/>
          <w:sz w:val="24"/>
        </w:rPr>
        <w:t>2.2.3 Open Cybersecurity Schema Framework (OCSF v1.1.0)</w:t>
      </w:r>
    </w:p>
    <w:p>
      <w:pPr>
        <w:spacing w:line="360" w:lineRule="auto" w:after="120"/>
        <w:jc w:val="both"/>
      </w:pPr>
      <w:r>
        <w:rPr>
          <w:rFonts w:ascii="Times New Roman" w:hAnsi="Times New Roman"/>
          <w:b w:val="0"/>
          <w:i w:val="0"/>
          <w:color w:val="000000"/>
          <w:sz w:val="24"/>
        </w:rPr>
        <w:t>To overcome historical limitations, an open-source consortium led by AWS, Splunk, CrowdStrike, and the Linux Foundation released the Open Cybersecurity Schema Framework (OCSF) in 2022. OCSF establishes an object-oriented, strictly typed, class-based taxonomy that standardizes both data types and semantic meaning across all cybersecurity domains.</w:t>
      </w:r>
    </w:p>
    <w:p>
      <w:pPr>
        <w:spacing w:line="360" w:lineRule="auto" w:after="120"/>
        <w:jc w:val="both"/>
      </w:pPr>
      <w:r>
        <w:rPr>
          <w:rFonts w:ascii="Times New Roman" w:hAnsi="Times New Roman"/>
          <w:b w:val="0"/>
          <w:i w:val="0"/>
          <w:color w:val="000000"/>
          <w:sz w:val="24"/>
        </w:rPr>
        <w:t>Under OCSF, every security event is categorized into a Category UID (e.g., Category 3: Identity &amp; Access Management, Category 4: Network Activity) and assigned a specific Class UID (e.g., Class 3001: Authentication, Class 4001: Network Traffic, Class 1001: File Activity). Events carry predefined Observable arrays, Metadata objects, and standardized numeric Severity Tiers (1: Informational, 2: Low, 3: Medium, 4: High, 5: Critical). Research by Landauer et al. (2020) demonstrated that formal schema standardization reduces downstream machine learning feature-engineering latency by over 40% and eliminates vendor-specific ingestion adapters.</w:t>
      </w:r>
    </w:p>
    <w:tbl>
      <w:tblPr>
        <w:tblW w:type="auto" w:w="0"/>
        <w:jc w:val="center"/>
        <w:tblLook w:firstColumn="1" w:firstRow="1" w:lastColumn="0" w:lastRow="0" w:noHBand="0" w:noVBand="1" w:val="04A0"/>
      </w:tblPr>
      <w:tblGrid>
        <w:gridCol w:w="1871"/>
        <w:gridCol w:w="1871"/>
        <w:gridCol w:w="1871"/>
        <w:gridCol w:w="1871"/>
        <w:gridCol w:w="1871"/>
      </w:tblGrid>
      <w:tr>
        <w:tc>
          <w:tcPr>
            <w:tcW w:type="dxa" w:w="172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Attribute</w:t>
            </w:r>
          </w:p>
        </w:tc>
        <w:tc>
          <w:tcPr>
            <w:tcW w:type="dxa" w:w="172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Syslog (RFC 5424)</w:t>
            </w:r>
          </w:p>
        </w:tc>
        <w:tc>
          <w:tcPr>
            <w:tcW w:type="dxa" w:w="187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Common Event Format (CEF)</w:t>
            </w:r>
          </w:p>
        </w:tc>
        <w:tc>
          <w:tcPr>
            <w:tcW w:type="dxa" w:w="187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Elastic Common Schema (ECS)</w:t>
            </w:r>
          </w:p>
        </w:tc>
        <w:tc>
          <w:tcPr>
            <w:tcW w:type="dxa" w:w="2016"/>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Open Cybersecurity Schema (OCSF)</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Governing Body</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IETF Standard</w:t>
            </w:r>
          </w:p>
        </w:tc>
        <w:tc>
          <w:tcPr>
            <w:tcW w:type="dxa" w:w="187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Micro Focus (ArcSight)</w:t>
            </w:r>
          </w:p>
        </w:tc>
        <w:tc>
          <w:tcPr>
            <w:tcW w:type="dxa" w:w="187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Elastic NV</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Linux Foundation / Open Source</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Data Encoding</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Unstructured Text</w:t>
            </w:r>
          </w:p>
        </w:tc>
        <w:tc>
          <w:tcPr>
            <w:tcW w:type="dxa" w:w="187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Pipe-Delimited Key-Value</w:t>
            </w:r>
          </w:p>
        </w:tc>
        <w:tc>
          <w:tcPr>
            <w:tcW w:type="dxa" w:w="187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Flat / Nested JSON</w:t>
            </w:r>
          </w:p>
        </w:tc>
        <w:tc>
          <w:tcPr>
            <w:tcW w:type="dxa" w:w="2016"/>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Strictly Typed Hierarchical JSON</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Semantic Rigor</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None (Free Text)</w:t>
            </w:r>
          </w:p>
        </w:tc>
        <w:tc>
          <w:tcPr>
            <w:tcW w:type="dxa" w:w="187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Low (Loose Keys)</w:t>
            </w:r>
          </w:p>
        </w:tc>
        <w:tc>
          <w:tcPr>
            <w:tcW w:type="dxa" w:w="187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Medium (Naming Schema)</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High (Class Categories &amp; Profiles)</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Extensibility</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High (Unrestricted)</w:t>
            </w:r>
          </w:p>
        </w:tc>
        <w:tc>
          <w:tcPr>
            <w:tcW w:type="dxa" w:w="187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Medium (Custom keys cs1-cs6)</w:t>
            </w:r>
          </w:p>
        </w:tc>
        <w:tc>
          <w:tcPr>
            <w:tcW w:type="dxa" w:w="187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Medium (Custom namespaces)</w:t>
            </w:r>
          </w:p>
        </w:tc>
        <w:tc>
          <w:tcPr>
            <w:tcW w:type="dxa" w:w="2016"/>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High (Standardized Profiles &amp; Extensions)</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Vendor Neutrality</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High (Universal)</w:t>
            </w:r>
          </w:p>
        </w:tc>
        <w:tc>
          <w:tcPr>
            <w:tcW w:type="dxa" w:w="187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Low (ArcSight legacy)</w:t>
            </w:r>
          </w:p>
        </w:tc>
        <w:tc>
          <w:tcPr>
            <w:tcW w:type="dxa" w:w="187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Low (Elasticsearch focus)</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High (Broad Industry Consensus)</w:t>
            </w:r>
          </w:p>
        </w:tc>
      </w:tr>
    </w:tbl>
    <w:p>
      <w:pPr>
        <w:spacing w:after="120"/>
      </w:pPr>
    </w:p>
    <w:p>
      <w:pPr>
        <w:spacing w:before="280" w:after="120" w:line="360" w:lineRule="auto"/>
        <w:jc w:val="left"/>
      </w:pPr>
      <w:r>
        <w:rPr>
          <w:rFonts w:ascii="Times New Roman" w:hAnsi="Times New Roman"/>
          <w:b/>
          <w:color w:val="000000"/>
          <w:sz w:val="24"/>
        </w:rPr>
        <w:t>2.3 Machine Learning and Heuristics in Alert Triage and Deduplication</w:t>
      </w:r>
    </w:p>
    <w:p>
      <w:pPr>
        <w:spacing w:line="360" w:lineRule="auto" w:after="120"/>
        <w:jc w:val="both"/>
      </w:pPr>
      <w:r>
        <w:rPr>
          <w:rFonts w:ascii="Times New Roman" w:hAnsi="Times New Roman"/>
          <w:b w:val="0"/>
          <w:i w:val="0"/>
          <w:color w:val="000000"/>
          <w:sz w:val="24"/>
        </w:rPr>
        <w:t>Applying machine learning to cybersecurity alert triage has been an active area of academic investigation for over two decades. Traditional research focused primarily on supervised classification algorithms (Support Vector Machines, Random Forests, Multi-Layer Perceptrons) trained on benchmark datasets such as KDD-Cup 99, NSL-KDD, and UNSW-NB15. However, as demonstrated by Sommer and Paxson (2010) in their seminal work "Outside the Closed World: On Using Machine Learning for Network Intrusion Detection," supervised classifiers fail disastrously when deployed into real-world enterprise environments due to:</w:t>
      </w:r>
    </w:p>
    <w:p>
      <w:pPr>
        <w:spacing w:line="360" w:lineRule="auto" w:after="120"/>
        <w:jc w:val="both"/>
      </w:pPr>
      <w:r>
        <w:rPr>
          <w:rFonts w:ascii="Times New Roman" w:hAnsi="Times New Roman"/>
          <w:b w:val="0"/>
          <w:i w:val="0"/>
          <w:color w:val="000000"/>
          <w:sz w:val="24"/>
        </w:rPr>
        <w:t>1. Severe Class Imbalance: In a live enterprise SOC, genuine malicious events represent less than 0.01% of all ingested telemetry. Supervised models trained on balanced datasets suffer from catastrophic false-positive rates when exposed to skewed real-world distributions.</w:t>
      </w:r>
    </w:p>
    <w:p>
      <w:pPr>
        <w:spacing w:line="360" w:lineRule="auto" w:after="120"/>
        <w:jc w:val="both"/>
      </w:pPr>
      <w:r>
        <w:rPr>
          <w:rFonts w:ascii="Times New Roman" w:hAnsi="Times New Roman"/>
          <w:b w:val="0"/>
          <w:i w:val="0"/>
          <w:color w:val="000000"/>
          <w:sz w:val="24"/>
        </w:rPr>
        <w:t>2. High Cost of False Positives: In classical machine learning, a 95% classification accuracy is considered high. In a SOC processing 100,000 daily events, a 5% error rate results in 5,000 false alerts per day, completely overwhelming human analysts.</w:t>
      </w:r>
    </w:p>
    <w:p>
      <w:pPr>
        <w:spacing w:line="360" w:lineRule="auto" w:after="120"/>
        <w:jc w:val="both"/>
      </w:pPr>
      <w:r>
        <w:rPr>
          <w:rFonts w:ascii="Times New Roman" w:hAnsi="Times New Roman"/>
          <w:b w:val="0"/>
          <w:i w:val="0"/>
          <w:color w:val="000000"/>
          <w:sz w:val="24"/>
        </w:rPr>
        <w:t>3. Concept Drift and Adversarial Evasion: Attackers continuously mutate their payloads, compile custom malware variants, and use living-off-the-land (LotL) binaries, rendering static supervised models obsolete within weeks.</w:t>
      </w:r>
    </w:p>
    <w:p>
      <w:pPr>
        <w:spacing w:before="200" w:after="80" w:line="360" w:lineRule="auto"/>
        <w:jc w:val="left"/>
      </w:pPr>
      <w:r>
        <w:rPr>
          <w:rFonts w:ascii="Times New Roman" w:hAnsi="Times New Roman"/>
          <w:b/>
          <w:color w:val="000000"/>
          <w:sz w:val="24"/>
        </w:rPr>
        <w:t>2.3.1 Locality-Sensitive Hashing (Simhash) for High-Speed Deduplication</w:t>
      </w:r>
    </w:p>
    <w:p>
      <w:pPr>
        <w:spacing w:line="360" w:lineRule="auto" w:after="120"/>
        <w:jc w:val="both"/>
      </w:pPr>
      <w:r>
        <w:rPr>
          <w:rFonts w:ascii="Times New Roman" w:hAnsi="Times New Roman"/>
          <w:b w:val="0"/>
          <w:i w:val="0"/>
          <w:color w:val="000000"/>
          <w:sz w:val="24"/>
        </w:rPr>
        <w:t>To eliminate alert duplication without computationally expensive pairwise string comparisons, Charikar (2002) introduced Simhash—a locality-sensitive hashing (LSH) algorithm mapping high-dimensional feature vectors into compact 64-bit fingerprints where cosine similarity directly corresponds to binary Hamming distance.</w:t>
      </w:r>
    </w:p>
    <w:p>
      <w:pPr>
        <w:spacing w:line="360" w:lineRule="auto" w:after="120"/>
        <w:jc w:val="both"/>
      </w:pPr>
      <w:r>
        <w:rPr>
          <w:rFonts w:ascii="Times New Roman" w:hAnsi="Times New Roman"/>
          <w:b w:val="0"/>
          <w:i w:val="0"/>
          <w:color w:val="000000"/>
          <w:sz w:val="24"/>
        </w:rPr>
        <w:t>Let an alert document D be represented by a set of weighted features {(f_1, w_1), (f_2, w_2), ..., (f_m, w_m)}. A 64-bit vector V = (v_0, v_1, ..., v_63) is initialized to zeroes. For each feature f_i, a traditional cryptographic hash h(f_i) in {0, 1}^64 is computed. For each bit position j from 0 to 63, if the j-th bit of h(f_i) is 1, v_j is incremented by w_i; otherwise, v_j is decremented by w_i. The final 64-bit Simhash fingerprint S(D) is formed by setting bit j to 1 if v_j &gt; 0, and 0 otherwise:</w:t>
      </w:r>
    </w:p>
    <w:p>
      <w:pPr>
        <w:spacing w:line="360" w:lineRule="auto" w:after="120"/>
        <w:jc w:val="both"/>
      </w:pPr>
      <w:r>
        <w:rPr>
          <w:rFonts w:ascii="Times New Roman" w:hAnsi="Times New Roman"/>
          <w:b w:val="0"/>
          <w:i w:val="0"/>
          <w:color w:val="000000"/>
          <w:sz w:val="24"/>
        </w:rPr>
        <w:t>S(D)[j] = 1 if v_j &gt; 0 else 0  for j in [0, 63]  ...Equ. (2.1)</w:t>
      </w:r>
    </w:p>
    <w:p>
      <w:pPr>
        <w:spacing w:line="360" w:lineRule="auto" w:after="120"/>
        <w:jc w:val="both"/>
      </w:pPr>
      <w:r>
        <w:rPr>
          <w:rFonts w:ascii="Times New Roman" w:hAnsi="Times New Roman"/>
          <w:b w:val="0"/>
          <w:i w:val="0"/>
          <w:color w:val="000000"/>
          <w:sz w:val="24"/>
        </w:rPr>
        <w:t>The Hamming distance H(S_1, S_2) between two fingerprints measures their semantic proximity:</w:t>
      </w:r>
    </w:p>
    <w:p>
      <w:pPr>
        <w:spacing w:line="360" w:lineRule="auto" w:after="120"/>
        <w:jc w:val="both"/>
      </w:pPr>
      <w:r>
        <w:rPr>
          <w:rFonts w:ascii="Times New Roman" w:hAnsi="Times New Roman"/>
          <w:b w:val="0"/>
          <w:i w:val="0"/>
          <w:color w:val="000000"/>
          <w:sz w:val="24"/>
        </w:rPr>
        <w:t>H(S_1, S_2) = Sum_{j=0}^{63} (S_1[j] XOR S_2[j])  ...Equ. (2.2)</w:t>
      </w:r>
    </w:p>
    <w:p>
      <w:pPr>
        <w:spacing w:line="360" w:lineRule="auto" w:after="120"/>
        <w:jc w:val="both"/>
      </w:pPr>
      <w:r>
        <w:rPr>
          <w:rFonts w:ascii="Times New Roman" w:hAnsi="Times New Roman"/>
          <w:b w:val="0"/>
          <w:i w:val="0"/>
          <w:color w:val="000000"/>
          <w:sz w:val="24"/>
        </w:rPr>
        <w:t>Under Charikar's theorem, the probability that two feature vectors u and v with angle theta(u, v) produce identical hash bits is directly proportional to their cosine similarity:</w:t>
      </w:r>
    </w:p>
    <w:p>
      <w:pPr>
        <w:spacing w:line="360" w:lineRule="auto" w:after="120"/>
        <w:jc w:val="both"/>
      </w:pPr>
      <w:r>
        <w:rPr>
          <w:rFonts w:ascii="Times New Roman" w:hAnsi="Times New Roman"/>
          <w:b w:val="0"/>
          <w:i w:val="0"/>
          <w:color w:val="000000"/>
          <w:sz w:val="24"/>
        </w:rPr>
        <w:t>Pr[ h(u)[j] = h(v)[j] ] = 1 - (theta(u, v) / pi)  ...Equ. (2.3)</w:t>
      </w:r>
    </w:p>
    <w:p>
      <w:pPr>
        <w:spacing w:line="360" w:lineRule="auto" w:after="120"/>
        <w:jc w:val="both"/>
      </w:pPr>
      <w:r>
        <w:rPr>
          <w:rFonts w:ascii="Times New Roman" w:hAnsi="Times New Roman"/>
          <w:b w:val="0"/>
          <w:i w:val="0"/>
          <w:color w:val="000000"/>
          <w:sz w:val="24"/>
        </w:rPr>
        <w:t>If H(S_1, S_2) &lt;= 3, the alerts are deemed near-duplicates and fused instantly in-memory.</w:t>
      </w:r>
    </w:p>
    <w:p>
      <w:pPr>
        <w:spacing w:before="200" w:after="80" w:line="360" w:lineRule="auto"/>
        <w:jc w:val="left"/>
      </w:pPr>
      <w:r>
        <w:rPr>
          <w:rFonts w:ascii="Times New Roman" w:hAnsi="Times New Roman"/>
          <w:b/>
          <w:color w:val="000000"/>
          <w:sz w:val="24"/>
        </w:rPr>
        <w:t>2.3.2 Unsupervised Anomaly Estimation via Isolation Forests</w:t>
      </w:r>
    </w:p>
    <w:p>
      <w:pPr>
        <w:spacing w:line="360" w:lineRule="auto" w:after="120"/>
        <w:jc w:val="both"/>
      </w:pPr>
      <w:r>
        <w:rPr>
          <w:rFonts w:ascii="Times New Roman" w:hAnsi="Times New Roman"/>
          <w:b w:val="0"/>
          <w:i w:val="0"/>
          <w:color w:val="000000"/>
          <w:sz w:val="24"/>
        </w:rPr>
        <w:t>To detect novel anomalies without requiring labeled training datasets, Liu, Ting, and Zhou (2008) developed the Isolation Forest algorithm. Isolation Forest isolates anomalies instead of profiling normal data points, based on the principle that anomalies are few and structurally distinct.</w:t>
      </w:r>
    </w:p>
    <w:p>
      <w:pPr>
        <w:spacing w:line="360" w:lineRule="auto" w:after="120"/>
        <w:jc w:val="both"/>
      </w:pPr>
      <w:r>
        <w:rPr>
          <w:rFonts w:ascii="Times New Roman" w:hAnsi="Times New Roman"/>
          <w:b w:val="0"/>
          <w:i w:val="0"/>
          <w:color w:val="000000"/>
          <w:sz w:val="24"/>
        </w:rPr>
        <w:t>Given a dataset of n instances, an isolation tree (iTree) recursively partitions the feature space by randomly selecting an attribute and a split value until all points are isolated. Anomalies require significantly fewer random partitions to isolate, resulting in shorter path lengths h(x). The anomaly score s(x, n) of an alert feature vector x is defined as:</w:t>
      </w:r>
    </w:p>
    <w:p>
      <w:pPr>
        <w:spacing w:line="360" w:lineRule="auto" w:after="120"/>
        <w:jc w:val="both"/>
      </w:pPr>
      <w:r>
        <w:rPr>
          <w:rFonts w:ascii="Times New Roman" w:hAnsi="Times New Roman"/>
          <w:b w:val="0"/>
          <w:i w:val="0"/>
          <w:color w:val="000000"/>
          <w:sz w:val="24"/>
        </w:rPr>
        <w:t>s(x, n) = 2^(- E(h(x)) / c(n))  ...Equ. (2.4)</w:t>
      </w:r>
    </w:p>
    <w:p>
      <w:pPr>
        <w:spacing w:line="360" w:lineRule="auto" w:after="120"/>
        <w:jc w:val="both"/>
      </w:pPr>
      <w:r>
        <w:rPr>
          <w:rFonts w:ascii="Times New Roman" w:hAnsi="Times New Roman"/>
          <w:b w:val="0"/>
          <w:i w:val="0"/>
          <w:color w:val="000000"/>
          <w:sz w:val="24"/>
        </w:rPr>
        <w:t>Where E(h(x)) is the average path length across an ensemble of 100 trees, and c(n) is the average path length of unsuccessful searches in a Binary Search Tree:</w:t>
      </w:r>
    </w:p>
    <w:p>
      <w:pPr>
        <w:spacing w:line="360" w:lineRule="auto" w:after="120"/>
        <w:jc w:val="both"/>
      </w:pPr>
      <w:r>
        <w:rPr>
          <w:rFonts w:ascii="Times New Roman" w:hAnsi="Times New Roman"/>
          <w:b w:val="0"/>
          <w:i w:val="0"/>
          <w:color w:val="000000"/>
          <w:sz w:val="24"/>
        </w:rPr>
        <w:t>c(n) = 2 * (ln(n - 1) + 0.5772156649) - (2 * (n - 1) / n)  ...Equ. (2.5)</w:t>
      </w:r>
    </w:p>
    <w:p>
      <w:pPr>
        <w:spacing w:line="360" w:lineRule="auto" w:after="120"/>
        <w:jc w:val="both"/>
      </w:pPr>
      <w:r>
        <w:rPr>
          <w:rFonts w:ascii="Times New Roman" w:hAnsi="Times New Roman"/>
          <w:b w:val="0"/>
          <w:i w:val="0"/>
          <w:color w:val="000000"/>
          <w:sz w:val="24"/>
        </w:rPr>
        <w:t>Where 0.5772156649 is Euler's constant (gamma). If s(x, n) -&gt; 1, the alert represents a severe structural outlier; if s(x, n) &lt; 0.5, the event is completely normal.</w:t>
      </w:r>
    </w:p>
    <w:p>
      <w:pPr>
        <w:spacing w:before="200" w:after="80" w:line="360" w:lineRule="auto"/>
        <w:jc w:val="left"/>
      </w:pPr>
      <w:r>
        <w:rPr>
          <w:rFonts w:ascii="Times New Roman" w:hAnsi="Times New Roman"/>
          <w:b/>
          <w:color w:val="000000"/>
          <w:sz w:val="24"/>
        </w:rPr>
        <w:t>2.3.3 Learning-to-Rank for Alert Prioritization (LightGBM LambdaRank)</w:t>
      </w:r>
    </w:p>
    <w:p>
      <w:pPr>
        <w:spacing w:line="360" w:lineRule="auto" w:after="120"/>
        <w:jc w:val="both"/>
      </w:pPr>
      <w:r>
        <w:rPr>
          <w:rFonts w:ascii="Times New Roman" w:hAnsi="Times New Roman"/>
          <w:b w:val="0"/>
          <w:i w:val="0"/>
          <w:color w:val="000000"/>
          <w:sz w:val="24"/>
        </w:rPr>
        <w:t>In operational SOC environments, binary classification (malicious vs. benign) is insufficient; analysts need a prioritized queue where the most urgent incidents appear at the top. Burges (2010) established the LambdaRank learning-to-rank algorithm, which directly optimizes list-wise information retrieval metrics such as Normalized Discounted Cumulative Gain (NDCG).</w:t>
      </w:r>
    </w:p>
    <w:p>
      <w:pPr>
        <w:spacing w:line="360" w:lineRule="auto" w:after="120"/>
        <w:jc w:val="both"/>
      </w:pPr>
      <w:r>
        <w:rPr>
          <w:rFonts w:ascii="Times New Roman" w:hAnsi="Times New Roman"/>
          <w:b w:val="0"/>
          <w:i w:val="0"/>
          <w:color w:val="000000"/>
          <w:sz w:val="24"/>
        </w:rPr>
        <w:t>LightGBM's LambdaRank implementation computes gradients Delta Z_ij for each alert pair (i, j) based on their relative rank swap impact on NDCG:</w:t>
      </w:r>
    </w:p>
    <w:p>
      <w:pPr>
        <w:spacing w:line="360" w:lineRule="auto" w:after="120"/>
        <w:jc w:val="both"/>
      </w:pPr>
      <w:r>
        <w:rPr>
          <w:rFonts w:ascii="Times New Roman" w:hAnsi="Times New Roman"/>
          <w:b w:val="0"/>
          <w:i w:val="0"/>
          <w:color w:val="000000"/>
          <w:sz w:val="24"/>
        </w:rPr>
        <w:t>Delta Z_ij = |NDCG_swap - NDCG_orig| * (- sigma / (1 + e^(sigma * (s_i - s_j))))  ...Equ. (2.6)</w:t>
      </w:r>
    </w:p>
    <w:p>
      <w:pPr>
        <w:spacing w:line="360" w:lineRule="auto" w:after="120"/>
        <w:jc w:val="both"/>
      </w:pPr>
      <w:r>
        <w:rPr>
          <w:rFonts w:ascii="Times New Roman" w:hAnsi="Times New Roman"/>
          <w:b w:val="0"/>
          <w:i w:val="0"/>
          <w:color w:val="000000"/>
          <w:sz w:val="24"/>
        </w:rPr>
        <w:t>By incorporating continuous analyst disposition feedback (True Positive vs. False Positive, Assigned Priority 1-5), the LambdaRank model dynamically learns the organizational risk preferences of the enterprise.</w:t>
      </w:r>
    </w:p>
    <w:p>
      <w:pPr>
        <w:spacing w:before="280" w:after="120" w:line="360" w:lineRule="auto"/>
        <w:jc w:val="left"/>
      </w:pPr>
      <w:r>
        <w:rPr>
          <w:rFonts w:ascii="Times New Roman" w:hAnsi="Times New Roman"/>
          <w:b/>
          <w:color w:val="000000"/>
          <w:sz w:val="24"/>
        </w:rPr>
        <w:t>2.4 Knowledge Graphs and Graph Neural Networks for Attack Path Tracing</w:t>
      </w:r>
    </w:p>
    <w:p>
      <w:pPr>
        <w:spacing w:line="360" w:lineRule="auto" w:after="120"/>
        <w:jc w:val="both"/>
      </w:pPr>
      <w:r>
        <w:rPr>
          <w:rFonts w:ascii="Times New Roman" w:hAnsi="Times New Roman"/>
          <w:b w:val="0"/>
          <w:i w:val="0"/>
          <w:color w:val="000000"/>
          <w:sz w:val="24"/>
        </w:rPr>
        <w:t>Cyber intrusions are inherently relational and multi-hop: an adversary exploits a web application vulnerability, dumps memory on the host, steals domain credentials, authenticates to a remote file server, and uploads data to an external command-and-control (C2) server. Flat relational tables and isolated time-series logs completely fail to model these causal dependencies.</w:t>
      </w:r>
    </w:p>
    <w:p>
      <w:pPr>
        <w:spacing w:line="360" w:lineRule="auto" w:after="120"/>
        <w:jc w:val="both"/>
      </w:pPr>
      <w:r>
        <w:rPr>
          <w:rFonts w:ascii="Times New Roman" w:hAnsi="Times New Roman"/>
          <w:b w:val="0"/>
          <w:i w:val="0"/>
          <w:color w:val="000000"/>
          <w:sz w:val="24"/>
        </w:rPr>
        <w:t>Pioneering work by King and Chen (2003) introduced "Backtracking Intrusions," demonstrating that operating system causal dependencies can be modeled as directed acyclic provenance graphs. Milajerdi et al. (2019) expanded this concept in the HOLMES platform, which correlated low-level OS audit events into high-level MITRE ATT&amp;CK kill-chain progressions. However, HOLMES was limited to host-level kernel events and lacked enterprise-wide graph scalability.</w:t>
      </w:r>
    </w:p>
    <w:p>
      <w:pPr>
        <w:spacing w:line="360" w:lineRule="auto" w:after="120"/>
        <w:jc w:val="both"/>
      </w:pPr>
      <w:r>
        <w:rPr>
          <w:rFonts w:ascii="Times New Roman" w:hAnsi="Times New Roman"/>
          <w:b w:val="0"/>
          <w:i w:val="0"/>
          <w:color w:val="000000"/>
          <w:sz w:val="24"/>
        </w:rPr>
        <w:t>With the maturation of native property graph databases (Neo4j, AWS Neptune) and the Cypher query language, modern research (Hassan et al., 2020) demonstrated that enterprise-wide Knowledge Graphs can model interconnected entities—linking Hosts, Users, IP Addresses, Cloud ARNs, Process Trees, Detection Alerts, and MITRE TTPs. Graph traversal algorithms enable instantaneous computation of:</w:t>
      </w:r>
    </w:p>
    <w:p>
      <w:pPr>
        <w:spacing w:line="360" w:lineRule="auto" w:after="120"/>
        <w:jc w:val="both"/>
      </w:pPr>
      <w:r>
        <w:rPr>
          <w:rFonts w:ascii="Times New Roman" w:hAnsi="Times New Roman"/>
          <w:b w:val="0"/>
          <w:i w:val="0"/>
          <w:color w:val="000000"/>
          <w:sz w:val="24"/>
        </w:rPr>
        <w:t>1. Kill-Chain Attack Paths: Topological traversal of alert nodes ordered by MITRE tactic execution phase (Initial Access -&gt; Execution -&gt; Persistence -&gt; Lateral Movement -&gt; Exfiltration).</w:t>
      </w:r>
    </w:p>
    <w:p>
      <w:pPr>
        <w:spacing w:line="360" w:lineRule="auto" w:after="120"/>
        <w:jc w:val="both"/>
      </w:pPr>
      <w:r>
        <w:rPr>
          <w:rFonts w:ascii="Times New Roman" w:hAnsi="Times New Roman"/>
          <w:b w:val="0"/>
          <w:i w:val="0"/>
          <w:color w:val="000000"/>
          <w:sz w:val="24"/>
        </w:rPr>
        <w:t>2. Blast Radius Metrics (B_r): Evaluating the total number of enterprise assets directly or transitively exposed within an r-hop neighborhood of a compromised asset:</w:t>
      </w:r>
    </w:p>
    <w:p>
      <w:pPr>
        <w:spacing w:line="360" w:lineRule="auto" w:after="120"/>
        <w:jc w:val="both"/>
      </w:pPr>
      <w:r>
        <w:rPr>
          <w:rFonts w:ascii="Times New Roman" w:hAnsi="Times New Roman"/>
          <w:b w:val="0"/>
          <w:i w:val="0"/>
          <w:color w:val="000000"/>
          <w:sz w:val="24"/>
        </w:rPr>
        <w:t>B_r(e) = |{ v in V | dist(e, v) &lt;= r }|  ...Equ. (2.7)</w:t>
      </w:r>
    </w:p>
    <w:p>
      <w:pPr>
        <w:spacing w:line="360" w:lineRule="auto" w:after="120"/>
        <w:jc w:val="both"/>
      </w:pPr>
      <w:r>
        <w:rPr>
          <w:rFonts w:ascii="Times New Roman" w:hAnsi="Times New Roman"/>
          <w:b w:val="0"/>
          <w:i w:val="0"/>
          <w:color w:val="000000"/>
          <w:sz w:val="24"/>
        </w:rPr>
        <w:t>3. Graph Convolutional Embeddings (GCN): In advanced research extensions, Graph Convolutional Networks compute layer-wise node representations H^(l+1) over normalized graph adjacency A_tilde:</w:t>
      </w:r>
    </w:p>
    <w:p>
      <w:pPr>
        <w:spacing w:line="360" w:lineRule="auto" w:after="120"/>
        <w:jc w:val="both"/>
      </w:pPr>
      <w:r>
        <w:rPr>
          <w:rFonts w:ascii="Times New Roman" w:hAnsi="Times New Roman"/>
          <w:b w:val="0"/>
          <w:i w:val="0"/>
          <w:color w:val="000000"/>
          <w:sz w:val="24"/>
        </w:rPr>
        <w:t>H^(l+1) = sigma( D_tilde^(-1/2) * A_tilde * D_tilde^(-1/2) * H^(l) * W^(l) )  ...Equ. (2.8)</w:t>
      </w:r>
    </w:p>
    <w:p>
      <w:pPr>
        <w:spacing w:line="360" w:lineRule="auto" w:after="120"/>
        <w:jc w:val="both"/>
      </w:pPr>
      <w:r>
        <w:rPr>
          <w:rFonts w:ascii="Times New Roman" w:hAnsi="Times New Roman"/>
          <w:b w:val="0"/>
          <w:i w:val="0"/>
          <w:color w:val="000000"/>
          <w:sz w:val="24"/>
        </w:rPr>
        <w:t>Where A_tilde = A + I_N represents the adjacency matrix with added self-connections, D_tilde is its diagonal degree matrix, and W^(l) is a trainable layer weight matrix.</w:t>
      </w:r>
    </w:p>
    <w:p>
      <w:pPr>
        <w:spacing w:before="280" w:after="120" w:line="360" w:lineRule="auto"/>
        <w:jc w:val="left"/>
      </w:pPr>
      <w:r>
        <w:rPr>
          <w:rFonts w:ascii="Times New Roman" w:hAnsi="Times New Roman"/>
          <w:b/>
          <w:color w:val="000000"/>
          <w:sz w:val="24"/>
        </w:rPr>
        <w:t>2.5 Multi-Agent Large Language Model (LLM) Orchestration in Cybersecurity</w:t>
      </w:r>
    </w:p>
    <w:p>
      <w:pPr>
        <w:spacing w:line="360" w:lineRule="auto" w:after="120"/>
        <w:jc w:val="both"/>
      </w:pPr>
      <w:r>
        <w:rPr>
          <w:rFonts w:ascii="Times New Roman" w:hAnsi="Times New Roman"/>
          <w:b w:val="0"/>
          <w:i w:val="0"/>
          <w:color w:val="000000"/>
          <w:sz w:val="24"/>
        </w:rPr>
        <w:t>The emergence of advanced Large Language Models (LLMs)—such as OpenAI GPT-4 and Anthropic Claude 3.5/3.7—has fundamentally shifted automated text reasoning capabilities. In early 2023, security researchers explored single-prompt zero-shot LLM queries for log analysis. However, as documented by Wu et al. (2023), monolithic single-prompt LLM architectures suffer from severe operational failure modes in enterprise SOCs:</w:t>
      </w:r>
    </w:p>
    <w:p>
      <w:pPr>
        <w:spacing w:line="360" w:lineRule="auto" w:after="120"/>
        <w:jc w:val="both"/>
      </w:pPr>
      <w:r>
        <w:rPr>
          <w:rFonts w:ascii="Times New Roman" w:hAnsi="Times New Roman"/>
          <w:b w:val="0"/>
          <w:i w:val="0"/>
          <w:color w:val="000000"/>
          <w:sz w:val="24"/>
        </w:rPr>
        <w:t>1. Context Window Exhaustion: A single multi-host security incident can generate tens of thousands of raw log lines, quickly exceeding prompt token limits or degrading reasoning quality ("needle in a haystack" degradation).</w:t>
      </w:r>
    </w:p>
    <w:p>
      <w:pPr>
        <w:spacing w:line="360" w:lineRule="auto" w:after="120"/>
        <w:jc w:val="both"/>
      </w:pPr>
      <w:r>
        <w:rPr>
          <w:rFonts w:ascii="Times New Roman" w:hAnsi="Times New Roman"/>
          <w:b w:val="0"/>
          <w:i w:val="0"/>
          <w:color w:val="000000"/>
          <w:sz w:val="24"/>
        </w:rPr>
        <w:t>2. Hallucination and Unreliable Action Output: Monolithic LLMs frequently hallucinate non-existent IP addresses, incorrect command syntax, or fabricate forensic conclusions without verifiable log citations.</w:t>
      </w:r>
    </w:p>
    <w:p>
      <w:pPr>
        <w:spacing w:line="360" w:lineRule="auto" w:after="120"/>
        <w:jc w:val="both"/>
      </w:pPr>
      <w:r>
        <w:rPr>
          <w:rFonts w:ascii="Times New Roman" w:hAnsi="Times New Roman"/>
          <w:b w:val="0"/>
          <w:i w:val="0"/>
          <w:color w:val="000000"/>
          <w:sz w:val="24"/>
        </w:rPr>
        <w:t>3. Lack of Domain Specialization: Generalist LLMs lack the specialized tool-calling capabilities required to execute precise database queries across diverse syntax engines (ES|QL, Splunk SPL, Kusto KQL).</w:t>
      </w:r>
    </w:p>
    <w:p>
      <w:pPr>
        <w:spacing w:line="360" w:lineRule="auto" w:after="120"/>
        <w:jc w:val="both"/>
      </w:pPr>
      <w:r>
        <w:rPr>
          <w:rFonts w:ascii="Times New Roman" w:hAnsi="Times New Roman"/>
          <w:b w:val="0"/>
          <w:i w:val="0"/>
          <w:color w:val="000000"/>
          <w:sz w:val="24"/>
        </w:rPr>
        <w:t>To solve these challenges, multi-agent frameworks—notably LangGraph and AutoGen—introduced collaborative, role-specialized Multi-Agent Directed Acyclic Graphs (DAGs). In a stateful multi-agent DAG, complex cognitive workflows are decomposed into specialized autonomous agents, each maintaining strict role boundaries, accessing domain-specific tools, and updating a shared immutable state ledger.</w:t>
      </w:r>
    </w:p>
    <w:p>
      <w:pPr>
        <w:spacing w:before="280" w:after="120" w:line="360" w:lineRule="auto"/>
        <w:jc w:val="left"/>
      </w:pPr>
      <w:r>
        <w:rPr>
          <w:rFonts w:ascii="Times New Roman" w:hAnsi="Times New Roman"/>
          <w:b/>
          <w:color w:val="000000"/>
          <w:sz w:val="24"/>
        </w:rPr>
        <w:t>2.6 Summary of Literature Gaps</w:t>
      </w:r>
    </w:p>
    <w:p>
      <w:pPr>
        <w:spacing w:line="360" w:lineRule="auto" w:after="120"/>
        <w:jc w:val="both"/>
      </w:pPr>
      <w:r>
        <w:rPr>
          <w:rFonts w:ascii="Times New Roman" w:hAnsi="Times New Roman"/>
          <w:b w:val="0"/>
          <w:i w:val="0"/>
          <w:color w:val="000000"/>
          <w:sz w:val="24"/>
        </w:rPr>
        <w:t>Despite extensive academic and industry research across individual disciplines, significant gaps remain, as summarized in Table 2.2:</w:t>
      </w:r>
    </w:p>
    <w:p>
      <w:pPr>
        <w:spacing w:line="360" w:lineRule="auto" w:after="120"/>
        <w:jc w:val="both"/>
      </w:pPr>
      <w:r>
        <w:rPr>
          <w:rFonts w:ascii="Times New Roman" w:hAnsi="Times New Roman"/>
          <w:b w:val="0"/>
          <w:i w:val="0"/>
          <w:color w:val="000000"/>
          <w:sz w:val="24"/>
        </w:rPr>
        <w:t>1. Disconnected Subsystems: Existing literature treats OCSF normalization, ML alert ranking, knowledge graph modeling, and LLM reasoning as isolated research topics. No unified, production-grade architecture exists that synthesizes all four layers into a cohesive, deployable platform.</w:t>
      </w:r>
    </w:p>
    <w:p>
      <w:pPr>
        <w:spacing w:line="360" w:lineRule="auto" w:after="120"/>
        <w:jc w:val="both"/>
      </w:pPr>
      <w:r>
        <w:rPr>
          <w:rFonts w:ascii="Times New Roman" w:hAnsi="Times New Roman"/>
          <w:b w:val="0"/>
          <w:i w:val="0"/>
          <w:color w:val="000000"/>
          <w:sz w:val="24"/>
        </w:rPr>
        <w:t>2. Absence of Deterministic Blast-Radius Safety: Prior autonomous response research relies either on unchecked script execution or vague LLM self-reflection, lacking mathematical graph-traversal gating before executing destructive remediation.</w:t>
      </w:r>
    </w:p>
    <w:p>
      <w:pPr>
        <w:spacing w:line="360" w:lineRule="auto" w:after="120"/>
        <w:jc w:val="both"/>
      </w:pPr>
      <w:r>
        <w:rPr>
          <w:rFonts w:ascii="Times New Roman" w:hAnsi="Times New Roman"/>
          <w:b w:val="0"/>
          <w:i w:val="0"/>
          <w:color w:val="000000"/>
          <w:sz w:val="24"/>
        </w:rPr>
        <w:t>3. Synthetic Benchmark Reality Gap: Most academic papers evaluate algorithms on outdated datasets (KDD99, DARPA 1998) that fail to reflect modern cloud, IAM, and Kubernetes attack techniques.</w:t>
      </w:r>
    </w:p>
    <w:p>
      <w:pPr>
        <w:spacing w:line="360" w:lineRule="auto" w:after="120"/>
        <w:jc w:val="both"/>
      </w:pPr>
      <w:r>
        <w:rPr>
          <w:rFonts w:ascii="Times New Roman" w:hAnsi="Times New Roman"/>
          <w:b w:val="0"/>
          <w:i w:val="0"/>
          <w:color w:val="000000"/>
          <w:sz w:val="24"/>
        </w:rPr>
        <w:t>AiSOC is engineered specifically to close these fundamental gaps.</w:t>
      </w:r>
    </w:p>
    <w:tbl>
      <w:tblPr>
        <w:tblW w:type="auto" w:w="0"/>
        <w:jc w:val="center"/>
        <w:tblLook w:firstColumn="1" w:firstRow="1" w:lastColumn="0" w:lastRow="0" w:noHBand="0" w:noVBand="1" w:val="04A0"/>
      </w:tblPr>
      <w:tblGrid>
        <w:gridCol w:w="2339"/>
        <w:gridCol w:w="2339"/>
        <w:gridCol w:w="2339"/>
        <w:gridCol w:w="2339"/>
      </w:tblGrid>
      <w:tr>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Research Literature / Platform</w:t>
            </w:r>
          </w:p>
        </w:tc>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Core Methodological Focus</w:t>
            </w:r>
          </w:p>
        </w:tc>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Strengths</w:t>
            </w:r>
          </w:p>
        </w:tc>
        <w:tc>
          <w:tcPr>
            <w:tcW w:type="dxa" w:w="2304"/>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Identified Critical Limitations</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Chuvakin &amp; Schmidt (2014) - Legacy SIEM</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Relational SQL Log Correlation</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Centralized archival and compliance reporting.</w:t>
            </w:r>
          </w:p>
        </w:tc>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Severe I/O scaling limits; lacks graph traversal and semantic LLM reasoning.</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Islam et al. (2019) - 1st Gen SOAR</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Static Webhook Playbook Scripts</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Automates basic repetitive API calls.</w:t>
            </w:r>
          </w:p>
        </w:tc>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Extremely brittle; breaks on schema shifts; no blast-radius safety gating.</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Sommer &amp; Paxson (2010) - ML in NIDS</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Supervised Classifiers (SVM, RF)</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High accuracy on closed academic datasets.</w:t>
            </w:r>
          </w:p>
        </w:tc>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Catastrophic false positives on skewed enterprise distributions (concept drift).</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Milajerdi et al. (2019) - HOLMES</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Host Provenance Graph Attack Paths</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Effective APT causal chain backtracking.</w:t>
            </w:r>
          </w:p>
        </w:tc>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Confined to OS kernel logs; lacks cloud/IAM multi-tenant enterprise scalability.</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Wu et al. (2023) - AutoGen Multi-Agent</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Conversational Multi-Agent LLMs</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Decomposes complex reasoning tasks.</w:t>
            </w:r>
          </w:p>
        </w:tc>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Generalist conversational focus; lacks cybersecurity schema &amp; safety gating.</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AiSOC (This Work)</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OCSF + Simhash + Neo4j + LangGraph</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Closed-loop triage, 85.5% noise reduction, &lt;1.2s MTTR.</w:t>
            </w:r>
          </w:p>
        </w:tc>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Production-grade multi-agent architecture with gated blast-radius safety.</w:t>
            </w:r>
          </w:p>
        </w:tc>
      </w:tr>
    </w:tbl>
    <w:p>
      <w:pPr>
        <w:spacing w:after="120"/>
      </w:pPr>
    </w:p>
    <w:p>
      <w:r>
        <w:br w:type="page"/>
      </w:r>
    </w:p>
    <w:p>
      <w:pPr>
        <w:spacing w:before="400" w:after="240" w:line="360" w:lineRule="auto"/>
        <w:jc w:val="center"/>
      </w:pPr>
      <w:r>
        <w:rPr>
          <w:rFonts w:ascii="Times New Roman" w:hAnsi="Times New Roman"/>
          <w:b/>
          <w:color w:val="000000"/>
          <w:sz w:val="28"/>
        </w:rPr>
        <w:t>CHAPTER 3</w:t>
        <w:br/>
        <w:t>EXISTING SYSTEM</w:t>
      </w:r>
    </w:p>
    <w:p>
      <w:pPr>
        <w:spacing w:before="280" w:after="120" w:line="360" w:lineRule="auto"/>
        <w:jc w:val="left"/>
      </w:pPr>
      <w:r>
        <w:rPr>
          <w:rFonts w:ascii="Times New Roman" w:hAnsi="Times New Roman"/>
          <w:b/>
          <w:color w:val="000000"/>
          <w:sz w:val="24"/>
        </w:rPr>
        <w:t>3.1 Overview of Current Enterprise SOC Workflows</w:t>
      </w:r>
    </w:p>
    <w:p>
      <w:pPr>
        <w:spacing w:line="360" w:lineRule="auto" w:after="120"/>
        <w:jc w:val="both"/>
      </w:pPr>
      <w:r>
        <w:rPr>
          <w:rFonts w:ascii="Times New Roman" w:hAnsi="Times New Roman"/>
          <w:b w:val="0"/>
          <w:i w:val="0"/>
          <w:color w:val="000000"/>
          <w:sz w:val="24"/>
        </w:rPr>
        <w:t>To understand the systemic necessity of AiSOC, it is essential to analyze the operational mechanics and organizational hierarchy of contemporary enterprise Security Operations Centers.</w:t>
      </w:r>
    </w:p>
    <w:p>
      <w:pPr>
        <w:spacing w:line="360" w:lineRule="auto" w:after="120"/>
        <w:jc w:val="both"/>
      </w:pPr>
      <w:r>
        <w:rPr>
          <w:rFonts w:ascii="Times New Roman" w:hAnsi="Times New Roman"/>
          <w:b w:val="0"/>
          <w:i w:val="0"/>
          <w:color w:val="000000"/>
          <w:sz w:val="24"/>
        </w:rPr>
        <w:t>A standard enterprise SOC operates as a rigid, multi-tier human funnel structured across three sequential escalation layers:</w:t>
      </w:r>
    </w:p>
    <w:p>
      <w:pPr>
        <w:spacing w:before="200" w:after="40"/>
        <w:jc w:val="center"/>
      </w:pPr>
      <w:r>
        <w:drawing>
          <wp:inline xmlns:a="http://schemas.openxmlformats.org/drawingml/2006/main" xmlns:pic="http://schemas.openxmlformats.org/drawingml/2006/picture">
            <wp:extent cx="5120640" cy="3397897"/>
            <wp:docPr id="4" name="Picture 4"/>
            <wp:cNvGraphicFramePr>
              <a:graphicFrameLocks noChangeAspect="1"/>
            </wp:cNvGraphicFramePr>
            <a:graphic>
              <a:graphicData uri="http://schemas.openxmlformats.org/drawingml/2006/picture">
                <pic:pic>
                  <pic:nvPicPr>
                    <pic:cNvPr id="0" name="fig3_1_traditional_soc_funnel.png"/>
                    <pic:cNvPicPr/>
                  </pic:nvPicPr>
                  <pic:blipFill>
                    <a:blip r:embed="rId12"/>
                    <a:stretch>
                      <a:fillRect/>
                    </a:stretch>
                  </pic:blipFill>
                  <pic:spPr>
                    <a:xfrm>
                      <a:off x="0" y="0"/>
                      <a:ext cx="5120640" cy="3397897"/>
                    </a:xfrm>
                    <a:prstGeom prst="rect"/>
                  </pic:spPr>
                </pic:pic>
              </a:graphicData>
            </a:graphic>
          </wp:inline>
        </w:drawing>
      </w:r>
    </w:p>
    <w:p>
      <w:pPr>
        <w:spacing w:before="40" w:after="200"/>
        <w:jc w:val="center"/>
      </w:pPr>
      <w:r>
        <w:rPr>
          <w:rFonts w:ascii="Times New Roman" w:hAnsi="Times New Roman"/>
          <w:b/>
          <w:color w:val="111827"/>
          <w:sz w:val="21"/>
        </w:rPr>
        <w:t>Figure 3.1: Traditional Multi-Tier SOC Operational Funnel and Hand-off Delays</w:t>
      </w:r>
    </w:p>
    <w:p>
      <w:pPr>
        <w:spacing w:before="200" w:after="80" w:line="360" w:lineRule="auto"/>
        <w:jc w:val="left"/>
      </w:pPr>
      <w:r>
        <w:rPr>
          <w:rFonts w:ascii="Times New Roman" w:hAnsi="Times New Roman"/>
          <w:b/>
          <w:color w:val="000000"/>
          <w:sz w:val="24"/>
        </w:rPr>
        <w:t>3.1.1 Tier-1 (Triage and Monitoring Analysts)</w:t>
      </w:r>
    </w:p>
    <w:p>
      <w:pPr>
        <w:spacing w:line="360" w:lineRule="auto" w:after="120"/>
        <w:jc w:val="both"/>
      </w:pPr>
      <w:r>
        <w:rPr>
          <w:rFonts w:ascii="Times New Roman" w:hAnsi="Times New Roman"/>
          <w:b w:val="0"/>
          <w:i w:val="0"/>
          <w:color w:val="000000"/>
          <w:sz w:val="24"/>
        </w:rPr>
        <w:t>Tier-1 analysts represent the front-line defense. Their primary responsibility is monitoring real-time alarm queues populated by the central SIEM (e.g., Splunk, Microsoft Sentinel, IBM QRadar). When a detection rule triggers, a discrete alert ticket is minted in an IT Service Management (ITSM) system (Jira Service Desk, ServiceNow).</w:t>
      </w:r>
    </w:p>
    <w:p>
      <w:pPr>
        <w:spacing w:line="360" w:lineRule="auto" w:after="120"/>
        <w:jc w:val="both"/>
      </w:pPr>
      <w:r>
        <w:rPr>
          <w:rFonts w:ascii="Times New Roman" w:hAnsi="Times New Roman"/>
          <w:b w:val="0"/>
          <w:i w:val="0"/>
          <w:color w:val="000000"/>
          <w:sz w:val="24"/>
        </w:rPr>
        <w:t>A Tier-1 analyst opens the ticket and follows a static Standard Operating Procedure (SOP) runbook. The workflow entails:</w:t>
      </w:r>
    </w:p>
    <w:p>
      <w:pPr>
        <w:spacing w:line="360" w:lineRule="auto" w:after="120"/>
        <w:jc w:val="both"/>
      </w:pPr>
      <w:r>
        <w:rPr>
          <w:rFonts w:ascii="Times New Roman" w:hAnsi="Times New Roman"/>
          <w:b w:val="0"/>
          <w:i w:val="0"/>
          <w:color w:val="000000"/>
          <w:sz w:val="24"/>
        </w:rPr>
        <w:t>1. Manual Indicator Extraction: Copying IP addresses, domain names, file hashes (SHA256), usernames, and hostnames from the raw log payload.</w:t>
      </w:r>
    </w:p>
    <w:p>
      <w:pPr>
        <w:spacing w:line="360" w:lineRule="auto" w:after="120"/>
        <w:jc w:val="both"/>
      </w:pPr>
      <w:r>
        <w:rPr>
          <w:rFonts w:ascii="Times New Roman" w:hAnsi="Times New Roman"/>
          <w:b w:val="0"/>
          <w:i w:val="0"/>
          <w:color w:val="000000"/>
          <w:sz w:val="24"/>
        </w:rPr>
        <w:t>2. Multi-Console Swivel-Chair Verification: Navigating across 5 to 10 independent browser tabs to manually query external reputation engines (VirusTotal, AbuseIPDB, Shodan, AlienVault OTX) and internal directories (Active Directory Users &amp; Computers, Azure Portal, Okta Admin Console).</w:t>
      </w:r>
    </w:p>
    <w:p>
      <w:pPr>
        <w:spacing w:line="360" w:lineRule="auto" w:after="120"/>
        <w:jc w:val="both"/>
      </w:pPr>
      <w:r>
        <w:rPr>
          <w:rFonts w:ascii="Times New Roman" w:hAnsi="Times New Roman"/>
          <w:b w:val="0"/>
          <w:i w:val="0"/>
          <w:color w:val="000000"/>
          <w:sz w:val="24"/>
        </w:rPr>
        <w:t>3. Binary False-Positive Determination: If the activity matches known benign patterns (e.g., an IT administrator running PowerShell), the analyst manually closes the ticket as a "False Positive." If suspicious, the analyst writes preliminary notes and escalates the ticket to Tier-2.</w:t>
      </w:r>
    </w:p>
    <w:p>
      <w:pPr>
        <w:spacing w:line="360" w:lineRule="auto" w:after="120"/>
        <w:jc w:val="both"/>
      </w:pPr>
      <w:r>
        <w:rPr>
          <w:rFonts w:ascii="Times New Roman" w:hAnsi="Times New Roman"/>
          <w:b w:val="0"/>
          <w:i w:val="0"/>
          <w:color w:val="000000"/>
          <w:sz w:val="24"/>
        </w:rPr>
        <w:t>Because a Tier-1 analyst is tasked with reviewing 50 to 80 tickets per 8-hour shift, the time allocated per alert is constrained to 3 to 5 minutes. Deep contextual analysis is impossible under this workload.</w:t>
      </w:r>
    </w:p>
    <w:p>
      <w:pPr>
        <w:spacing w:before="200" w:after="80" w:line="360" w:lineRule="auto"/>
        <w:jc w:val="left"/>
      </w:pPr>
      <w:r>
        <w:rPr>
          <w:rFonts w:ascii="Times New Roman" w:hAnsi="Times New Roman"/>
          <w:b/>
          <w:color w:val="000000"/>
          <w:sz w:val="24"/>
        </w:rPr>
        <w:t>3.1.2 Tier-2 (Incident Responders and Forensic Investigators)</w:t>
      </w:r>
    </w:p>
    <w:p>
      <w:pPr>
        <w:spacing w:line="360" w:lineRule="auto" w:after="120"/>
        <w:jc w:val="both"/>
      </w:pPr>
      <w:r>
        <w:rPr>
          <w:rFonts w:ascii="Times New Roman" w:hAnsi="Times New Roman"/>
          <w:b w:val="0"/>
          <w:i w:val="0"/>
          <w:color w:val="000000"/>
          <w:sz w:val="24"/>
        </w:rPr>
        <w:t>Tier-2 analysts receive escalated tickets from Tier-1. Their responsibility is scoping the breadth of the intrusion, establishing root cause, and determining the attacker's timeline. The Tier-2 workflow entails:</w:t>
      </w:r>
    </w:p>
    <w:p>
      <w:pPr>
        <w:spacing w:line="360" w:lineRule="auto" w:after="120"/>
        <w:jc w:val="both"/>
      </w:pPr>
      <w:r>
        <w:rPr>
          <w:rFonts w:ascii="Times New Roman" w:hAnsi="Times New Roman"/>
          <w:b w:val="0"/>
          <w:i w:val="0"/>
          <w:color w:val="000000"/>
          <w:sz w:val="24"/>
        </w:rPr>
        <w:t>1. Manual Query Construction: Writing complex, ad-hoc search queries in proprietary languages (Splunk SPL, Kusto KQL, Lucene) to sweep historical log indices for secondary artifacts.</w:t>
      </w:r>
    </w:p>
    <w:p>
      <w:pPr>
        <w:spacing w:line="360" w:lineRule="auto" w:after="120"/>
        <w:jc w:val="both"/>
      </w:pPr>
      <w:r>
        <w:rPr>
          <w:rFonts w:ascii="Times New Roman" w:hAnsi="Times New Roman"/>
          <w:b w:val="0"/>
          <w:i w:val="0"/>
          <w:color w:val="000000"/>
          <w:sz w:val="24"/>
        </w:rPr>
        <w:t>2. Host Forensic Scoping: Logging into EDR consoles (CrowdStrike Falcon, Microsoft Defender) to pull live process trees, inspect network socket connections, and extract memory dumps.</w:t>
      </w:r>
    </w:p>
    <w:p>
      <w:pPr>
        <w:spacing w:line="360" w:lineRule="auto" w:after="120"/>
        <w:jc w:val="both"/>
      </w:pPr>
      <w:r>
        <w:rPr>
          <w:rFonts w:ascii="Times New Roman" w:hAnsi="Times New Roman"/>
          <w:b w:val="0"/>
          <w:i w:val="0"/>
          <w:color w:val="000000"/>
          <w:sz w:val="24"/>
        </w:rPr>
        <w:t>3. Scope Assessment and Containment Formulation: Manually compiling an incident scope dossier and contacting endpoint or network administrators to request firewall rule changes or account lockouts.</w:t>
      </w:r>
    </w:p>
    <w:p>
      <w:pPr>
        <w:spacing w:line="360" w:lineRule="auto" w:after="120"/>
        <w:jc w:val="both"/>
      </w:pPr>
      <w:r>
        <w:rPr>
          <w:rFonts w:ascii="Times New Roman" w:hAnsi="Times New Roman"/>
          <w:b w:val="0"/>
          <w:i w:val="0"/>
          <w:color w:val="000000"/>
          <w:sz w:val="24"/>
        </w:rPr>
        <w:t>The average investigation cycle for a Tier-2 analyst spans 45 to 90 minutes per incident.</w:t>
      </w:r>
    </w:p>
    <w:p>
      <w:pPr>
        <w:spacing w:before="200" w:after="80" w:line="360" w:lineRule="auto"/>
        <w:jc w:val="left"/>
      </w:pPr>
      <w:r>
        <w:rPr>
          <w:rFonts w:ascii="Times New Roman" w:hAnsi="Times New Roman"/>
          <w:b/>
          <w:color w:val="000000"/>
          <w:sz w:val="24"/>
        </w:rPr>
        <w:t>3.1.3 Tier-3 (Senior Threat Hunters and SOC Engineering Leads)</w:t>
      </w:r>
    </w:p>
    <w:p>
      <w:pPr>
        <w:spacing w:line="360" w:lineRule="auto" w:after="120"/>
        <w:jc w:val="both"/>
      </w:pPr>
      <w:r>
        <w:rPr>
          <w:rFonts w:ascii="Times New Roman" w:hAnsi="Times New Roman"/>
          <w:b w:val="0"/>
          <w:i w:val="0"/>
          <w:color w:val="000000"/>
          <w:sz w:val="24"/>
        </w:rPr>
        <w:t>Tier-3 personnel focus on advanced threat hunting, reverse-engineering novel malware samples, analyzing threat actor campaigns, and tuning detection signatures to prevent recurrence. However, in practice, Tier-3 engineers are constantly pulled into Tier-1 and Tier-2 triage backlogs to assist during critical security fire drills.</w:t>
      </w:r>
    </w:p>
    <w:p>
      <w:pPr>
        <w:spacing w:before="280" w:after="120" w:line="360" w:lineRule="auto"/>
        <w:jc w:val="left"/>
      </w:pPr>
      <w:r>
        <w:rPr>
          <w:rFonts w:ascii="Times New Roman" w:hAnsi="Times New Roman"/>
          <w:b/>
          <w:color w:val="000000"/>
          <w:sz w:val="24"/>
        </w:rPr>
        <w:t>3.2 Architectural Bottlenecks and Deficiencies</w:t>
      </w:r>
    </w:p>
    <w:p>
      <w:pPr>
        <w:spacing w:line="360" w:lineRule="auto" w:after="120"/>
        <w:jc w:val="both"/>
      </w:pPr>
      <w:r>
        <w:rPr>
          <w:rFonts w:ascii="Times New Roman" w:hAnsi="Times New Roman"/>
          <w:b w:val="0"/>
          <w:i w:val="0"/>
          <w:color w:val="000000"/>
          <w:sz w:val="24"/>
        </w:rPr>
        <w:t>The existing enterprise SOC operational model suffers from profound architectural bottlenecks that render it structurally incapable of defending modern digital infrastructure:</w:t>
      </w:r>
    </w:p>
    <w:p>
      <w:pPr>
        <w:spacing w:before="200" w:after="80" w:line="360" w:lineRule="auto"/>
        <w:jc w:val="left"/>
      </w:pPr>
      <w:r>
        <w:rPr>
          <w:rFonts w:ascii="Times New Roman" w:hAnsi="Times New Roman"/>
          <w:b/>
          <w:color w:val="000000"/>
          <w:sz w:val="24"/>
        </w:rPr>
        <w:t>3.2.1 The M/M/c Queuing Bottleneck and Backlog Accumulation</w:t>
      </w:r>
    </w:p>
    <w:p>
      <w:pPr>
        <w:spacing w:line="360" w:lineRule="auto" w:after="120"/>
        <w:jc w:val="both"/>
      </w:pPr>
      <w:r>
        <w:rPr>
          <w:rFonts w:ascii="Times New Roman" w:hAnsi="Times New Roman"/>
          <w:b w:val="0"/>
          <w:i w:val="0"/>
          <w:color w:val="000000"/>
          <w:sz w:val="24"/>
        </w:rPr>
        <w:t>Mathematically, a traditional SOC triage queue can be modeled as an M/M/c queuing system, where alert arrivals follow a Poisson distribution with arrival rate lambda (e.g., 500 alerts/hour during business hours) and human analysts provide service with service rate mu (e.g., 12 alerts/hour per analyst across c = 10 analysts).</w:t>
      </w:r>
    </w:p>
    <w:p>
      <w:pPr>
        <w:spacing w:line="360" w:lineRule="auto" w:after="120"/>
        <w:jc w:val="both"/>
      </w:pPr>
      <w:r>
        <w:rPr>
          <w:rFonts w:ascii="Times New Roman" w:hAnsi="Times New Roman"/>
          <w:b w:val="0"/>
          <w:i w:val="0"/>
          <w:color w:val="000000"/>
          <w:sz w:val="24"/>
        </w:rPr>
        <w:t>The system utilization factor rho is defined as:</w:t>
      </w:r>
    </w:p>
    <w:p>
      <w:pPr>
        <w:spacing w:line="360" w:lineRule="auto" w:after="120"/>
        <w:jc w:val="both"/>
      </w:pPr>
      <w:r>
        <w:rPr>
          <w:rFonts w:ascii="Times New Roman" w:hAnsi="Times New Roman"/>
          <w:b w:val="0"/>
          <w:i w:val="0"/>
          <w:color w:val="000000"/>
          <w:sz w:val="24"/>
        </w:rPr>
        <w:t>rho = lambda / (c * mu)  ...Equ. (3.1)</w:t>
      </w:r>
    </w:p>
    <w:p>
      <w:pPr>
        <w:spacing w:line="360" w:lineRule="auto" w:after="120"/>
        <w:jc w:val="both"/>
      </w:pPr>
      <w:r>
        <w:rPr>
          <w:rFonts w:ascii="Times New Roman" w:hAnsi="Times New Roman"/>
          <w:b w:val="0"/>
          <w:i w:val="0"/>
          <w:color w:val="000000"/>
          <w:sz w:val="24"/>
        </w:rPr>
        <w:t>Under Little's Law, the mean number of alerts in the system L is directly proportional to arrival rate lambda and the average total time an alert spends in the system W (waiting time + service time):</w:t>
      </w:r>
    </w:p>
    <w:p>
      <w:pPr>
        <w:spacing w:line="360" w:lineRule="auto" w:after="120"/>
        <w:jc w:val="both"/>
      </w:pPr>
      <w:r>
        <w:rPr>
          <w:rFonts w:ascii="Times New Roman" w:hAnsi="Times New Roman"/>
          <w:b w:val="0"/>
          <w:i w:val="0"/>
          <w:color w:val="000000"/>
          <w:sz w:val="24"/>
        </w:rPr>
        <w:t>L = lambda * W  ...Equ. (3.2)</w:t>
      </w:r>
    </w:p>
    <w:p>
      <w:pPr>
        <w:spacing w:line="360" w:lineRule="auto" w:after="120"/>
        <w:jc w:val="both"/>
      </w:pPr>
      <w:r>
        <w:rPr>
          <w:rFonts w:ascii="Times New Roman" w:hAnsi="Times New Roman"/>
          <w:b w:val="0"/>
          <w:i w:val="0"/>
          <w:color w:val="000000"/>
          <w:sz w:val="24"/>
        </w:rPr>
        <w:t>In modern enterprises, lambda regularly exceeds c * mu (rho &gt; 1), causing the expected queue length L_q and mean waiting time W_q to diverge to infinity:</w:t>
      </w:r>
    </w:p>
    <w:p>
      <w:pPr>
        <w:spacing w:line="360" w:lineRule="auto" w:after="120"/>
        <w:jc w:val="both"/>
      </w:pPr>
      <w:r>
        <w:rPr>
          <w:rFonts w:ascii="Times New Roman" w:hAnsi="Times New Roman"/>
          <w:b w:val="0"/>
          <w:i w:val="0"/>
          <w:color w:val="000000"/>
          <w:sz w:val="24"/>
        </w:rPr>
        <w:t>W_q -&gt; Infinity  as  rho -&gt; 1  ...Equ. (3.3)</w:t>
      </w:r>
    </w:p>
    <w:p>
      <w:pPr>
        <w:spacing w:line="360" w:lineRule="auto" w:after="120"/>
        <w:jc w:val="both"/>
      </w:pPr>
      <w:r>
        <w:rPr>
          <w:rFonts w:ascii="Times New Roman" w:hAnsi="Times New Roman"/>
          <w:b w:val="0"/>
          <w:i w:val="0"/>
          <w:color w:val="000000"/>
          <w:sz w:val="24"/>
        </w:rPr>
        <w:t>This mathematical reality guarantees that triage backlogs accumulate exponentially during active campaigns, forcing analysts to perform "alert sampling"—arbitrarily closing uninspected alerts to clear the queue.</w:t>
      </w:r>
    </w:p>
    <w:p>
      <w:pPr>
        <w:spacing w:before="200" w:after="80" w:line="360" w:lineRule="auto"/>
        <w:jc w:val="left"/>
      </w:pPr>
      <w:r>
        <w:rPr>
          <w:rFonts w:ascii="Times New Roman" w:hAnsi="Times New Roman"/>
          <w:b/>
          <w:color w:val="000000"/>
          <w:sz w:val="24"/>
        </w:rPr>
        <w:t>3.2.2 Five Critical Failure Modes of First-Generation SOAR</w:t>
      </w:r>
    </w:p>
    <w:p>
      <w:pPr>
        <w:spacing w:line="360" w:lineRule="auto" w:after="120"/>
        <w:jc w:val="both"/>
      </w:pPr>
      <w:r>
        <w:rPr>
          <w:rFonts w:ascii="Times New Roman" w:hAnsi="Times New Roman"/>
          <w:b w:val="0"/>
          <w:i w:val="0"/>
          <w:color w:val="000000"/>
          <w:sz w:val="24"/>
        </w:rPr>
        <w:t>First-generation SOAR platforms introduce critical operational vulnerabilities when deployed into production enterprise environments:</w:t>
      </w:r>
    </w:p>
    <w:p>
      <w:pPr>
        <w:spacing w:line="360" w:lineRule="auto" w:after="120"/>
        <w:jc w:val="both"/>
      </w:pPr>
      <w:r>
        <w:rPr>
          <w:rFonts w:ascii="Times New Roman" w:hAnsi="Times New Roman"/>
          <w:b w:val="0"/>
          <w:i w:val="0"/>
          <w:color w:val="000000"/>
          <w:sz w:val="24"/>
        </w:rPr>
        <w:t>1. Race Conditions in API Playbooks: Parallel execution of uncoordinated scripts leads to inconsistent state (e.g., an account lockout script racing with a password-reset notification script).</w:t>
      </w:r>
    </w:p>
    <w:p>
      <w:pPr>
        <w:spacing w:line="360" w:lineRule="auto" w:after="120"/>
        <w:jc w:val="both"/>
      </w:pPr>
      <w:r>
        <w:rPr>
          <w:rFonts w:ascii="Times New Roman" w:hAnsi="Times New Roman"/>
          <w:b w:val="0"/>
          <w:i w:val="0"/>
          <w:color w:val="000000"/>
          <w:sz w:val="24"/>
        </w:rPr>
        <w:t>2. Lack of Transactional State Rollbacks: If a multi-step containment script fails halfway (e.g., isolating a host succeeded, but updating firewall access control lists failed), the environment is left in an unstable, semi-contained state with zero automated rollback.</w:t>
      </w:r>
    </w:p>
    <w:p>
      <w:pPr>
        <w:spacing w:line="360" w:lineRule="auto" w:after="120"/>
        <w:jc w:val="both"/>
      </w:pPr>
      <w:r>
        <w:rPr>
          <w:rFonts w:ascii="Times New Roman" w:hAnsi="Times New Roman"/>
          <w:b w:val="0"/>
          <w:i w:val="0"/>
          <w:color w:val="000000"/>
          <w:sz w:val="24"/>
        </w:rPr>
        <w:t>3. Webhook Flooding and ITSM Denial of Service: High-volume detection floods saturate ITSM webhook queues, causing API throttling and dropped incident tickets.</w:t>
      </w:r>
    </w:p>
    <w:p>
      <w:pPr>
        <w:spacing w:line="360" w:lineRule="auto" w:after="120"/>
        <w:jc w:val="both"/>
      </w:pPr>
      <w:r>
        <w:rPr>
          <w:rFonts w:ascii="Times New Roman" w:hAnsi="Times New Roman"/>
          <w:b w:val="0"/>
          <w:i w:val="0"/>
          <w:color w:val="000000"/>
          <w:sz w:val="24"/>
        </w:rPr>
        <w:t>4. Silent Failures from JSON Schema Drift: Upstream cloud providers frequently add or rename JSON fields in audit logs; legacy Python playbooks encounter unhandled KeyError exceptions and crash silently.</w:t>
      </w:r>
    </w:p>
    <w:p>
      <w:pPr>
        <w:spacing w:line="360" w:lineRule="auto" w:after="120"/>
        <w:jc w:val="both"/>
      </w:pPr>
      <w:r>
        <w:rPr>
          <w:rFonts w:ascii="Times New Roman" w:hAnsi="Times New Roman"/>
          <w:b w:val="0"/>
          <w:i w:val="0"/>
          <w:color w:val="000000"/>
          <w:sz w:val="24"/>
        </w:rPr>
        <w:t>5. Credential Sprawl and Insecure Storage: Legacy SOAR automation servers store plaintext API keys and administrative tokens in plain configuration files, creating high-value targets for attackers.</w:t>
      </w:r>
    </w:p>
    <w:p>
      <w:pPr>
        <w:spacing w:before="280" w:after="120" w:line="360" w:lineRule="auto"/>
        <w:jc w:val="left"/>
      </w:pPr>
      <w:r>
        <w:rPr>
          <w:rFonts w:ascii="Times New Roman" w:hAnsi="Times New Roman"/>
          <w:b/>
          <w:color w:val="000000"/>
          <w:sz w:val="24"/>
        </w:rPr>
        <w:t>3.3 Quantitative Deficiencies (MTTA, MTTR, False Positive Rates)</w:t>
      </w:r>
    </w:p>
    <w:p>
      <w:pPr>
        <w:spacing w:line="360" w:lineRule="auto" w:after="120"/>
        <w:jc w:val="both"/>
      </w:pPr>
      <w:r>
        <w:rPr>
          <w:rFonts w:ascii="Times New Roman" w:hAnsi="Times New Roman"/>
          <w:b w:val="0"/>
          <w:i w:val="0"/>
          <w:color w:val="000000"/>
          <w:sz w:val="24"/>
        </w:rPr>
        <w:t>Table 3.1 details the empirical baseline metrics of traditional enterprise SOCs compared against the operational targets of the AiSOC platform.</w:t>
      </w:r>
    </w:p>
    <w:tbl>
      <w:tblPr>
        <w:tblW w:type="auto" w:w="0"/>
        <w:jc w:val="center"/>
        <w:tblLook w:firstColumn="1" w:firstRow="1" w:lastColumn="0" w:lastRow="0" w:noHBand="0" w:noVBand="1" w:val="04A0"/>
      </w:tblPr>
      <w:tblGrid>
        <w:gridCol w:w="2339"/>
        <w:gridCol w:w="2339"/>
        <w:gridCol w:w="2339"/>
        <w:gridCol w:w="2339"/>
      </w:tblGrid>
      <w:tr>
        <w:tc>
          <w:tcPr>
            <w:tcW w:type="dxa" w:w="288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Operational Performance Metric</w:t>
            </w:r>
          </w:p>
        </w:tc>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Traditional Tier-1 SOC Baseline</w:t>
            </w:r>
          </w:p>
        </w:tc>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SIEM Rule Engine Only</w:t>
            </w:r>
          </w:p>
        </w:tc>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AiSOC Target Goal</w:t>
            </w:r>
          </w:p>
        </w:tc>
      </w:tr>
      <w:tr>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Daily Alert Processing Ingest</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500 – 1,000 / shift (Capped)</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10,000+ (Unfiltered)</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Unlimited Streaming</w:t>
            </w:r>
          </w:p>
        </w:tc>
      </w:tr>
      <w:tr>
        <w:tc>
          <w:tcPr>
            <w:tcW w:type="dxa" w:w="288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False Positive Noise Ratio</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80.0% – 92.0%</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75.0% – 85.0%</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&lt; 15.0% (85%+ Noise Reduced)</w:t>
            </w:r>
          </w:p>
        </w:tc>
      </w:tr>
      <w:tr>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Mean Time to Acknowledge (MTTA)</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15 – 45 Minutes</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Instant (Raw Ticket)</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&lt; 2 Seconds (Automated Intake)</w:t>
            </w:r>
          </w:p>
        </w:tc>
      </w:tr>
      <w:tr>
        <w:tc>
          <w:tcPr>
            <w:tcW w:type="dxa" w:w="288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Mean Time to Remediate (MTTR)</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45 – 60 Minutes</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Manual Hand-off (Hours)</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&lt; 5 Seconds (Autonomous DAG)</w:t>
            </w:r>
          </w:p>
        </w:tc>
      </w:tr>
      <w:tr>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Context Switching Console Count</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 to 10 Independent Consoles</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 to 3 Consoles</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 Unified Workbench Rail</w:t>
            </w:r>
          </w:p>
        </w:tc>
      </w:tr>
      <w:tr>
        <w:tc>
          <w:tcPr>
            <w:tcW w:type="dxa" w:w="288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MITRE ATT&amp;CK TTP Tagging</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Manual / Incomplete</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Partial (Regex Tags)</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94.2% Automated Ingest Recall</w:t>
            </w:r>
          </w:p>
        </w:tc>
      </w:tr>
      <w:tr>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Containment Safety Mechanism</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Human Intuition / Unchecked</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Hardcoded Bash/Python</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Gated Graph Blast-Radius</w:t>
            </w:r>
          </w:p>
        </w:tc>
      </w:tr>
    </w:tbl>
    <w:p>
      <w:pPr>
        <w:spacing w:after="120"/>
      </w:pPr>
    </w:p>
    <w:p>
      <w:pPr>
        <w:spacing w:before="280" w:after="120" w:line="360" w:lineRule="auto"/>
        <w:jc w:val="left"/>
      </w:pPr>
      <w:r>
        <w:rPr>
          <w:rFonts w:ascii="Times New Roman" w:hAnsi="Times New Roman"/>
          <w:b/>
          <w:color w:val="000000"/>
          <w:sz w:val="24"/>
        </w:rPr>
        <w:t>3.4 Disadvantages of the Existing System</w:t>
      </w:r>
    </w:p>
    <w:p>
      <w:pPr>
        <w:spacing w:line="360" w:lineRule="auto" w:after="120"/>
        <w:jc w:val="both"/>
      </w:pPr>
      <w:r>
        <w:rPr>
          <w:rFonts w:ascii="Times New Roman" w:hAnsi="Times New Roman"/>
          <w:b w:val="0"/>
          <w:i w:val="0"/>
          <w:color w:val="000000"/>
          <w:sz w:val="24"/>
        </w:rPr>
        <w:t>In summary, the existing enterprise SOC architecture suffers from four fatal disadvantages:</w:t>
      </w:r>
    </w:p>
    <w:p>
      <w:pPr>
        <w:spacing w:line="360" w:lineRule="auto" w:after="120"/>
        <w:jc w:val="both"/>
      </w:pPr>
      <w:r>
        <w:rPr>
          <w:rFonts w:ascii="Times New Roman" w:hAnsi="Times New Roman"/>
          <w:b w:val="0"/>
          <w:i w:val="0"/>
          <w:color w:val="000000"/>
          <w:sz w:val="24"/>
        </w:rPr>
        <w:t>1. Extreme Operational Expenditure: Enterprises spend millions of dollars annually staffing 24/7 rotational shifts of human analysts who spend 80% of their working hours performing repetitive data entry and closing benign noise.</w:t>
      </w:r>
    </w:p>
    <w:p>
      <w:pPr>
        <w:spacing w:line="360" w:lineRule="auto" w:after="120"/>
        <w:jc w:val="both"/>
      </w:pPr>
      <w:r>
        <w:rPr>
          <w:rFonts w:ascii="Times New Roman" w:hAnsi="Times New Roman"/>
          <w:b w:val="0"/>
          <w:i w:val="0"/>
          <w:color w:val="000000"/>
          <w:sz w:val="24"/>
        </w:rPr>
        <w:t>2. Enormous Attacker Dwell Time: Because triage queues suffer from hours of backlog latency, attackers successfully establish persistence, dump Active Directory hashes, and exfiltrate data long before an alert is assigned to a human analyst.</w:t>
      </w:r>
    </w:p>
    <w:p>
      <w:pPr>
        <w:spacing w:line="360" w:lineRule="auto" w:after="120"/>
        <w:jc w:val="both"/>
      </w:pPr>
      <w:r>
        <w:rPr>
          <w:rFonts w:ascii="Times New Roman" w:hAnsi="Times New Roman"/>
          <w:b w:val="0"/>
          <w:i w:val="0"/>
          <w:color w:val="000000"/>
          <w:sz w:val="24"/>
        </w:rPr>
        <w:t>3. Severe Analyst Burnout and High Turnover: The relentless volume of repetitive, low-context alerts creates severe cognitive fatigue, leading to high industry turnover (average analyst tenure &lt; 18 months) and catastrophic security blind spots.</w:t>
      </w:r>
    </w:p>
    <w:p>
      <w:pPr>
        <w:spacing w:line="360" w:lineRule="auto" w:after="120"/>
        <w:jc w:val="both"/>
      </w:pPr>
      <w:r>
        <w:rPr>
          <w:rFonts w:ascii="Times New Roman" w:hAnsi="Times New Roman"/>
          <w:b w:val="0"/>
          <w:i w:val="0"/>
          <w:color w:val="000000"/>
          <w:sz w:val="24"/>
        </w:rPr>
        <w:t>4. Inability to Scale with Cloud Growth: As organizations deploy thousands of microservices and multi-cloud accounts, telemetry grows exponentially. Traditional human-centric SOCs cannot scale linearly with cloud log volume without becoming financially unsustainable.</w:t>
      </w:r>
    </w:p>
    <w:p>
      <w:r>
        <w:br w:type="page"/>
      </w:r>
    </w:p>
    <w:p>
      <w:pPr>
        <w:spacing w:before="400" w:after="240" w:line="360" w:lineRule="auto"/>
        <w:jc w:val="center"/>
      </w:pPr>
      <w:r>
        <w:rPr>
          <w:rFonts w:ascii="Times New Roman" w:hAnsi="Times New Roman"/>
          <w:b/>
          <w:color w:val="000000"/>
          <w:sz w:val="28"/>
        </w:rPr>
        <w:t>CHAPTER 4</w:t>
        <w:br/>
        <w:t>PROPOSED SYSTEM</w:t>
      </w:r>
    </w:p>
    <w:p>
      <w:pPr>
        <w:spacing w:before="280" w:after="120" w:line="360" w:lineRule="auto"/>
        <w:jc w:val="left"/>
      </w:pPr>
      <w:r>
        <w:rPr>
          <w:rFonts w:ascii="Times New Roman" w:hAnsi="Times New Roman"/>
          <w:b/>
          <w:color w:val="000000"/>
          <w:sz w:val="24"/>
        </w:rPr>
        <w:t>4.1 System Overview and Vision</w:t>
      </w:r>
    </w:p>
    <w:p>
      <w:pPr>
        <w:spacing w:line="360" w:lineRule="auto" w:after="120"/>
        <w:jc w:val="both"/>
      </w:pPr>
      <w:r>
        <w:rPr>
          <w:rFonts w:ascii="Times New Roman" w:hAnsi="Times New Roman"/>
          <w:b w:val="0"/>
          <w:i w:val="0"/>
          <w:color w:val="000000"/>
          <w:sz w:val="24"/>
        </w:rPr>
        <w:t>The proposed AiSOC platform introduces a paradigm shift in defensive cybersecurity operations. Instead of treating security events as disconnected, isolated text records inside relational databases, AiSOC models the entire enterprise ecosystem as an interconnected, dynamic Knowledge Graph and deploys an autonomous Multi-Agent Directed Acyclic Graph (DAG) powered by specialized LLM agents.</w:t>
      </w:r>
    </w:p>
    <w:p>
      <w:pPr>
        <w:spacing w:line="360" w:lineRule="auto" w:after="120"/>
        <w:jc w:val="both"/>
      </w:pPr>
      <w:r>
        <w:rPr>
          <w:rFonts w:ascii="Times New Roman" w:hAnsi="Times New Roman"/>
          <w:b w:val="0"/>
          <w:i w:val="0"/>
          <w:color w:val="000000"/>
          <w:sz w:val="24"/>
        </w:rPr>
        <w:t>AiSOC replaces the fragile, multi-tier human escalation funnel with a high-throughput, closed-loop pipeline that standardizes telemetry at ingest, deduplicates noise via locality-sensitive hashing, scores risk using dual-stage machine learning, projects relational dependencies into Neo4j, executes multi-agent forensic investigations, and enforces mathematically safe containment through graph blast-radius gating.</w:t>
      </w:r>
    </w:p>
    <w:p>
      <w:pPr>
        <w:spacing w:before="280" w:after="120" w:line="360" w:lineRule="auto"/>
        <w:jc w:val="left"/>
      </w:pPr>
      <w:r>
        <w:rPr>
          <w:rFonts w:ascii="Times New Roman" w:hAnsi="Times New Roman"/>
          <w:b/>
          <w:color w:val="000000"/>
          <w:sz w:val="24"/>
        </w:rPr>
        <w:t>4.2 System Architecture and High-Level Topology</w:t>
      </w:r>
    </w:p>
    <w:p>
      <w:pPr>
        <w:spacing w:line="360" w:lineRule="auto" w:after="120"/>
        <w:jc w:val="both"/>
      </w:pPr>
      <w:r>
        <w:rPr>
          <w:rFonts w:ascii="Times New Roman" w:hAnsi="Times New Roman"/>
          <w:b w:val="0"/>
          <w:i w:val="0"/>
          <w:color w:val="000000"/>
          <w:sz w:val="24"/>
        </w:rPr>
        <w:t>The AiSOC platform is architectured as a cloud-native, microservices-based distributed system designed for horizontal scalability, sub-millisecond ingest latency, and multi-tenant operational resilience.</w:t>
      </w:r>
    </w:p>
    <w:p>
      <w:pPr>
        <w:spacing w:before="200" w:after="40"/>
        <w:jc w:val="center"/>
      </w:pPr>
      <w:r>
        <w:drawing>
          <wp:inline xmlns:a="http://schemas.openxmlformats.org/drawingml/2006/main" xmlns:pic="http://schemas.openxmlformats.org/drawingml/2006/picture">
            <wp:extent cx="5303520" cy="3689115"/>
            <wp:docPr id="5" name="Picture 5"/>
            <wp:cNvGraphicFramePr>
              <a:graphicFrameLocks noChangeAspect="1"/>
            </wp:cNvGraphicFramePr>
            <a:graphic>
              <a:graphicData uri="http://schemas.openxmlformats.org/drawingml/2006/picture">
                <pic:pic>
                  <pic:nvPicPr>
                    <pic:cNvPr id="0" name="fig4_1_system_topology.png"/>
                    <pic:cNvPicPr/>
                  </pic:nvPicPr>
                  <pic:blipFill>
                    <a:blip r:embed="rId13"/>
                    <a:stretch>
                      <a:fillRect/>
                    </a:stretch>
                  </pic:blipFill>
                  <pic:spPr>
                    <a:xfrm>
                      <a:off x="0" y="0"/>
                      <a:ext cx="5303520" cy="3689115"/>
                    </a:xfrm>
                    <a:prstGeom prst="rect"/>
                  </pic:spPr>
                </pic:pic>
              </a:graphicData>
            </a:graphic>
          </wp:inline>
        </w:drawing>
      </w:r>
    </w:p>
    <w:p>
      <w:pPr>
        <w:spacing w:before="40" w:after="200"/>
        <w:jc w:val="center"/>
      </w:pPr>
      <w:r>
        <w:rPr>
          <w:rFonts w:ascii="Times New Roman" w:hAnsi="Times New Roman"/>
          <w:b/>
          <w:color w:val="111827"/>
          <w:sz w:val="21"/>
        </w:rPr>
        <w:t>Figure 4.1: High-Level End-to-End System Topology of AiSOC</w:t>
      </w:r>
    </w:p>
    <w:p>
      <w:pPr>
        <w:spacing w:line="360" w:lineRule="auto" w:after="120"/>
        <w:jc w:val="both"/>
      </w:pPr>
      <w:r>
        <w:rPr>
          <w:rFonts w:ascii="Times New Roman" w:hAnsi="Times New Roman"/>
          <w:b w:val="0"/>
          <w:i w:val="0"/>
          <w:color w:val="000000"/>
          <w:sz w:val="24"/>
        </w:rPr>
        <w:t>The architecture comprises seven foundational architectural tiers:</w:t>
      </w:r>
    </w:p>
    <w:p>
      <w:pPr>
        <w:spacing w:line="360" w:lineRule="auto" w:after="120"/>
        <w:jc w:val="both"/>
      </w:pPr>
      <w:r>
        <w:rPr>
          <w:rFonts w:ascii="Times New Roman" w:hAnsi="Times New Roman"/>
          <w:b w:val="0"/>
          <w:i w:val="0"/>
          <w:color w:val="000000"/>
          <w:sz w:val="24"/>
        </w:rPr>
        <w:t>1. Universal Intake and Connectors Layer: Interfaces with over 83 third-party data sources (EDR, CloudTrail, Okta, Splunk, Zeek, Kubernetes) via asynchronous polling workers (APScheduler) and high-speed webhook receivers.</w:t>
      </w:r>
    </w:p>
    <w:p>
      <w:pPr>
        <w:spacing w:line="360" w:lineRule="auto" w:after="120"/>
        <w:jc w:val="both"/>
      </w:pPr>
      <w:r>
        <w:rPr>
          <w:rFonts w:ascii="Times New Roman" w:hAnsi="Times New Roman"/>
          <w:b w:val="0"/>
          <w:i w:val="0"/>
          <w:color w:val="000000"/>
          <w:sz w:val="24"/>
        </w:rPr>
        <w:t>2. High-Throughput Normalization Engine (services/ingest): A compiled Go 1.21 microservice that normalizes raw JSON/Syslog payloads into OCSF v1.1.0 schemas and performs in-memory MITRE ATT&amp;CK technique extraction.</w:t>
      </w:r>
    </w:p>
    <w:p>
      <w:pPr>
        <w:spacing w:line="360" w:lineRule="auto" w:after="120"/>
        <w:jc w:val="both"/>
      </w:pPr>
      <w:r>
        <w:rPr>
          <w:rFonts w:ascii="Times New Roman" w:hAnsi="Times New Roman"/>
          <w:b w:val="0"/>
          <w:i w:val="0"/>
          <w:color w:val="000000"/>
          <w:sz w:val="24"/>
        </w:rPr>
        <w:t>3. Distributed Streaming Event Bus (Apache Kafka): Decouples ingestion from downstream compute via partitioned event streams (ocsf.events, fused.alerts, vulnerability.matches).</w:t>
      </w:r>
    </w:p>
    <w:p>
      <w:pPr>
        <w:spacing w:line="360" w:lineRule="auto" w:after="120"/>
        <w:jc w:val="both"/>
      </w:pPr>
      <w:r>
        <w:rPr>
          <w:rFonts w:ascii="Times New Roman" w:hAnsi="Times New Roman"/>
          <w:b w:val="0"/>
          <w:i w:val="0"/>
          <w:color w:val="000000"/>
          <w:sz w:val="24"/>
        </w:rPr>
        <w:t>4. Alert Fusion and Machine Learning Engine (services/fusion): Applies 64-bit Simhash locality-sensitive hashing for sliding-window deduplication, an Isolation Forest for unsupervised anomaly scoring, and a LightGBM LambdaRank model for context-aware priority ranking.</w:t>
      </w:r>
    </w:p>
    <w:p>
      <w:pPr>
        <w:spacing w:line="360" w:lineRule="auto" w:after="120"/>
        <w:jc w:val="both"/>
      </w:pPr>
      <w:r>
        <w:rPr>
          <w:rFonts w:ascii="Times New Roman" w:hAnsi="Times New Roman"/>
          <w:b w:val="0"/>
          <w:i w:val="0"/>
          <w:color w:val="000000"/>
          <w:sz w:val="24"/>
        </w:rPr>
        <w:t>5. Core API and Enterprise Knowledge Graph (services/api &amp; Neo4j): Manages relational entity graphs (Hosts, Users, IOCs, Alerts, Cases, TTPs), multi-tenant Row-Level Security (RLS), and RESTful/GraphQL interfaces.</w:t>
      </w:r>
    </w:p>
    <w:p>
      <w:pPr>
        <w:spacing w:line="360" w:lineRule="auto" w:after="120"/>
        <w:jc w:val="both"/>
      </w:pPr>
      <w:r>
        <w:rPr>
          <w:rFonts w:ascii="Times New Roman" w:hAnsi="Times New Roman"/>
          <w:b w:val="0"/>
          <w:i w:val="0"/>
          <w:color w:val="000000"/>
          <w:sz w:val="24"/>
        </w:rPr>
        <w:t>6. Cognitive Multi-Agent DAG Orchestrator (services/agents): A stateful LangGraph execution engine deploying DetectAgent, TriageAgent, HuntAgent, and RespondAgent to autonomously investigate alerts and synthesize queries.</w:t>
      </w:r>
    </w:p>
    <w:p>
      <w:pPr>
        <w:spacing w:line="360" w:lineRule="auto" w:after="120"/>
        <w:jc w:val="both"/>
      </w:pPr>
      <w:r>
        <w:rPr>
          <w:rFonts w:ascii="Times New Roman" w:hAnsi="Times New Roman"/>
          <w:b w:val="0"/>
          <w:i w:val="0"/>
          <w:color w:val="000000"/>
          <w:sz w:val="24"/>
        </w:rPr>
        <w:t>7. Blast-Radius Safety Controller and SOAR Engine (services/actions): Enforces L0–L4 maturity policies, validates graph blast-radius caps, and coordinates automated containment with Slack/Teams ChatOps approval.</w:t>
      </w:r>
    </w:p>
    <w:p>
      <w:pPr>
        <w:spacing w:line="360" w:lineRule="auto" w:after="120"/>
        <w:jc w:val="both"/>
      </w:pPr>
      <w:r>
        <w:rPr>
          <w:rFonts w:ascii="Times New Roman" w:hAnsi="Times New Roman"/>
          <w:b w:val="0"/>
          <w:i w:val="0"/>
          <w:color w:val="000000"/>
          <w:sz w:val="24"/>
        </w:rPr>
        <w:t>8. Real-time SOC Workbench and Responder Console (apps/web &amp; services/realtime): A responsive Next.js 14 / React 19 web application featuring live WebSocket alert feeds, interactive Cytoscape graph visualizers, and two-pane Investigation Rails.</w:t>
      </w:r>
    </w:p>
    <w:p>
      <w:pPr>
        <w:spacing w:before="280" w:after="120" w:line="360" w:lineRule="auto"/>
        <w:jc w:val="left"/>
      </w:pPr>
      <w:r>
        <w:rPr>
          <w:rFonts w:ascii="Times New Roman" w:hAnsi="Times New Roman"/>
          <w:b/>
          <w:color w:val="000000"/>
          <w:sz w:val="24"/>
        </w:rPr>
        <w:t>4.3 Key Architectural Modules and Microservices Matrix</w:t>
      </w:r>
    </w:p>
    <w:p>
      <w:pPr>
        <w:spacing w:line="360" w:lineRule="auto" w:after="120"/>
        <w:jc w:val="both"/>
      </w:pPr>
      <w:r>
        <w:rPr>
          <w:rFonts w:ascii="Times New Roman" w:hAnsi="Times New Roman"/>
          <w:b w:val="0"/>
          <w:i w:val="0"/>
          <w:color w:val="000000"/>
          <w:sz w:val="24"/>
        </w:rPr>
        <w:t>Table 4.1 details the functional breakdown, language runtimes, and core responsibilities of each microservice in the AiSOC ecosystem.</w:t>
      </w:r>
    </w:p>
    <w:tbl>
      <w:tblPr>
        <w:tblW w:type="auto" w:w="0"/>
        <w:jc w:val="center"/>
        <w:tblLook w:firstColumn="1" w:firstRow="1" w:lastColumn="0" w:lastRow="0" w:noHBand="0" w:noVBand="1" w:val="04A0"/>
      </w:tblPr>
      <w:tblGrid>
        <w:gridCol w:w="2339"/>
        <w:gridCol w:w="2339"/>
        <w:gridCol w:w="2339"/>
        <w:gridCol w:w="2339"/>
      </w:tblGrid>
      <w:tr>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Microservice Directory</w:t>
            </w:r>
          </w:p>
        </w:tc>
        <w:tc>
          <w:tcPr>
            <w:tcW w:type="dxa" w:w="2016"/>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Runtime / Language</w:t>
            </w:r>
          </w:p>
        </w:tc>
        <w:tc>
          <w:tcPr>
            <w:tcW w:type="dxa" w:w="172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Hot-Path Latency</w:t>
            </w:r>
          </w:p>
        </w:tc>
        <w:tc>
          <w:tcPr>
            <w:tcW w:type="dxa" w:w="288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Primary Architectural Responsibilities</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services/ingest</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Go 1.21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&lt; 2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Sub-millisecond OCSF normalization, in-memory ATT&amp;CK trie matching, CISA KEV correlation.</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services/fusion</w:t>
            </w:r>
          </w:p>
        </w:tc>
        <w:tc>
          <w:tcPr>
            <w:tcW w:type="dxa" w:w="2016"/>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Python 3.11</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&lt; 15 ms</w:t>
            </w:r>
          </w:p>
        </w:tc>
        <w:tc>
          <w:tcPr>
            <w:tcW w:type="dxa" w:w="288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Simhash 64-bit deduplication, Isolation Forest anomaly scoring, LightGBM LambdaRank priority.</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services/api</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Python 3.11 / FastAPI</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&lt; 30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Case management, multi-tenancy RLS, Neo4j graph driver, REST/GraphQL API, audit logging.</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services/threatintel</w:t>
            </w:r>
          </w:p>
        </w:tc>
        <w:tc>
          <w:tcPr>
            <w:tcW w:type="dxa" w:w="2016"/>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Python 3.11</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Background</w:t>
            </w:r>
          </w:p>
        </w:tc>
        <w:tc>
          <w:tcPr>
            <w:tcW w:type="dxa" w:w="288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TAXII 2.1, MISP, AlienVault OTX feed ingestion, Redis Bloom filter deduplication.</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services/agents</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Python 3.11 / LangGraph</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0.5 – 1.5 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Multi-agent cognitive DAG execution, semantic RAG query over MITRE ATT&amp;CK STIX bundles.</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services/actions</w:t>
            </w:r>
          </w:p>
        </w:tc>
        <w:tc>
          <w:tcPr>
            <w:tcW w:type="dxa" w:w="2016"/>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Python 3.11</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&lt; 50 ms</w:t>
            </w:r>
          </w:p>
        </w:tc>
        <w:tc>
          <w:tcPr>
            <w:tcW w:type="dxa" w:w="288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SOAR execution, 3-hop graph blast-radius validation, Slack/Teams ChatOps approval hooks.</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services/realtime</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Node 20 / TypeScript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&lt; 5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WebSocket client fan-out, Server-Sent Events (SSE), Web Push notifications.</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apps/web</w:t>
            </w:r>
          </w:p>
        </w:tc>
        <w:tc>
          <w:tcPr>
            <w:tcW w:type="dxa" w:w="2016"/>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Next.js 14 / React 19</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Client-Side</w:t>
            </w:r>
          </w:p>
        </w:tc>
        <w:tc>
          <w:tcPr>
            <w:tcW w:type="dxa" w:w="288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Analyst console, Cytoscape graph visualizer, Investigation Rail, PDF export.</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packages/aisoc-sandbox</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Python 3.10+</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&lt; 10 ms</w:t>
            </w:r>
          </w:p>
        </w:tc>
        <w:tc>
          <w:tcPr>
            <w:tcW w:type="dxa" w:w="288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Standalone, zero-dependency offline CLI simulator for local demonstrations and evals.</w:t>
            </w:r>
          </w:p>
        </w:tc>
      </w:tr>
    </w:tbl>
    <w:p>
      <w:pPr>
        <w:spacing w:after="120"/>
      </w:pPr>
    </w:p>
    <w:p>
      <w:pPr>
        <w:spacing w:before="200" w:after="80" w:line="360" w:lineRule="auto"/>
        <w:jc w:val="left"/>
      </w:pPr>
      <w:r>
        <w:rPr>
          <w:rFonts w:ascii="Times New Roman" w:hAnsi="Times New Roman"/>
          <w:b/>
          <w:color w:val="000000"/>
          <w:sz w:val="24"/>
        </w:rPr>
        <w:t>4.3.1 Threat Actor Attribution &amp; Diamond Model Mapping Engine</w:t>
      </w:r>
    </w:p>
    <w:p>
      <w:pPr>
        <w:spacing w:line="360" w:lineRule="auto" w:after="120"/>
        <w:jc w:val="both"/>
      </w:pPr>
      <w:r>
        <w:rPr>
          <w:rFonts w:ascii="Times New Roman" w:hAnsi="Times New Roman"/>
          <w:b w:val="0"/>
          <w:i w:val="0"/>
          <w:color w:val="000000"/>
          <w:sz w:val="24"/>
        </w:rPr>
        <w:t>Beyond tactical alert triage, AiSOC incorporates an advanced Threat Actor Attribution Engine within `services/threatintel`. This engine implements Sergio et al.'s Cyber Diamond Model, establishing four vertices for every analyzed intrusion: Adversary, Capability, Infrastructure, and Victim.</w:t>
      </w:r>
    </w:p>
    <w:p>
      <w:pPr>
        <w:spacing w:line="360" w:lineRule="auto" w:after="120"/>
        <w:jc w:val="both"/>
      </w:pPr>
      <w:r>
        <w:rPr>
          <w:rFonts w:ascii="Times New Roman" w:hAnsi="Times New Roman"/>
          <w:b w:val="0"/>
          <w:i w:val="0"/>
          <w:color w:val="000000"/>
          <w:sz w:val="24"/>
        </w:rPr>
        <w:t>1. Diamond Vector Representation: For each security case C, an attribution vector D(C) is constructed across four feature groups: D(C) = [ V_adversary, V_capability, V_infrastructure, V_victim ].</w:t>
      </w:r>
    </w:p>
    <w:p>
      <w:pPr>
        <w:spacing w:line="360" w:lineRule="auto" w:after="120"/>
        <w:jc w:val="both"/>
      </w:pPr>
      <w:r>
        <w:rPr>
          <w:rFonts w:ascii="Times New Roman" w:hAnsi="Times New Roman"/>
          <w:b w:val="0"/>
          <w:i w:val="0"/>
          <w:color w:val="000000"/>
          <w:sz w:val="24"/>
        </w:rPr>
        <w:t>2. Jaccard &amp; Cosine Profile Similarity: Vector D(C) is compared against pre-indexed MITRE ATT&amp;CK Group profiles (e.g., APT28, APT29, FIN7, Lazarus Group) stored in STIX 2.1 JSON structures in OpenSearch:</w:t>
      </w:r>
    </w:p>
    <w:p>
      <w:pPr>
        <w:spacing w:line="360" w:lineRule="auto" w:after="120"/>
        <w:jc w:val="both"/>
      </w:pPr>
      <w:r>
        <w:rPr>
          <w:rFonts w:ascii="Times New Roman" w:hAnsi="Times New Roman"/>
          <w:b w:val="0"/>
          <w:i w:val="0"/>
          <w:color w:val="000000"/>
          <w:sz w:val="24"/>
        </w:rPr>
        <w:t>Sim(C, G_k) = alpha * Cosine(TTP_C, TTP_G_k) + beta * Jaccard(IOC_C, IOC_G_k)  ...Equ. (4.1)</w:t>
      </w:r>
    </w:p>
    <w:p>
      <w:pPr>
        <w:spacing w:line="360" w:lineRule="auto" w:after="120"/>
        <w:jc w:val="both"/>
      </w:pPr>
      <w:r>
        <w:rPr>
          <w:rFonts w:ascii="Times New Roman" w:hAnsi="Times New Roman"/>
          <w:b w:val="0"/>
          <w:i w:val="0"/>
          <w:color w:val="000000"/>
          <w:sz w:val="24"/>
        </w:rPr>
        <w:t>Where alpha = 0.7 and beta = 0.3 balance behavioral TTP alignment with static infrastructure overlap.</w:t>
      </w:r>
    </w:p>
    <w:p>
      <w:pPr>
        <w:spacing w:before="280" w:after="120" w:line="360" w:lineRule="auto"/>
        <w:jc w:val="left"/>
      </w:pPr>
      <w:r>
        <w:rPr>
          <w:rFonts w:ascii="Times New Roman" w:hAnsi="Times New Roman"/>
          <w:b/>
          <w:color w:val="000000"/>
          <w:sz w:val="24"/>
        </w:rPr>
        <w:t>4.4 Unified Modeling Language (UML) Diagrams</w:t>
      </w:r>
    </w:p>
    <w:p>
      <w:pPr>
        <w:spacing w:line="360" w:lineRule="auto" w:after="120"/>
        <w:jc w:val="both"/>
      </w:pPr>
      <w:r>
        <w:rPr>
          <w:rFonts w:ascii="Times New Roman" w:hAnsi="Times New Roman"/>
          <w:b w:val="0"/>
          <w:i w:val="0"/>
          <w:color w:val="000000"/>
          <w:sz w:val="24"/>
        </w:rPr>
        <w:t>To formally specify the architectural structure, interactions, and behavioral dynamics of the AiSOC platform, five standard Unified Modeling Language (UML) models are documented below:</w:t>
      </w:r>
    </w:p>
    <w:p>
      <w:pPr>
        <w:spacing w:before="200" w:after="80" w:line="360" w:lineRule="auto"/>
        <w:jc w:val="left"/>
      </w:pPr>
      <w:r>
        <w:rPr>
          <w:rFonts w:ascii="Times New Roman" w:hAnsi="Times New Roman"/>
          <w:b/>
          <w:color w:val="000000"/>
          <w:sz w:val="24"/>
        </w:rPr>
        <w:t>4.4.1 Use Case Model</w:t>
      </w:r>
    </w:p>
    <w:p>
      <w:pPr>
        <w:spacing w:line="360" w:lineRule="auto" w:after="120"/>
        <w:jc w:val="both"/>
      </w:pPr>
      <w:r>
        <w:rPr>
          <w:rFonts w:ascii="Times New Roman" w:hAnsi="Times New Roman"/>
          <w:b w:val="0"/>
          <w:i w:val="0"/>
          <w:color w:val="000000"/>
          <w:sz w:val="24"/>
        </w:rPr>
        <w:t>The Use Case diagram specifies the functional interactions between human actors (SOC Tier-1 Analyst, SOC Lead / Administrator, Detection Engineer) and automated system actors (Ingest Pipeline, LangGraph Multi-Agent Engine, SOAR Gating Controller):</w:t>
      </w:r>
    </w:p>
    <w:p>
      <w:pPr>
        <w:spacing w:before="200" w:after="40"/>
        <w:jc w:val="center"/>
      </w:pPr>
      <w:r>
        <w:drawing>
          <wp:inline xmlns:a="http://schemas.openxmlformats.org/drawingml/2006/main" xmlns:pic="http://schemas.openxmlformats.org/drawingml/2006/picture">
            <wp:extent cx="5120640" cy="3453299"/>
            <wp:docPr id="6" name="Picture 6"/>
            <wp:cNvGraphicFramePr>
              <a:graphicFrameLocks noChangeAspect="1"/>
            </wp:cNvGraphicFramePr>
            <a:graphic>
              <a:graphicData uri="http://schemas.openxmlformats.org/drawingml/2006/picture">
                <pic:pic>
                  <pic:nvPicPr>
                    <pic:cNvPr id="0" name="fig4_2_use_case_diagram.png"/>
                    <pic:cNvPicPr/>
                  </pic:nvPicPr>
                  <pic:blipFill>
                    <a:blip r:embed="rId14"/>
                    <a:stretch>
                      <a:fillRect/>
                    </a:stretch>
                  </pic:blipFill>
                  <pic:spPr>
                    <a:xfrm>
                      <a:off x="0" y="0"/>
                      <a:ext cx="5120640" cy="3453299"/>
                    </a:xfrm>
                    <a:prstGeom prst="rect"/>
                  </pic:spPr>
                </pic:pic>
              </a:graphicData>
            </a:graphic>
          </wp:inline>
        </w:drawing>
      </w:r>
    </w:p>
    <w:p>
      <w:pPr>
        <w:spacing w:before="40" w:after="200"/>
        <w:jc w:val="center"/>
      </w:pPr>
      <w:r>
        <w:rPr>
          <w:rFonts w:ascii="Times New Roman" w:hAnsi="Times New Roman"/>
          <w:b/>
          <w:color w:val="111827"/>
          <w:sz w:val="21"/>
        </w:rPr>
        <w:t>Figure 4.2: UML Use Case Diagram for Enterprise SOC Actors and Autonomous Engine</w:t>
      </w:r>
    </w:p>
    <w:p>
      <w:pPr>
        <w:spacing w:line="360" w:lineRule="auto" w:after="120"/>
        <w:jc w:val="both"/>
      </w:pPr>
      <w:r>
        <w:rPr>
          <w:rFonts w:ascii="Times New Roman" w:hAnsi="Times New Roman"/>
          <w:b w:val="0"/>
          <w:i w:val="0"/>
          <w:color w:val="000000"/>
          <w:sz w:val="24"/>
        </w:rPr>
        <w:t>• Use Case 1 (Monitor Real-Time Alert Stream): The SOC Analyst views live, fused security alerts streamed via WebSockets, filtered by severity and confidence.</w:t>
      </w:r>
    </w:p>
    <w:p>
      <w:pPr>
        <w:spacing w:line="360" w:lineRule="auto" w:after="120"/>
        <w:jc w:val="both"/>
      </w:pPr>
      <w:r>
        <w:rPr>
          <w:rFonts w:ascii="Times New Roman" w:hAnsi="Times New Roman"/>
          <w:b w:val="0"/>
          <w:i w:val="0"/>
          <w:color w:val="000000"/>
          <w:sz w:val="24"/>
        </w:rPr>
        <w:t>• Use Case 2 (Inspect Investigation Rail and Graph): The Analyst inspects the automated narrative timeline, entity pivot paths, and Neo4j attack graph visualizations.</w:t>
      </w:r>
    </w:p>
    <w:p>
      <w:pPr>
        <w:spacing w:line="360" w:lineRule="auto" w:after="120"/>
        <w:jc w:val="both"/>
      </w:pPr>
      <w:r>
        <w:rPr>
          <w:rFonts w:ascii="Times New Roman" w:hAnsi="Times New Roman"/>
          <w:b w:val="0"/>
          <w:i w:val="0"/>
          <w:color w:val="000000"/>
          <w:sz w:val="24"/>
        </w:rPr>
        <w:t>• Use Case 3 (Approve / Deny Gated Containment Actions): When RespondAgent proposes a high-blast-radius containment action (e.g., host isolation), the Analyst or SOC Lead reviews the blast-radius impact and clicks Approve or Deny.</w:t>
      </w:r>
    </w:p>
    <w:p>
      <w:pPr>
        <w:spacing w:line="360" w:lineRule="auto" w:after="120"/>
        <w:jc w:val="both"/>
      </w:pPr>
      <w:r>
        <w:rPr>
          <w:rFonts w:ascii="Times New Roman" w:hAnsi="Times New Roman"/>
          <w:b w:val="0"/>
          <w:i w:val="0"/>
          <w:color w:val="000000"/>
          <w:sz w:val="24"/>
        </w:rPr>
        <w:t>• Use Case 4 (Tune Detection Rules and Review Baselines): The Detection Engineer drafts Sigma/YARA rules in the Monaco web editor, triggers automated eval runs against the 200-incident corpus, and promotes validated rules.</w:t>
      </w:r>
    </w:p>
    <w:p>
      <w:pPr>
        <w:spacing w:line="360" w:lineRule="auto" w:after="120"/>
        <w:jc w:val="both"/>
      </w:pPr>
      <w:r>
        <w:rPr>
          <w:rFonts w:ascii="Times New Roman" w:hAnsi="Times New Roman"/>
          <w:b w:val="0"/>
          <w:i w:val="0"/>
          <w:color w:val="000000"/>
          <w:sz w:val="24"/>
        </w:rPr>
        <w:t>• Use Case 5 (Execute Autonomous Triage &amp; NL Threat Hunt): The Multi-Agent Engine autonomously takes intake alerts, executes data lake sweeps across ES|QL/SPL/KQL, and surfaces hidden lateral movement.</w:t>
      </w:r>
    </w:p>
    <w:p>
      <w:pPr>
        <w:spacing w:line="360" w:lineRule="auto" w:after="120"/>
        <w:jc w:val="both"/>
      </w:pPr>
      <w:r>
        <w:rPr>
          <w:rFonts w:ascii="Times New Roman" w:hAnsi="Times New Roman"/>
          <w:b w:val="0"/>
          <w:i w:val="0"/>
          <w:color w:val="000000"/>
          <w:sz w:val="24"/>
        </w:rPr>
        <w:t>• Use Case 6 (Generate Compliance &amp; Executive PDF Reports): The SOC Lead generates formatted PDF post-mortems and compliance audit exports for stakeholders.</w:t>
      </w:r>
    </w:p>
    <w:p>
      <w:pPr>
        <w:spacing w:before="200" w:after="80" w:line="360" w:lineRule="auto"/>
        <w:jc w:val="left"/>
      </w:pPr>
      <w:r>
        <w:rPr>
          <w:rFonts w:ascii="Times New Roman" w:hAnsi="Times New Roman"/>
          <w:b/>
          <w:color w:val="000000"/>
          <w:sz w:val="24"/>
        </w:rPr>
        <w:t>4.4.2 Class Model</w:t>
      </w:r>
    </w:p>
    <w:p>
      <w:pPr>
        <w:spacing w:line="360" w:lineRule="auto" w:after="120"/>
        <w:jc w:val="both"/>
      </w:pPr>
      <w:r>
        <w:rPr>
          <w:rFonts w:ascii="Times New Roman" w:hAnsi="Times New Roman"/>
          <w:b w:val="0"/>
          <w:i w:val="0"/>
          <w:color w:val="000000"/>
          <w:sz w:val="24"/>
        </w:rPr>
        <w:t>The Class Diagram models the core entity structures, attributes, methods, and associative constraints governing the platform:</w:t>
      </w:r>
    </w:p>
    <w:p>
      <w:pPr>
        <w:spacing w:before="200" w:after="40"/>
        <w:jc w:val="center"/>
      </w:pPr>
      <w:r>
        <w:drawing>
          <wp:inline xmlns:a="http://schemas.openxmlformats.org/drawingml/2006/main" xmlns:pic="http://schemas.openxmlformats.org/drawingml/2006/picture">
            <wp:extent cx="5303520" cy="3689115"/>
            <wp:docPr id="7" name="Picture 7"/>
            <wp:cNvGraphicFramePr>
              <a:graphicFrameLocks noChangeAspect="1"/>
            </wp:cNvGraphicFramePr>
            <a:graphic>
              <a:graphicData uri="http://schemas.openxmlformats.org/drawingml/2006/picture">
                <pic:pic>
                  <pic:nvPicPr>
                    <pic:cNvPr id="0" name="fig4_3_class_diagram.png"/>
                    <pic:cNvPicPr/>
                  </pic:nvPicPr>
                  <pic:blipFill>
                    <a:blip r:embed="rId15"/>
                    <a:stretch>
                      <a:fillRect/>
                    </a:stretch>
                  </pic:blipFill>
                  <pic:spPr>
                    <a:xfrm>
                      <a:off x="0" y="0"/>
                      <a:ext cx="5303520" cy="3689115"/>
                    </a:xfrm>
                    <a:prstGeom prst="rect"/>
                  </pic:spPr>
                </pic:pic>
              </a:graphicData>
            </a:graphic>
          </wp:inline>
        </w:drawing>
      </w:r>
    </w:p>
    <w:p>
      <w:pPr>
        <w:spacing w:before="40" w:after="200"/>
        <w:jc w:val="center"/>
      </w:pPr>
      <w:r>
        <w:rPr>
          <w:rFonts w:ascii="Times New Roman" w:hAnsi="Times New Roman"/>
          <w:b/>
          <w:color w:val="111827"/>
          <w:sz w:val="21"/>
        </w:rPr>
        <w:t>Figure 4.3: UML Class Diagram of Core Entity Model and System Constraints</w:t>
      </w:r>
    </w:p>
    <w:p>
      <w:pPr>
        <w:spacing w:line="360" w:lineRule="auto" w:after="120"/>
        <w:jc w:val="both"/>
      </w:pPr>
      <w:r>
        <w:rPr>
          <w:rFonts w:ascii="Times New Roman" w:hAnsi="Times New Roman"/>
          <w:b w:val="0"/>
          <w:i w:val="0"/>
          <w:color w:val="000000"/>
          <w:sz w:val="24"/>
        </w:rPr>
        <w:t>1. OcsfEvent: Represents normalized events with attributes {class_uid: Int, category_uid: Int, time: DateTime, metadata: Map, observables: List}. Implements normalize() and tagMitreTechniques().</w:t>
      </w:r>
    </w:p>
    <w:p>
      <w:pPr>
        <w:spacing w:line="360" w:lineRule="auto" w:after="120"/>
        <w:jc w:val="both"/>
      </w:pPr>
      <w:r>
        <w:rPr>
          <w:rFonts w:ascii="Times New Roman" w:hAnsi="Times New Roman"/>
          <w:b w:val="0"/>
          <w:i w:val="0"/>
          <w:color w:val="000000"/>
          <w:sz w:val="24"/>
        </w:rPr>
        <w:t>2. Alert: Represents a deduplicated, scored threat alert with attributes {id: UUID, title: String, severity: Enum, confidence: Int, simhash_signature: Int64, anomaly_score: Float, priority_score: Float, mitre_techniques: List[String]}. Implements fuse() and computeRisk().</w:t>
      </w:r>
    </w:p>
    <w:p>
      <w:pPr>
        <w:spacing w:line="360" w:lineRule="auto" w:after="120"/>
        <w:jc w:val="both"/>
      </w:pPr>
      <w:r>
        <w:rPr>
          <w:rFonts w:ascii="Times New Roman" w:hAnsi="Times New Roman"/>
          <w:b w:val="0"/>
          <w:i w:val="0"/>
          <w:color w:val="000000"/>
          <w:sz w:val="24"/>
        </w:rPr>
        <w:t>3. Case: Container grouping related alerts with attributes {id: UUID, title: String, status: Enum, priority: Enum, assigned_analyst: UUID, created_at: DateTime}. Implements closeCase() and exportPdf().</w:t>
      </w:r>
    </w:p>
    <w:p>
      <w:pPr>
        <w:spacing w:line="360" w:lineRule="auto" w:after="120"/>
        <w:jc w:val="both"/>
      </w:pPr>
      <w:r>
        <w:rPr>
          <w:rFonts w:ascii="Times New Roman" w:hAnsi="Times New Roman"/>
          <w:b w:val="0"/>
          <w:i w:val="0"/>
          <w:color w:val="000000"/>
          <w:sz w:val="24"/>
        </w:rPr>
        <w:t>4. EntityNode: Represents graph nodes in Neo4j with attributes {id: String, type: Enum, risk_score: Float, blast_radius: Int}. Implements computeBlastRadius(hops: Int) and getAttackPath().</w:t>
      </w:r>
    </w:p>
    <w:p>
      <w:pPr>
        <w:spacing w:line="360" w:lineRule="auto" w:after="120"/>
        <w:jc w:val="both"/>
      </w:pPr>
      <w:r>
        <w:rPr>
          <w:rFonts w:ascii="Times New Roman" w:hAnsi="Times New Roman"/>
          <w:b w:val="0"/>
          <w:i w:val="0"/>
          <w:color w:val="000000"/>
          <w:sz w:val="24"/>
        </w:rPr>
        <w:t>5. AgentLedgerStep: Immutable CoT trace step with attributes {step_index: Int, agent_name: String, action: String, rationale: String, tool_calls: List[Map], decision: String}. Implements serializeLedger().</w:t>
      </w:r>
    </w:p>
    <w:p>
      <w:pPr>
        <w:spacing w:line="360" w:lineRule="auto" w:after="120"/>
        <w:jc w:val="both"/>
      </w:pPr>
      <w:r>
        <w:rPr>
          <w:rFonts w:ascii="Times New Roman" w:hAnsi="Times New Roman"/>
          <w:b w:val="0"/>
          <w:i w:val="0"/>
          <w:color w:val="000000"/>
          <w:sz w:val="24"/>
        </w:rPr>
        <w:t>6. ActionExecution: Represents gated containment actions with attributes {id: UUID, action_type: String, target_entity: String, blast_radius_tier: Enum, approved_by: UUID}. Implements validateBlastRadius() and execute().</w:t>
      </w:r>
    </w:p>
    <w:p>
      <w:pPr>
        <w:spacing w:before="200" w:after="80" w:line="360" w:lineRule="auto"/>
        <w:jc w:val="left"/>
      </w:pPr>
      <w:r>
        <w:rPr>
          <w:rFonts w:ascii="Times New Roman" w:hAnsi="Times New Roman"/>
          <w:b/>
          <w:color w:val="000000"/>
          <w:sz w:val="24"/>
        </w:rPr>
        <w:t>4.4.3 Sequence Model (Telemetry Ingest to Gated Containment)</w:t>
      </w:r>
    </w:p>
    <w:p>
      <w:pPr>
        <w:spacing w:line="360" w:lineRule="auto" w:after="120"/>
        <w:jc w:val="both"/>
      </w:pPr>
      <w:r>
        <w:rPr>
          <w:rFonts w:ascii="Times New Roman" w:hAnsi="Times New Roman"/>
          <w:b w:val="0"/>
          <w:i w:val="0"/>
          <w:color w:val="000000"/>
          <w:sz w:val="24"/>
        </w:rPr>
        <w:t>The Sequence Diagram specifies the chronological message exchanges during an active multi-stage incident:</w:t>
      </w:r>
    </w:p>
    <w:p>
      <w:pPr>
        <w:spacing w:before="200" w:after="40"/>
        <w:jc w:val="center"/>
      </w:pPr>
      <w:r>
        <w:drawing>
          <wp:inline xmlns:a="http://schemas.openxmlformats.org/drawingml/2006/main" xmlns:pic="http://schemas.openxmlformats.org/drawingml/2006/picture">
            <wp:extent cx="5303520" cy="3425421"/>
            <wp:docPr id="8" name="Picture 8"/>
            <wp:cNvGraphicFramePr>
              <a:graphicFrameLocks noChangeAspect="1"/>
            </wp:cNvGraphicFramePr>
            <a:graphic>
              <a:graphicData uri="http://schemas.openxmlformats.org/drawingml/2006/picture">
                <pic:pic>
                  <pic:nvPicPr>
                    <pic:cNvPr id="0" name="fig4_4_sequence_diagram.png"/>
                    <pic:cNvPicPr/>
                  </pic:nvPicPr>
                  <pic:blipFill>
                    <a:blip r:embed="rId16"/>
                    <a:stretch>
                      <a:fillRect/>
                    </a:stretch>
                  </pic:blipFill>
                  <pic:spPr>
                    <a:xfrm>
                      <a:off x="0" y="0"/>
                      <a:ext cx="5303520" cy="3425421"/>
                    </a:xfrm>
                    <a:prstGeom prst="rect"/>
                  </pic:spPr>
                </pic:pic>
              </a:graphicData>
            </a:graphic>
          </wp:inline>
        </w:drawing>
      </w:r>
    </w:p>
    <w:p>
      <w:pPr>
        <w:spacing w:before="40" w:after="200"/>
        <w:jc w:val="center"/>
      </w:pPr>
      <w:r>
        <w:rPr>
          <w:rFonts w:ascii="Times New Roman" w:hAnsi="Times New Roman"/>
          <w:b/>
          <w:color w:val="111827"/>
          <w:sz w:val="21"/>
        </w:rPr>
        <w:t>Figure 4.4: UML Sequence Diagram: Telemetry Ingest to Gated Action Containment</w:t>
      </w:r>
    </w:p>
    <w:p>
      <w:pPr>
        <w:spacing w:line="360" w:lineRule="auto" w:after="120"/>
        <w:jc w:val="both"/>
      </w:pPr>
      <w:r>
        <w:rPr>
          <w:rFonts w:ascii="Times New Roman" w:hAnsi="Times New Roman"/>
          <w:b w:val="0"/>
          <w:i w:val="0"/>
          <w:color w:val="000000"/>
          <w:sz w:val="24"/>
        </w:rPr>
        <w:t>1. Adversary executes a lateral movement technique on an enterprise host.</w:t>
      </w:r>
    </w:p>
    <w:p>
      <w:pPr>
        <w:spacing w:line="360" w:lineRule="auto" w:after="120"/>
        <w:jc w:val="both"/>
      </w:pPr>
      <w:r>
        <w:rPr>
          <w:rFonts w:ascii="Times New Roman" w:hAnsi="Times New Roman"/>
          <w:b w:val="0"/>
          <w:i w:val="0"/>
          <w:color w:val="000000"/>
          <w:sz w:val="24"/>
        </w:rPr>
        <w:t>2. The endpoint sensor forwards a raw JSON event payload to services/ingest via HTTP.</w:t>
      </w:r>
    </w:p>
    <w:p>
      <w:pPr>
        <w:spacing w:line="360" w:lineRule="auto" w:after="120"/>
        <w:jc w:val="both"/>
      </w:pPr>
      <w:r>
        <w:rPr>
          <w:rFonts w:ascii="Times New Roman" w:hAnsi="Times New Roman"/>
          <w:b w:val="0"/>
          <w:i w:val="0"/>
          <w:color w:val="000000"/>
          <w:sz w:val="24"/>
        </w:rPr>
        <w:t>3. services/ingest executes sub-millisecond OCSF normalization and in-memory ATT&amp;CK trie matching, publishing the normalized event to Kafka topic `ocsf.events`.</w:t>
      </w:r>
    </w:p>
    <w:p>
      <w:pPr>
        <w:spacing w:line="360" w:lineRule="auto" w:after="120"/>
        <w:jc w:val="both"/>
      </w:pPr>
      <w:r>
        <w:rPr>
          <w:rFonts w:ascii="Times New Roman" w:hAnsi="Times New Roman"/>
          <w:b w:val="0"/>
          <w:i w:val="0"/>
          <w:color w:val="000000"/>
          <w:sz w:val="24"/>
        </w:rPr>
        <w:t>4. services/fusion consumes the event, computes its 64-bit Simhash, queries Redis for duplicate fingerprints, and executes Isolation Forest and LightGBM scoring.</w:t>
      </w:r>
    </w:p>
    <w:p>
      <w:pPr>
        <w:spacing w:line="360" w:lineRule="auto" w:after="120"/>
        <w:jc w:val="both"/>
      </w:pPr>
      <w:r>
        <w:rPr>
          <w:rFonts w:ascii="Times New Roman" w:hAnsi="Times New Roman"/>
          <w:b w:val="0"/>
          <w:i w:val="0"/>
          <w:color w:val="000000"/>
          <w:sz w:val="24"/>
        </w:rPr>
        <w:t>5. services/fusion upserts entity nodes and edges (:Host, :User, :Alert) into the Neo4j graph and publishes to `fused.alerts`.</w:t>
      </w:r>
    </w:p>
    <w:p>
      <w:pPr>
        <w:spacing w:line="360" w:lineRule="auto" w:after="120"/>
        <w:jc w:val="both"/>
      </w:pPr>
      <w:r>
        <w:rPr>
          <w:rFonts w:ascii="Times New Roman" w:hAnsi="Times New Roman"/>
          <w:b w:val="0"/>
          <w:i w:val="0"/>
          <w:color w:val="000000"/>
          <w:sz w:val="24"/>
        </w:rPr>
        <w:t>6. services/agents intercepts the fused alert and triggers the LangGraph DAG:</w:t>
      </w:r>
    </w:p>
    <w:p>
      <w:pPr>
        <w:spacing w:line="360" w:lineRule="auto" w:after="120"/>
        <w:jc w:val="both"/>
      </w:pPr>
      <w:r>
        <w:rPr>
          <w:rFonts w:ascii="Times New Roman" w:hAnsi="Times New Roman"/>
          <w:b w:val="0"/>
          <w:i w:val="0"/>
          <w:color w:val="000000"/>
          <w:sz w:val="24"/>
        </w:rPr>
        <w:t xml:space="preserve">   - DetectAgent verifies rule signatures.</w:t>
      </w:r>
    </w:p>
    <w:p>
      <w:pPr>
        <w:spacing w:line="360" w:lineRule="auto" w:after="120"/>
        <w:jc w:val="both"/>
      </w:pPr>
      <w:r>
        <w:rPr>
          <w:rFonts w:ascii="Times New Roman" w:hAnsi="Times New Roman"/>
          <w:b w:val="0"/>
          <w:i w:val="0"/>
          <w:color w:val="000000"/>
          <w:sz w:val="24"/>
        </w:rPr>
        <w:t xml:space="preserve">   - TriageAgent computes geo-velocity impossibility and assigns high confidence (83/100).</w:t>
      </w:r>
    </w:p>
    <w:p>
      <w:pPr>
        <w:spacing w:line="360" w:lineRule="auto" w:after="120"/>
        <w:jc w:val="both"/>
      </w:pPr>
      <w:r>
        <w:rPr>
          <w:rFonts w:ascii="Times New Roman" w:hAnsi="Times New Roman"/>
          <w:b w:val="0"/>
          <w:i w:val="0"/>
          <w:color w:val="000000"/>
          <w:sz w:val="24"/>
        </w:rPr>
        <w:t xml:space="preserve">   - HuntAgent synthesizes an ES|QL query, sweeping warm-tier logs to identify secondary compromised assets.</w:t>
      </w:r>
    </w:p>
    <w:p>
      <w:pPr>
        <w:spacing w:line="360" w:lineRule="auto" w:after="120"/>
        <w:jc w:val="both"/>
      </w:pPr>
      <w:r>
        <w:rPr>
          <w:rFonts w:ascii="Times New Roman" w:hAnsi="Times New Roman"/>
          <w:b w:val="0"/>
          <w:i w:val="0"/>
          <w:color w:val="000000"/>
          <w:sz w:val="24"/>
        </w:rPr>
        <w:t xml:space="preserve">   - RespondAgent formulates a 4-step containment plan (revoke session, enforce password reset, isolate host).</w:t>
      </w:r>
    </w:p>
    <w:p>
      <w:pPr>
        <w:spacing w:line="360" w:lineRule="auto" w:after="120"/>
        <w:jc w:val="both"/>
      </w:pPr>
      <w:r>
        <w:rPr>
          <w:rFonts w:ascii="Times New Roman" w:hAnsi="Times New Roman"/>
          <w:b w:val="0"/>
          <w:i w:val="0"/>
          <w:color w:val="000000"/>
          <w:sz w:val="24"/>
        </w:rPr>
        <w:t>7. services/actions queries Neo4j to evaluate the host blast radius:</w:t>
      </w:r>
    </w:p>
    <w:p>
      <w:pPr>
        <w:spacing w:line="360" w:lineRule="auto" w:after="120"/>
        <w:jc w:val="both"/>
      </w:pPr>
      <w:r>
        <w:rPr>
          <w:rFonts w:ascii="Times New Roman" w:hAnsi="Times New Roman"/>
          <w:b w:val="0"/>
          <w:i w:val="0"/>
          <w:color w:val="000000"/>
          <w:sz w:val="24"/>
        </w:rPr>
        <w:t xml:space="preserve">   - If blast radius &lt;= policy limit, the action executes automatically.</w:t>
      </w:r>
    </w:p>
    <w:p>
      <w:pPr>
        <w:spacing w:line="360" w:lineRule="auto" w:after="120"/>
        <w:jc w:val="both"/>
      </w:pPr>
      <w:r>
        <w:rPr>
          <w:rFonts w:ascii="Times New Roman" w:hAnsi="Times New Roman"/>
          <w:b w:val="0"/>
          <w:i w:val="0"/>
          <w:color w:val="000000"/>
          <w:sz w:val="24"/>
        </w:rPr>
        <w:t xml:space="preserve">   - If blast radius &gt; policy limit, an interactive approval notification is dispatched to the SOC Slack channel and web console.</w:t>
      </w:r>
    </w:p>
    <w:p>
      <w:pPr>
        <w:spacing w:line="360" w:lineRule="auto" w:after="120"/>
        <w:jc w:val="both"/>
      </w:pPr>
      <w:r>
        <w:rPr>
          <w:rFonts w:ascii="Times New Roman" w:hAnsi="Times New Roman"/>
          <w:b w:val="0"/>
          <w:i w:val="0"/>
          <w:color w:val="000000"/>
          <w:sz w:val="24"/>
        </w:rPr>
        <w:t>8. Upon human approval, services/actions invokes the EDR API to isolate the host and terminates all active IAM sessions.</w:t>
      </w:r>
    </w:p>
    <w:p>
      <w:pPr>
        <w:spacing w:before="200" w:after="80" w:line="360" w:lineRule="auto"/>
        <w:jc w:val="left"/>
      </w:pPr>
      <w:r>
        <w:rPr>
          <w:rFonts w:ascii="Times New Roman" w:hAnsi="Times New Roman"/>
          <w:b/>
          <w:color w:val="000000"/>
          <w:sz w:val="24"/>
        </w:rPr>
        <w:t>4.4.4 Activity Model (Multi-Agent Cognitive Investigation Loop)</w:t>
      </w:r>
    </w:p>
    <w:p>
      <w:pPr>
        <w:spacing w:line="360" w:lineRule="auto" w:after="120"/>
        <w:jc w:val="both"/>
      </w:pPr>
      <w:r>
        <w:rPr>
          <w:rFonts w:ascii="Times New Roman" w:hAnsi="Times New Roman"/>
          <w:b w:val="0"/>
          <w:i w:val="0"/>
          <w:color w:val="000000"/>
          <w:sz w:val="24"/>
        </w:rPr>
        <w:t>The Activity Diagram models the internal decision logic and branching conditions within the LangGraph orchestrator:</w:t>
      </w:r>
    </w:p>
    <w:p>
      <w:pPr>
        <w:spacing w:before="200" w:after="40"/>
        <w:jc w:val="center"/>
      </w:pPr>
      <w:r>
        <w:drawing>
          <wp:inline xmlns:a="http://schemas.openxmlformats.org/drawingml/2006/main" xmlns:pic="http://schemas.openxmlformats.org/drawingml/2006/picture">
            <wp:extent cx="5120640" cy="3947557"/>
            <wp:docPr id="9" name="Picture 9"/>
            <wp:cNvGraphicFramePr>
              <a:graphicFrameLocks noChangeAspect="1"/>
            </wp:cNvGraphicFramePr>
            <a:graphic>
              <a:graphicData uri="http://schemas.openxmlformats.org/drawingml/2006/picture">
                <pic:pic>
                  <pic:nvPicPr>
                    <pic:cNvPr id="0" name="fig4_5_activity_diagram.png"/>
                    <pic:cNvPicPr/>
                  </pic:nvPicPr>
                  <pic:blipFill>
                    <a:blip r:embed="rId17"/>
                    <a:stretch>
                      <a:fillRect/>
                    </a:stretch>
                  </pic:blipFill>
                  <pic:spPr>
                    <a:xfrm>
                      <a:off x="0" y="0"/>
                      <a:ext cx="5120640" cy="3947557"/>
                    </a:xfrm>
                    <a:prstGeom prst="rect"/>
                  </pic:spPr>
                </pic:pic>
              </a:graphicData>
            </a:graphic>
          </wp:inline>
        </w:drawing>
      </w:r>
    </w:p>
    <w:p>
      <w:pPr>
        <w:spacing w:before="40" w:after="200"/>
        <w:jc w:val="center"/>
      </w:pPr>
      <w:r>
        <w:rPr>
          <w:rFonts w:ascii="Times New Roman" w:hAnsi="Times New Roman"/>
          <w:b/>
          <w:color w:val="111827"/>
          <w:sz w:val="21"/>
        </w:rPr>
        <w:t>Figure 4.5: UML Activity Diagram: Autonomous Multi-Agent Investigation Loop</w:t>
      </w:r>
    </w:p>
    <w:p>
      <w:pPr>
        <w:spacing w:line="360" w:lineRule="auto" w:after="120"/>
        <w:jc w:val="both"/>
      </w:pPr>
      <w:r>
        <w:rPr>
          <w:rFonts w:ascii="Times New Roman" w:hAnsi="Times New Roman"/>
          <w:b w:val="0"/>
          <w:i w:val="0"/>
          <w:color w:val="000000"/>
          <w:sz w:val="24"/>
        </w:rPr>
        <w:t>• Step 1 (Intake &amp; Rule Evaluation): DetectAgent matches incoming telemetry against the 800+ executable Sigma/YARA ruleset and extracts MITRE ATT&amp;CK techniques.</w:t>
      </w:r>
    </w:p>
    <w:p>
      <w:pPr>
        <w:spacing w:line="360" w:lineRule="auto" w:after="120"/>
        <w:jc w:val="both"/>
      </w:pPr>
      <w:r>
        <w:rPr>
          <w:rFonts w:ascii="Times New Roman" w:hAnsi="Times New Roman"/>
          <w:b w:val="0"/>
          <w:i w:val="0"/>
          <w:color w:val="000000"/>
          <w:sz w:val="24"/>
        </w:rPr>
        <w:t>• Step 2 (Confidence &amp; Risk Scoring): TriageAgent queries historical outcome memory in PostgreSQL and semantic vectors in Qdrant. If the event is determined to be a known benign false positive with high certainty, it is automatically suppressed and logged.</w:t>
      </w:r>
    </w:p>
    <w:p>
      <w:pPr>
        <w:spacing w:line="360" w:lineRule="auto" w:after="120"/>
        <w:jc w:val="both"/>
      </w:pPr>
      <w:r>
        <w:rPr>
          <w:rFonts w:ascii="Times New Roman" w:hAnsi="Times New Roman"/>
          <w:b w:val="0"/>
          <w:i w:val="0"/>
          <w:color w:val="000000"/>
          <w:sz w:val="24"/>
        </w:rPr>
        <w:t>• Step 3 (Threat Hunting &amp; Query Synthesis): For true positive candidates, HuntAgent translates natural language hypotheses into structured data lake queries (ES|QL, SPL, KQL) to search for secondary indicators across a 24-hour lookback window.</w:t>
      </w:r>
    </w:p>
    <w:p>
      <w:pPr>
        <w:spacing w:line="360" w:lineRule="auto" w:after="120"/>
        <w:jc w:val="both"/>
      </w:pPr>
      <w:r>
        <w:rPr>
          <w:rFonts w:ascii="Times New Roman" w:hAnsi="Times New Roman"/>
          <w:b w:val="0"/>
          <w:i w:val="0"/>
          <w:color w:val="000000"/>
          <w:sz w:val="24"/>
        </w:rPr>
        <w:t>• Step 4 (Graph Expansion): If new compromised assets are discovered during the hunt, the Neo4j knowledge graph is dynamically expanded, and the kill-chain attack path is recalculated.</w:t>
      </w:r>
    </w:p>
    <w:p>
      <w:pPr>
        <w:spacing w:line="360" w:lineRule="auto" w:after="120"/>
        <w:jc w:val="both"/>
      </w:pPr>
      <w:r>
        <w:rPr>
          <w:rFonts w:ascii="Times New Roman" w:hAnsi="Times New Roman"/>
          <w:b w:val="0"/>
          <w:i w:val="0"/>
          <w:color w:val="000000"/>
          <w:sz w:val="24"/>
        </w:rPr>
        <w:t>• Step 5 (Containment Planning &amp; Gating): RespondAgent formulates a graduated containment plan and queries the blast-radius controller. Non-destructive actions execute immediately; destructive actions wait for human confirmation.</w:t>
      </w:r>
    </w:p>
    <w:p>
      <w:pPr>
        <w:spacing w:line="360" w:lineRule="auto" w:after="120"/>
        <w:jc w:val="both"/>
      </w:pPr>
      <w:r>
        <w:rPr>
          <w:rFonts w:ascii="Times New Roman" w:hAnsi="Times New Roman"/>
          <w:b w:val="0"/>
          <w:i w:val="0"/>
          <w:color w:val="000000"/>
          <w:sz w:val="24"/>
        </w:rPr>
        <w:t>• Step 6 (Post-Mortem Generation): The incident ledger is finalized, and an executive PDF summary is generated.</w:t>
      </w:r>
    </w:p>
    <w:p>
      <w:pPr>
        <w:spacing w:before="200" w:after="80" w:line="360" w:lineRule="auto"/>
        <w:jc w:val="left"/>
      </w:pPr>
      <w:r>
        <w:rPr>
          <w:rFonts w:ascii="Times New Roman" w:hAnsi="Times New Roman"/>
          <w:b/>
          <w:color w:val="000000"/>
          <w:sz w:val="24"/>
        </w:rPr>
        <w:t>4.4.5 State Machine Model (Case and Alert Lifecycle)</w:t>
      </w:r>
    </w:p>
    <w:p>
      <w:pPr>
        <w:spacing w:line="360" w:lineRule="auto" w:after="120"/>
        <w:jc w:val="both"/>
      </w:pPr>
      <w:r>
        <w:rPr>
          <w:rFonts w:ascii="Times New Roman" w:hAnsi="Times New Roman"/>
          <w:b w:val="0"/>
          <w:i w:val="0"/>
          <w:color w:val="000000"/>
          <w:sz w:val="24"/>
        </w:rPr>
        <w:t>The State Machine Diagram documents the finite lifecycle states of alerts and cases:</w:t>
      </w:r>
    </w:p>
    <w:p>
      <w:pPr>
        <w:spacing w:before="200" w:after="40"/>
        <w:jc w:val="center"/>
      </w:pPr>
      <w:r>
        <w:drawing>
          <wp:inline xmlns:a="http://schemas.openxmlformats.org/drawingml/2006/main" xmlns:pic="http://schemas.openxmlformats.org/drawingml/2006/picture">
            <wp:extent cx="5120640" cy="3184788"/>
            <wp:docPr id="10" name="Picture 10"/>
            <wp:cNvGraphicFramePr>
              <a:graphicFrameLocks noChangeAspect="1"/>
            </wp:cNvGraphicFramePr>
            <a:graphic>
              <a:graphicData uri="http://schemas.openxmlformats.org/drawingml/2006/picture">
                <pic:pic>
                  <pic:nvPicPr>
                    <pic:cNvPr id="0" name="fig4_6_state_machine.png"/>
                    <pic:cNvPicPr/>
                  </pic:nvPicPr>
                  <pic:blipFill>
                    <a:blip r:embed="rId18"/>
                    <a:stretch>
                      <a:fillRect/>
                    </a:stretch>
                  </pic:blipFill>
                  <pic:spPr>
                    <a:xfrm>
                      <a:off x="0" y="0"/>
                      <a:ext cx="5120640" cy="3184788"/>
                    </a:xfrm>
                    <a:prstGeom prst="rect"/>
                  </pic:spPr>
                </pic:pic>
              </a:graphicData>
            </a:graphic>
          </wp:inline>
        </w:drawing>
      </w:r>
    </w:p>
    <w:p>
      <w:pPr>
        <w:spacing w:before="40" w:after="200"/>
        <w:jc w:val="center"/>
      </w:pPr>
      <w:r>
        <w:rPr>
          <w:rFonts w:ascii="Times New Roman" w:hAnsi="Times New Roman"/>
          <w:b/>
          <w:color w:val="111827"/>
          <w:sz w:val="21"/>
        </w:rPr>
        <w:t>Figure 4.6: UML State Machine Diagram: Incident and Alert Lifecycle State Transitions</w:t>
      </w:r>
    </w:p>
    <w:p>
      <w:pPr>
        <w:spacing w:line="360" w:lineRule="auto" w:after="120"/>
        <w:jc w:val="both"/>
      </w:pPr>
      <w:r>
        <w:rPr>
          <w:rFonts w:ascii="Times New Roman" w:hAnsi="Times New Roman"/>
          <w:b w:val="0"/>
          <w:i w:val="0"/>
          <w:color w:val="000000"/>
          <w:sz w:val="24"/>
        </w:rPr>
        <w:t>• States: Ingested -&gt; Fused -&gt; Triaged -&gt; Investigating -&gt; PendingApproval -&gt; AutoRemediating -&gt; Resolved -&gt; Closed (or Suppressed/Dismissed).</w:t>
      </w:r>
    </w:p>
    <w:p>
      <w:pPr>
        <w:spacing w:line="360" w:lineRule="auto" w:after="120"/>
        <w:jc w:val="both"/>
      </w:pPr>
      <w:r>
        <w:rPr>
          <w:rFonts w:ascii="Times New Roman" w:hAnsi="Times New Roman"/>
          <w:b w:val="0"/>
          <w:i w:val="0"/>
          <w:color w:val="000000"/>
          <w:sz w:val="24"/>
        </w:rPr>
        <w:t>• Transition Ingested -&gt; Fused occurs upon passing Simhash deduplication and ML thresholding.</w:t>
      </w:r>
    </w:p>
    <w:p>
      <w:pPr>
        <w:spacing w:line="360" w:lineRule="auto" w:after="120"/>
        <w:jc w:val="both"/>
      </w:pPr>
      <w:r>
        <w:rPr>
          <w:rFonts w:ascii="Times New Roman" w:hAnsi="Times New Roman"/>
          <w:b w:val="0"/>
          <w:i w:val="0"/>
          <w:color w:val="000000"/>
          <w:sz w:val="24"/>
        </w:rPr>
        <w:t>• Transition Fused -&gt; Suppressed occurs if Simhash Hamming distance &lt;= 3 against a recent benign fingerprint.</w:t>
      </w:r>
    </w:p>
    <w:p>
      <w:pPr>
        <w:spacing w:line="360" w:lineRule="auto" w:after="120"/>
        <w:jc w:val="both"/>
      </w:pPr>
      <w:r>
        <w:rPr>
          <w:rFonts w:ascii="Times New Roman" w:hAnsi="Times New Roman"/>
          <w:b w:val="0"/>
          <w:i w:val="0"/>
          <w:color w:val="000000"/>
          <w:sz w:val="24"/>
        </w:rPr>
        <w:t>• Transition Investigating -&gt; PendingApproval occurs when RespondAgent requests an action exceeding the blast-radius cap.</w:t>
      </w:r>
    </w:p>
    <w:p>
      <w:pPr>
        <w:spacing w:line="360" w:lineRule="auto" w:after="120"/>
        <w:jc w:val="both"/>
      </w:pPr>
      <w:r>
        <w:rPr>
          <w:rFonts w:ascii="Times New Roman" w:hAnsi="Times New Roman"/>
          <w:b w:val="0"/>
          <w:i w:val="0"/>
          <w:color w:val="000000"/>
          <w:sz w:val="24"/>
        </w:rPr>
        <w:t>• Transition AutoRemediating -&gt; Resolved occurs upon verified API execution of containment commands.</w:t>
      </w:r>
    </w:p>
    <w:p>
      <w:pPr>
        <w:spacing w:before="280" w:after="120" w:line="360" w:lineRule="auto"/>
        <w:jc w:val="left"/>
      </w:pPr>
      <w:r>
        <w:rPr>
          <w:rFonts w:ascii="Times New Roman" w:hAnsi="Times New Roman"/>
          <w:b/>
          <w:color w:val="000000"/>
          <w:sz w:val="24"/>
        </w:rPr>
        <w:t>4.5 Engineering and Security Standards Adopted</w:t>
      </w:r>
    </w:p>
    <w:p>
      <w:pPr>
        <w:spacing w:before="200" w:after="80" w:line="360" w:lineRule="auto"/>
        <w:jc w:val="left"/>
      </w:pPr>
      <w:r>
        <w:rPr>
          <w:rFonts w:ascii="Times New Roman" w:hAnsi="Times New Roman"/>
          <w:b/>
          <w:color w:val="000000"/>
          <w:sz w:val="24"/>
        </w:rPr>
        <w:t>4.5.1 The L0–L4 Automation Maturity Model</w:t>
      </w:r>
    </w:p>
    <w:p>
      <w:pPr>
        <w:spacing w:line="360" w:lineRule="auto" w:after="120"/>
        <w:jc w:val="both"/>
      </w:pPr>
      <w:r>
        <w:rPr>
          <w:rFonts w:ascii="Times New Roman" w:hAnsi="Times New Roman"/>
          <w:b w:val="0"/>
          <w:i w:val="0"/>
          <w:color w:val="000000"/>
          <w:sz w:val="24"/>
        </w:rPr>
        <w:t>To provide enterprise risk officers with granular governance over autonomous agent execution, AiSOC establishes a five-tier Automation Maturity Model:</w:t>
      </w:r>
    </w:p>
    <w:tbl>
      <w:tblPr>
        <w:tblW w:type="auto" w:w="0"/>
        <w:jc w:val="center"/>
        <w:tblLook w:firstColumn="1" w:firstRow="1" w:lastColumn="0" w:lastRow="0" w:noHBand="0" w:noVBand="1" w:val="04A0"/>
      </w:tblPr>
      <w:tblGrid>
        <w:gridCol w:w="2339"/>
        <w:gridCol w:w="2339"/>
        <w:gridCol w:w="2339"/>
        <w:gridCol w:w="2339"/>
      </w:tblGrid>
      <w:tr>
        <w:tc>
          <w:tcPr>
            <w:tcW w:type="dxa" w:w="172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Maturity Level</w:t>
            </w:r>
          </w:p>
        </w:tc>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Operational Name</w:t>
            </w:r>
          </w:p>
        </w:tc>
        <w:tc>
          <w:tcPr>
            <w:tcW w:type="dxa" w:w="331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Autonomous Agent Permissions</w:t>
            </w:r>
          </w:p>
        </w:tc>
        <w:tc>
          <w:tcPr>
            <w:tcW w:type="dxa" w:w="2016"/>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Human Operator Role</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L0</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Manual Monitoring</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Zero automated action; agents only format and display raw logs.</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Analyst performs all triage, hunting, and execution manually.</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L1</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Assisted Investigation</w:t>
            </w:r>
          </w:p>
        </w:tc>
        <w:tc>
          <w:tcPr>
            <w:tcW w:type="dxa" w:w="331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Agents synthesize timelines, extract IOCs, and recommend containment steps.</w:t>
            </w:r>
          </w:p>
        </w:tc>
        <w:tc>
          <w:tcPr>
            <w:tcW w:type="dxa" w:w="2016"/>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Analyst reviews recommendations and clicks to execute each action.</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L2</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Supervised Autonomous</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Non-invasive actions (IP enrichment, domain lookup, ticket updates) execute automatically.</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Analyst approves all active containment actions (host isolation, lockout).</w:t>
            </w:r>
          </w:p>
        </w:tc>
      </w:tr>
      <w:tr>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L3</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Conditional Autonomous</w:t>
            </w:r>
          </w:p>
        </w:tc>
        <w:tc>
          <w:tcPr>
            <w:tcW w:type="dxa" w:w="331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Containment actions execute automatically if graph blast-radius &lt;= configured policy threshold.</w:t>
            </w:r>
          </w:p>
        </w:tc>
        <w:tc>
          <w:tcPr>
            <w:tcW w:type="dxa" w:w="2016"/>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Analyst is notified post-action; alerted immediately if blast-radius is breached.</w:t>
            </w:r>
          </w:p>
        </w:tc>
      </w:tr>
      <w:tr>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L4</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Fully Autonomous</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Closed-loop autonomous detection, triage, hunting, containment, and report generation.</w:t>
            </w:r>
          </w:p>
        </w:tc>
        <w:tc>
          <w:tcPr>
            <w:tcW w:type="dxa" w:w="201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Analyst acts as high-level auditor reviewing daily executive summaries.</w:t>
            </w:r>
          </w:p>
        </w:tc>
      </w:tr>
    </w:tbl>
    <w:p>
      <w:pPr>
        <w:spacing w:after="120"/>
      </w:pPr>
    </w:p>
    <w:p>
      <w:pPr>
        <w:spacing w:before="200" w:after="80" w:line="360" w:lineRule="auto"/>
        <w:jc w:val="left"/>
      </w:pPr>
      <w:r>
        <w:rPr>
          <w:rFonts w:ascii="Times New Roman" w:hAnsi="Times New Roman"/>
          <w:b/>
          <w:color w:val="000000"/>
          <w:sz w:val="24"/>
        </w:rPr>
        <w:t>4.5.2 Multi-Tenant Data Isolation and Row-Level Security (RLS)</w:t>
      </w:r>
    </w:p>
    <w:p>
      <w:pPr>
        <w:spacing w:line="360" w:lineRule="auto" w:after="120"/>
        <w:jc w:val="both"/>
      </w:pPr>
      <w:r>
        <w:rPr>
          <w:rFonts w:ascii="Times New Roman" w:hAnsi="Times New Roman"/>
          <w:b w:val="0"/>
          <w:i w:val="0"/>
          <w:color w:val="000000"/>
          <w:sz w:val="24"/>
        </w:rPr>
        <w:t>In multi-tenant MSSP environments, strict logical separation is mandatory. AiSOC implements tenant isolation at both the query and storage layers:</w:t>
      </w:r>
    </w:p>
    <w:p>
      <w:pPr>
        <w:spacing w:line="360" w:lineRule="auto" w:after="120"/>
        <w:jc w:val="both"/>
      </w:pPr>
      <w:r>
        <w:rPr>
          <w:rFonts w:ascii="Times New Roman" w:hAnsi="Times New Roman"/>
          <w:b w:val="0"/>
          <w:i w:val="0"/>
          <w:color w:val="000000"/>
          <w:sz w:val="24"/>
        </w:rPr>
        <w:t>1. PostgreSQL Row-Level Security (RLS): All database tables enforce `tenant_id = current_setting('app.current_tenant_id')` on every SELECT, INSERT, UPDATE, and DELETE statement.</w:t>
      </w:r>
    </w:p>
    <w:p>
      <w:pPr>
        <w:spacing w:line="360" w:lineRule="auto" w:after="120"/>
        <w:jc w:val="both"/>
      </w:pPr>
      <w:r>
        <w:rPr>
          <w:rFonts w:ascii="Times New Roman" w:hAnsi="Times New Roman"/>
          <w:b w:val="0"/>
          <w:i w:val="0"/>
          <w:color w:val="000000"/>
          <w:sz w:val="24"/>
        </w:rPr>
        <w:t>2. Neo4j Cypher Tenant Scoping: Every graph node carries a mandatory `tenant_id` property. All traversal queries enforce `WHERE node.tenant_id = $tenant_id`.</w:t>
      </w:r>
    </w:p>
    <w:p>
      <w:pPr>
        <w:spacing w:line="360" w:lineRule="auto" w:after="120"/>
        <w:jc w:val="both"/>
      </w:pPr>
      <w:r>
        <w:rPr>
          <w:rFonts w:ascii="Times New Roman" w:hAnsi="Times New Roman"/>
          <w:b w:val="0"/>
          <w:i w:val="0"/>
          <w:color w:val="000000"/>
          <w:sz w:val="24"/>
        </w:rPr>
        <w:t>3. Fernet AES-128-CBC Credential Vault: Sensitive connector API tokens and private keys are encrypted at rest using an AES-128-CBC cipher with HMAC-SHA256 integrity verification (`vault:v1:&lt;base64&gt;`).</w:t>
      </w:r>
    </w:p>
    <w:p>
      <w:r>
        <w:br w:type="page"/>
      </w:r>
    </w:p>
    <w:p>
      <w:pPr>
        <w:spacing w:before="400" w:after="240" w:line="360" w:lineRule="auto"/>
        <w:jc w:val="center"/>
      </w:pPr>
      <w:r>
        <w:rPr>
          <w:rFonts w:ascii="Times New Roman" w:hAnsi="Times New Roman"/>
          <w:b/>
          <w:color w:val="000000"/>
          <w:sz w:val="28"/>
        </w:rPr>
        <w:t>CHAPTER 5</w:t>
        <w:br/>
        <w:t>SYSTEM SPECIFICATION</w:t>
      </w:r>
    </w:p>
    <w:p>
      <w:pPr>
        <w:spacing w:before="280" w:after="120" w:line="360" w:lineRule="auto"/>
        <w:jc w:val="left"/>
      </w:pPr>
      <w:r>
        <w:rPr>
          <w:rFonts w:ascii="Times New Roman" w:hAnsi="Times New Roman"/>
          <w:b/>
          <w:color w:val="000000"/>
          <w:sz w:val="24"/>
        </w:rPr>
        <w:t>5.1 Hardware Requirements</w:t>
      </w:r>
    </w:p>
    <w:p>
      <w:pPr>
        <w:spacing w:line="360" w:lineRule="auto" w:after="120"/>
        <w:jc w:val="both"/>
      </w:pPr>
      <w:r>
        <w:rPr>
          <w:rFonts w:ascii="Times New Roman" w:hAnsi="Times New Roman"/>
          <w:b w:val="0"/>
          <w:i w:val="0"/>
          <w:color w:val="000000"/>
          <w:sz w:val="24"/>
        </w:rPr>
        <w:t>The AiSOC platform is engineered to support a broad spectrum of deployment topologies—ranging from lightweight, zero-dependency developer sandboxes to enterprise-grade, multi-region distributed Kubernetes clusters. The minimum and recommended hardware specifications are documented in Table 5.1.</w:t>
      </w:r>
    </w:p>
    <w:tbl>
      <w:tblPr>
        <w:tblW w:type="auto" w:w="0"/>
        <w:jc w:val="center"/>
        <w:tblLook w:firstColumn="1" w:firstRow="1" w:lastColumn="0" w:lastRow="0" w:noHBand="0" w:noVBand="1" w:val="04A0"/>
      </w:tblPr>
      <w:tblGrid>
        <w:gridCol w:w="3118"/>
        <w:gridCol w:w="3118"/>
        <w:gridCol w:w="3118"/>
      </w:tblGrid>
      <w:tr>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Hardware Component</w:t>
            </w:r>
          </w:p>
        </w:tc>
        <w:tc>
          <w:tcPr>
            <w:tcW w:type="dxa" w:w="316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Minimum Development Specification</w:t>
            </w:r>
          </w:p>
        </w:tc>
        <w:tc>
          <w:tcPr>
            <w:tcW w:type="dxa" w:w="3456"/>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Enterprise Production Cluster Requirement</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Central Processing Unit (CPU)</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Intel Core i5 / AMD Ryzen 5 (4 Cores, 8 Threads, 2.5 GHz+)</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Dual Intel Xeon Gold / AMD EPYC (32+ Cores, 64 Threads, 3.2 GHz+)</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Random Access Memory (RAM)</w:t>
            </w:r>
          </w:p>
        </w:tc>
        <w:tc>
          <w:tcPr>
            <w:tcW w:type="dxa" w:w="316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16 GB DDR4 Non-ECC</w:t>
            </w:r>
          </w:p>
        </w:tc>
        <w:tc>
          <w:tcPr>
            <w:tcW w:type="dxa" w:w="3456"/>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128 GB – 256 GB DDR4/DDR5 ECC Registered RAM</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Storage Subsystem</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50 GB NVMe PCIe Gen3 SSD</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 TB Enterprise PCIe Gen4 NVMe SSD (RAID 10)</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Network Interface Card (NIC)</w:t>
            </w:r>
          </w:p>
        </w:tc>
        <w:tc>
          <w:tcPr>
            <w:tcW w:type="dxa" w:w="316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 Gbps Full-Duplex Ethernet</w:t>
            </w:r>
          </w:p>
        </w:tc>
        <w:tc>
          <w:tcPr>
            <w:tcW w:type="dxa" w:w="3456"/>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Dual 10/25 Gbps Redundant SFP28 Fiber Interfaces</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System Architecture</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x86_64 or ARM64 (Apple Silicon / AWS Graviton)</w:t>
            </w:r>
          </w:p>
        </w:tc>
        <w:tc>
          <w:tcPr>
            <w:tcW w:type="dxa" w:w="3456"/>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x86_64 Enterprise Server Architecture</w:t>
            </w:r>
          </w:p>
        </w:tc>
      </w:tr>
    </w:tbl>
    <w:p>
      <w:pPr>
        <w:spacing w:after="120"/>
      </w:pPr>
    </w:p>
    <w:p>
      <w:pPr>
        <w:spacing w:before="200" w:after="80" w:line="360" w:lineRule="auto"/>
        <w:jc w:val="left"/>
      </w:pPr>
      <w:r>
        <w:rPr>
          <w:rFonts w:ascii="Times New Roman" w:hAnsi="Times New Roman"/>
          <w:b/>
          <w:color w:val="000000"/>
          <w:sz w:val="24"/>
        </w:rPr>
        <w:t>5.1.1 CPU and Memory Allocation Strategy</w:t>
      </w:r>
    </w:p>
    <w:p>
      <w:pPr>
        <w:spacing w:line="360" w:lineRule="auto" w:after="120"/>
        <w:jc w:val="both"/>
      </w:pPr>
      <w:r>
        <w:rPr>
          <w:rFonts w:ascii="Times New Roman" w:hAnsi="Times New Roman"/>
          <w:b w:val="0"/>
          <w:i w:val="0"/>
          <w:color w:val="000000"/>
          <w:sz w:val="24"/>
        </w:rPr>
        <w:t>In production deployments, compute and memory resources are partitioned across microservices to prevent resource starvation:</w:t>
      </w:r>
    </w:p>
    <w:p>
      <w:pPr>
        <w:spacing w:line="360" w:lineRule="auto" w:after="120"/>
        <w:jc w:val="both"/>
      </w:pPr>
      <w:r>
        <w:rPr>
          <w:rFonts w:ascii="Times New Roman" w:hAnsi="Times New Roman"/>
          <w:b w:val="0"/>
          <w:i w:val="0"/>
          <w:color w:val="000000"/>
          <w:sz w:val="24"/>
        </w:rPr>
        <w:t>• `services/ingest` (Go): 2 CPU Cores, 2 GB RAM (Highly optimized, zero GC overhead).</w:t>
      </w:r>
    </w:p>
    <w:p>
      <w:pPr>
        <w:spacing w:line="360" w:lineRule="auto" w:after="120"/>
        <w:jc w:val="both"/>
      </w:pPr>
      <w:r>
        <w:rPr>
          <w:rFonts w:ascii="Times New Roman" w:hAnsi="Times New Roman"/>
          <w:b w:val="0"/>
          <w:i w:val="0"/>
          <w:color w:val="000000"/>
          <w:sz w:val="24"/>
        </w:rPr>
        <w:t>• `services/fusion` (Python ML): 4 CPU Cores, 8 GB RAM (In-memory Simhash cache and LightGBM model buffers).</w:t>
      </w:r>
    </w:p>
    <w:p>
      <w:pPr>
        <w:spacing w:line="360" w:lineRule="auto" w:after="120"/>
        <w:jc w:val="both"/>
      </w:pPr>
      <w:r>
        <w:rPr>
          <w:rFonts w:ascii="Times New Roman" w:hAnsi="Times New Roman"/>
          <w:b w:val="0"/>
          <w:i w:val="0"/>
          <w:color w:val="000000"/>
          <w:sz w:val="24"/>
        </w:rPr>
        <w:t>• `services/api` (FastAPI): 4 CPU Cores, 8 GB RAM (Handles concurrent REST/WebSocket connections and PostgreSQL pooling).</w:t>
      </w:r>
    </w:p>
    <w:p>
      <w:pPr>
        <w:spacing w:line="360" w:lineRule="auto" w:after="120"/>
        <w:jc w:val="both"/>
      </w:pPr>
      <w:r>
        <w:rPr>
          <w:rFonts w:ascii="Times New Roman" w:hAnsi="Times New Roman"/>
          <w:b w:val="0"/>
          <w:i w:val="0"/>
          <w:color w:val="000000"/>
          <w:sz w:val="24"/>
        </w:rPr>
        <w:t>• `Neo4j Graph Database`: 8 CPU Cores, 32 GB RAM (Dedicated page cache for graph traversal performance).</w:t>
      </w:r>
    </w:p>
    <w:p>
      <w:pPr>
        <w:spacing w:line="360" w:lineRule="auto" w:after="120"/>
        <w:jc w:val="both"/>
      </w:pPr>
      <w:r>
        <w:rPr>
          <w:rFonts w:ascii="Times New Roman" w:hAnsi="Times New Roman"/>
          <w:b w:val="0"/>
          <w:i w:val="0"/>
          <w:color w:val="000000"/>
          <w:sz w:val="24"/>
        </w:rPr>
        <w:t>• `Apache Kafka &amp; Zookeeper/KRaft`: 4 CPU Cores, 16 GB RAM (Zero-copy network streaming).</w:t>
      </w:r>
    </w:p>
    <w:p>
      <w:pPr>
        <w:spacing w:line="360" w:lineRule="auto" w:after="120"/>
        <w:jc w:val="both"/>
      </w:pPr>
      <w:r>
        <w:rPr>
          <w:rFonts w:ascii="Times New Roman" w:hAnsi="Times New Roman"/>
          <w:b w:val="0"/>
          <w:i w:val="0"/>
          <w:color w:val="000000"/>
          <w:sz w:val="24"/>
        </w:rPr>
        <w:t>• `services/agents` (LangGraph Workers): 8 CPU Cores, 16 GB RAM (Parallel LLM token streaming and RAG retrieval).</w:t>
      </w:r>
    </w:p>
    <w:p>
      <w:pPr>
        <w:spacing w:before="200" w:after="80" w:line="360" w:lineRule="auto"/>
        <w:jc w:val="left"/>
      </w:pPr>
      <w:r>
        <w:rPr>
          <w:rFonts w:ascii="Times New Roman" w:hAnsi="Times New Roman"/>
          <w:b/>
          <w:color w:val="000000"/>
          <w:sz w:val="24"/>
        </w:rPr>
        <w:t>5.1.2 Memory Sizing Formulations for In-Memory Components</w:t>
      </w:r>
    </w:p>
    <w:p>
      <w:pPr>
        <w:spacing w:line="360" w:lineRule="auto" w:after="120"/>
        <w:jc w:val="both"/>
      </w:pPr>
      <w:r>
        <w:rPr>
          <w:rFonts w:ascii="Times New Roman" w:hAnsi="Times New Roman"/>
          <w:b w:val="0"/>
          <w:i w:val="0"/>
          <w:color w:val="000000"/>
          <w:sz w:val="24"/>
        </w:rPr>
        <w:t>1. Redis Simhash Cache Sizing: Let N_alerts be the peak 15-minute alert rate (e.g., 100,000 alerts). Each Simhash entry consumes approximately 64 bytes in Redis set structures. The memory footprint M_redis is calculated as:</w:t>
      </w:r>
    </w:p>
    <w:p>
      <w:pPr>
        <w:spacing w:line="360" w:lineRule="auto" w:after="120"/>
        <w:jc w:val="both"/>
      </w:pPr>
      <w:r>
        <w:rPr>
          <w:rFonts w:ascii="Times New Roman" w:hAnsi="Times New Roman"/>
          <w:b w:val="0"/>
          <w:i w:val="0"/>
          <w:color w:val="000000"/>
          <w:sz w:val="24"/>
        </w:rPr>
        <w:t>M_redis = N_alerts * 64 bytes * 1.5 (overhead) = 9.6 MB  ...Equ. (5.1)</w:t>
      </w:r>
    </w:p>
    <w:p>
      <w:pPr>
        <w:spacing w:line="360" w:lineRule="auto" w:after="120"/>
        <w:jc w:val="both"/>
      </w:pPr>
      <w:r>
        <w:rPr>
          <w:rFonts w:ascii="Times New Roman" w:hAnsi="Times New Roman"/>
          <w:b w:val="0"/>
          <w:i w:val="0"/>
          <w:color w:val="000000"/>
          <w:sz w:val="24"/>
        </w:rPr>
        <w:t>2. Neo4j Page Cache Sizing: To achieve sub-millisecond 3-hop traversals, the page cache M_neo4j must hold all active graph node and relationship records in RAM:</w:t>
      </w:r>
    </w:p>
    <w:p>
      <w:pPr>
        <w:spacing w:line="360" w:lineRule="auto" w:after="120"/>
        <w:jc w:val="both"/>
      </w:pPr>
      <w:r>
        <w:rPr>
          <w:rFonts w:ascii="Times New Roman" w:hAnsi="Times New Roman"/>
          <w:b w:val="0"/>
          <w:i w:val="0"/>
          <w:color w:val="000000"/>
          <w:sz w:val="24"/>
        </w:rPr>
        <w:t>M_neo4j = (N_nodes * 15 bytes) + (N_edges * 34 bytes) + (N_props * 40 bytes)  ...Equ. (5.2)</w:t>
      </w:r>
    </w:p>
    <w:p>
      <w:pPr>
        <w:spacing w:line="360" w:lineRule="auto" w:after="120"/>
        <w:jc w:val="both"/>
      </w:pPr>
      <w:r>
        <w:rPr>
          <w:rFonts w:ascii="Times New Roman" w:hAnsi="Times New Roman"/>
          <w:b w:val="0"/>
          <w:i w:val="0"/>
          <w:color w:val="000000"/>
          <w:sz w:val="24"/>
        </w:rPr>
        <w:t>For an enterprise with 1,000,000 active graph nodes and 5,000,000 edges, M_neo4j requires approximately 385 MB of active page cache memory.</w:t>
      </w:r>
    </w:p>
    <w:p>
      <w:pPr>
        <w:spacing w:before="280" w:after="120" w:line="360" w:lineRule="auto"/>
        <w:jc w:val="left"/>
      </w:pPr>
      <w:r>
        <w:rPr>
          <w:rFonts w:ascii="Times New Roman" w:hAnsi="Times New Roman"/>
          <w:b/>
          <w:color w:val="000000"/>
          <w:sz w:val="24"/>
        </w:rPr>
        <w:t>5.2 Software Requirements and Runtimes</w:t>
      </w:r>
    </w:p>
    <w:p>
      <w:pPr>
        <w:spacing w:line="360" w:lineRule="auto" w:after="120"/>
        <w:jc w:val="both"/>
      </w:pPr>
      <w:r>
        <w:rPr>
          <w:rFonts w:ascii="Times New Roman" w:hAnsi="Times New Roman"/>
          <w:b w:val="0"/>
          <w:i w:val="0"/>
          <w:color w:val="000000"/>
          <w:sz w:val="24"/>
        </w:rPr>
        <w:t>The AiSOC software stack utilizes modern, memory-safe, and high-concurrency programming runtimes, as specified in Table 5.2.</w:t>
      </w:r>
    </w:p>
    <w:tbl>
      <w:tblPr>
        <w:tblW w:type="auto" w:w="0"/>
        <w:jc w:val="center"/>
        <w:tblLook w:firstColumn="1" w:firstRow="1" w:lastColumn="0" w:lastRow="0" w:noHBand="0" w:noVBand="1" w:val="04A0"/>
      </w:tblPr>
      <w:tblGrid>
        <w:gridCol w:w="2339"/>
        <w:gridCol w:w="2339"/>
        <w:gridCol w:w="2339"/>
        <w:gridCol w:w="2339"/>
      </w:tblGrid>
      <w:tr>
        <w:tc>
          <w:tcPr>
            <w:tcW w:type="dxa" w:w="2304"/>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Software Layer</w:t>
            </w:r>
          </w:p>
        </w:tc>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Technology Component</w:t>
            </w:r>
          </w:p>
        </w:tc>
        <w:tc>
          <w:tcPr>
            <w:tcW w:type="dxa" w:w="172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Version Specified</w:t>
            </w:r>
          </w:p>
        </w:tc>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Operational Role</w:t>
            </w:r>
          </w:p>
        </w:tc>
      </w:tr>
      <w:tr>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Host Operating System</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Ubuntu Linux / Windows 11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22.04 LTS / 64-bit</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Host runtime platform for containerized services.</w:t>
            </w:r>
          </w:p>
        </w:tc>
      </w:tr>
      <w:tr>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Go Toolchain</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Golang Compiler &amp; Runtime</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Go 1.21+ / 1.25</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High-throughput telemetry ingestion &amp; normalizer.</w:t>
            </w:r>
          </w:p>
        </w:tc>
      </w:tr>
      <w:tr>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Python Runtime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CPython Interpreter</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Python 3.11+ / 3.13</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ML scoring, API services, LangGraph agent DAG.</w:t>
            </w:r>
          </w:p>
        </w:tc>
      </w:tr>
      <w:tr>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Node.js Runtime</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Node.js &amp; pnpm Package Mgr</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Node v20.x / pnpm 8.15</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Next.js web console, MCP server, WebSocket gateway.</w:t>
            </w:r>
          </w:p>
        </w:tc>
      </w:tr>
      <w:tr>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Container Runtime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Docker Engine &amp; Docker Compose</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Docker v26+ / Compose v2.29</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Containerized microservice orchestration and isolation.</w:t>
            </w:r>
          </w:p>
        </w:tc>
      </w:tr>
      <w:tr>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Web Framework</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Next.js 14 / React 19 / Turbopack</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Next 16.3 / React 19.2</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Responsive SOC analyst console and visualization.</w:t>
            </w:r>
          </w:p>
        </w:tc>
      </w:tr>
      <w:tr>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API Framework</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FastAPI / Starlette / Uvicorn</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FastAPI 0.110+ / Pydantic v2</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Asynchronous RESTful and WebSocket API endpoints.</w:t>
            </w:r>
          </w:p>
        </w:tc>
      </w:tr>
    </w:tbl>
    <w:p>
      <w:pPr>
        <w:spacing w:after="120"/>
      </w:pPr>
    </w:p>
    <w:p>
      <w:pPr>
        <w:spacing w:before="280" w:after="120" w:line="360" w:lineRule="auto"/>
        <w:jc w:val="left"/>
      </w:pPr>
      <w:r>
        <w:rPr>
          <w:rFonts w:ascii="Times New Roman" w:hAnsi="Times New Roman"/>
          <w:b/>
          <w:color w:val="000000"/>
          <w:sz w:val="24"/>
        </w:rPr>
        <w:t>5.3 Frameworks, Libraries, and External Services</w:t>
      </w:r>
    </w:p>
    <w:p>
      <w:pPr>
        <w:spacing w:before="200" w:after="80" w:line="360" w:lineRule="auto"/>
        <w:jc w:val="left"/>
      </w:pPr>
      <w:r>
        <w:rPr>
          <w:rFonts w:ascii="Times New Roman" w:hAnsi="Times New Roman"/>
          <w:b/>
          <w:color w:val="000000"/>
          <w:sz w:val="24"/>
        </w:rPr>
        <w:t>5.3.1 Python Scientific and Machine Learning Libraries</w:t>
      </w:r>
    </w:p>
    <w:p>
      <w:pPr>
        <w:spacing w:line="360" w:lineRule="auto" w:after="120"/>
        <w:jc w:val="both"/>
      </w:pPr>
      <w:r>
        <w:rPr>
          <w:rFonts w:ascii="Times New Roman" w:hAnsi="Times New Roman"/>
          <w:b w:val="0"/>
          <w:i w:val="0"/>
          <w:color w:val="000000"/>
          <w:sz w:val="24"/>
        </w:rPr>
        <w:t>• `langgraph` (v0.0.30+) &amp; `langchain` (v0.1.0+): Stateful graph-based cognitive agent orchestration, edge conditional routing, and memory retention.</w:t>
      </w:r>
    </w:p>
    <w:p>
      <w:pPr>
        <w:spacing w:line="360" w:lineRule="auto" w:after="120"/>
        <w:jc w:val="both"/>
      </w:pPr>
      <w:r>
        <w:rPr>
          <w:rFonts w:ascii="Times New Roman" w:hAnsi="Times New Roman"/>
          <w:b w:val="0"/>
          <w:i w:val="0"/>
          <w:color w:val="000000"/>
          <w:sz w:val="24"/>
        </w:rPr>
        <w:t>• `lightgbm` (v4.3.0+): Gradient boosted learning-to-rank algorithm (`LambdaRank`) for list-wise alert prioritization.</w:t>
      </w:r>
    </w:p>
    <w:p>
      <w:pPr>
        <w:spacing w:line="360" w:lineRule="auto" w:after="120"/>
        <w:jc w:val="both"/>
      </w:pPr>
      <w:r>
        <w:rPr>
          <w:rFonts w:ascii="Times New Roman" w:hAnsi="Times New Roman"/>
          <w:b w:val="0"/>
          <w:i w:val="0"/>
          <w:color w:val="000000"/>
          <w:sz w:val="24"/>
        </w:rPr>
        <w:t>• `scikit-learn` (v1.4.0+): Isolation Forest unsupervised outlier detection and feature transformation preprocessing.</w:t>
      </w:r>
    </w:p>
    <w:p>
      <w:pPr>
        <w:spacing w:line="360" w:lineRule="auto" w:after="120"/>
        <w:jc w:val="both"/>
      </w:pPr>
      <w:r>
        <w:rPr>
          <w:rFonts w:ascii="Times New Roman" w:hAnsi="Times New Roman"/>
          <w:b w:val="0"/>
          <w:i w:val="0"/>
          <w:color w:val="000000"/>
          <w:sz w:val="24"/>
        </w:rPr>
        <w:t>• `neo4j` (v5.18.0+ Async Driver): Asynchronous Bolt driver connecting FastAPI and Python services to the Neo4j cluster.</w:t>
      </w:r>
    </w:p>
    <w:p>
      <w:pPr>
        <w:spacing w:line="360" w:lineRule="auto" w:after="120"/>
        <w:jc w:val="both"/>
      </w:pPr>
      <w:r>
        <w:rPr>
          <w:rFonts w:ascii="Times New Roman" w:hAnsi="Times New Roman"/>
          <w:b w:val="0"/>
          <w:i w:val="0"/>
          <w:color w:val="000000"/>
          <w:sz w:val="24"/>
        </w:rPr>
        <w:t>• `asyncpg` (v0.29.0+) &amp; `SQLAlchemy` (v2.0.28+): Asynchronous PostgreSQL connectivity with connection pooling and Alembic migration management.</w:t>
      </w:r>
    </w:p>
    <w:p>
      <w:pPr>
        <w:spacing w:line="360" w:lineRule="auto" w:after="120"/>
        <w:jc w:val="both"/>
      </w:pPr>
      <w:r>
        <w:rPr>
          <w:rFonts w:ascii="Times New Roman" w:hAnsi="Times New Roman"/>
          <w:b w:val="0"/>
          <w:i w:val="0"/>
          <w:color w:val="000000"/>
          <w:sz w:val="24"/>
        </w:rPr>
        <w:t>• `pydantic` (v2.6.0+): High-performance data validation and type coercion utilizing compiled Rust core.</w:t>
      </w:r>
    </w:p>
    <w:p>
      <w:pPr>
        <w:spacing w:line="360" w:lineRule="auto" w:after="120"/>
        <w:jc w:val="both"/>
      </w:pPr>
      <w:r>
        <w:rPr>
          <w:rFonts w:ascii="Times New Roman" w:hAnsi="Times New Roman"/>
          <w:b w:val="0"/>
          <w:i w:val="0"/>
          <w:color w:val="000000"/>
          <w:sz w:val="24"/>
        </w:rPr>
        <w:t>• `cryptography` (v44.0.1+): Application-layer encryption implementing Fernet AES-128-CBC + HMAC-SHA256 authenticated secret vaults.</w:t>
      </w:r>
    </w:p>
    <w:p>
      <w:pPr>
        <w:spacing w:line="360" w:lineRule="auto" w:after="120"/>
        <w:jc w:val="both"/>
      </w:pPr>
      <w:r>
        <w:rPr>
          <w:rFonts w:ascii="Times New Roman" w:hAnsi="Times New Roman"/>
          <w:b w:val="0"/>
          <w:i w:val="0"/>
          <w:color w:val="000000"/>
          <w:sz w:val="24"/>
        </w:rPr>
        <w:t>• `redis-py` (v5.0.3+): Async Redis client for sliding-window Simhash caches and Bloom filter deduplication.</w:t>
      </w:r>
    </w:p>
    <w:p>
      <w:pPr>
        <w:spacing w:before="200" w:after="80" w:line="360" w:lineRule="auto"/>
        <w:jc w:val="left"/>
      </w:pPr>
      <w:r>
        <w:rPr>
          <w:rFonts w:ascii="Times New Roman" w:hAnsi="Times New Roman"/>
          <w:b/>
          <w:color w:val="000000"/>
          <w:sz w:val="24"/>
        </w:rPr>
        <w:t>5.3.2 Go High-Throughput Ingestion Libraries</w:t>
      </w:r>
    </w:p>
    <w:p>
      <w:pPr>
        <w:spacing w:line="360" w:lineRule="auto" w:after="120"/>
        <w:jc w:val="both"/>
      </w:pPr>
      <w:r>
        <w:rPr>
          <w:rFonts w:ascii="Times New Roman" w:hAnsi="Times New Roman"/>
          <w:b w:val="0"/>
          <w:i w:val="0"/>
          <w:color w:val="000000"/>
          <w:sz w:val="24"/>
        </w:rPr>
        <w:t>• `github.com/segmentio/kafka-go`: Pure-Go Kafka client providing zero-allocation batch publishing.</w:t>
      </w:r>
    </w:p>
    <w:p>
      <w:pPr>
        <w:spacing w:line="360" w:lineRule="auto" w:after="120"/>
        <w:jc w:val="both"/>
      </w:pPr>
      <w:r>
        <w:rPr>
          <w:rFonts w:ascii="Times New Roman" w:hAnsi="Times New Roman"/>
          <w:b w:val="0"/>
          <w:i w:val="0"/>
          <w:color w:val="000000"/>
          <w:sz w:val="24"/>
        </w:rPr>
        <w:t>• `github.com/go-chi/chi/v5`: Lightweight, composable HTTP router for high-throughput webhook ingestion.</w:t>
      </w:r>
    </w:p>
    <w:p>
      <w:pPr>
        <w:spacing w:line="360" w:lineRule="auto" w:after="120"/>
        <w:jc w:val="both"/>
      </w:pPr>
      <w:r>
        <w:rPr>
          <w:rFonts w:ascii="Times New Roman" w:hAnsi="Times New Roman"/>
          <w:b w:val="0"/>
          <w:i w:val="0"/>
          <w:color w:val="000000"/>
          <w:sz w:val="24"/>
        </w:rPr>
        <w:t>• `github.com/google/uuid`: RFC 4122 compliant UUID generator for unique event tracking.</w:t>
      </w:r>
    </w:p>
    <w:p>
      <w:pPr>
        <w:spacing w:before="200" w:after="80" w:line="360" w:lineRule="auto"/>
        <w:jc w:val="left"/>
      </w:pPr>
      <w:r>
        <w:rPr>
          <w:rFonts w:ascii="Times New Roman" w:hAnsi="Times New Roman"/>
          <w:b/>
          <w:color w:val="000000"/>
          <w:sz w:val="24"/>
        </w:rPr>
        <w:t>5.3.3 Web Frontend and Visualization Libraries</w:t>
      </w:r>
    </w:p>
    <w:p>
      <w:pPr>
        <w:spacing w:line="360" w:lineRule="auto" w:after="120"/>
        <w:jc w:val="both"/>
      </w:pPr>
      <w:r>
        <w:rPr>
          <w:rFonts w:ascii="Times New Roman" w:hAnsi="Times New Roman"/>
          <w:b w:val="0"/>
          <w:i w:val="0"/>
          <w:color w:val="000000"/>
          <w:sz w:val="24"/>
        </w:rPr>
        <w:t>• `cytoscape` (v3.34.0) &amp; `cytoscape-fcose`: Physics-based force-directed graph rendering for interactive network and attack path exploration.</w:t>
      </w:r>
    </w:p>
    <w:p>
      <w:pPr>
        <w:spacing w:line="360" w:lineRule="auto" w:after="120"/>
        <w:jc w:val="both"/>
      </w:pPr>
      <w:r>
        <w:rPr>
          <w:rFonts w:ascii="Times New Roman" w:hAnsi="Times New Roman"/>
          <w:b w:val="0"/>
          <w:i w:val="0"/>
          <w:color w:val="000000"/>
          <w:sz w:val="24"/>
        </w:rPr>
        <w:t>• `@xyflow/react` (v12.11.2): React Flow canvas for visual SOAR playbook editing and drag-drop workflow studio.</w:t>
      </w:r>
    </w:p>
    <w:p>
      <w:pPr>
        <w:spacing w:line="360" w:lineRule="auto" w:after="120"/>
        <w:jc w:val="both"/>
      </w:pPr>
      <w:r>
        <w:rPr>
          <w:rFonts w:ascii="Times New Roman" w:hAnsi="Times New Roman"/>
          <w:b w:val="0"/>
          <w:i w:val="0"/>
          <w:color w:val="000000"/>
          <w:sz w:val="24"/>
        </w:rPr>
        <w:t>• `swr` (v2.5.0) &amp; `zustand` (v5.0.14): Stale-While-Revalidate client caching and atomic reactive UI state management.</w:t>
      </w:r>
    </w:p>
    <w:p>
      <w:pPr>
        <w:spacing w:line="360" w:lineRule="auto" w:after="120"/>
        <w:jc w:val="both"/>
      </w:pPr>
      <w:r>
        <w:rPr>
          <w:rFonts w:ascii="Times New Roman" w:hAnsi="Times New Roman"/>
          <w:b w:val="0"/>
          <w:i w:val="0"/>
          <w:color w:val="000000"/>
          <w:sz w:val="24"/>
        </w:rPr>
        <w:t>• `recharts` (v3.9.2) &amp; `lucide-react`: Modern data analytics charting and cybersecurity UI iconography.</w:t>
      </w:r>
    </w:p>
    <w:p>
      <w:pPr>
        <w:spacing w:before="280" w:after="120" w:line="360" w:lineRule="auto"/>
        <w:jc w:val="left"/>
      </w:pPr>
      <w:r>
        <w:rPr>
          <w:rFonts w:ascii="Times New Roman" w:hAnsi="Times New Roman"/>
          <w:b/>
          <w:color w:val="000000"/>
          <w:sz w:val="24"/>
        </w:rPr>
        <w:t>5.4 Database and Streaming Storage Engines</w:t>
      </w:r>
    </w:p>
    <w:p>
      <w:pPr>
        <w:spacing w:line="360" w:lineRule="auto" w:after="120"/>
        <w:jc w:val="both"/>
      </w:pPr>
      <w:r>
        <w:rPr>
          <w:rFonts w:ascii="Times New Roman" w:hAnsi="Times New Roman"/>
          <w:b w:val="0"/>
          <w:i w:val="0"/>
          <w:color w:val="000000"/>
          <w:sz w:val="24"/>
        </w:rPr>
        <w:t>Table 5.3 specifies the storage engines, access patterns, and data lifecycle management across AiSOC.</w:t>
      </w:r>
    </w:p>
    <w:tbl>
      <w:tblPr>
        <w:tblW w:type="auto" w:w="0"/>
        <w:jc w:val="center"/>
        <w:tblLook w:firstColumn="1" w:firstRow="1" w:lastColumn="0" w:lastRow="0" w:noHBand="0" w:noVBand="1" w:val="04A0"/>
      </w:tblPr>
      <w:tblGrid>
        <w:gridCol w:w="2339"/>
        <w:gridCol w:w="2339"/>
        <w:gridCol w:w="2339"/>
        <w:gridCol w:w="2339"/>
      </w:tblGrid>
      <w:tr>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Storage Engine</w:t>
            </w:r>
          </w:p>
        </w:tc>
        <w:tc>
          <w:tcPr>
            <w:tcW w:type="dxa" w:w="1584"/>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Engine Version</w:t>
            </w:r>
          </w:p>
        </w:tc>
        <w:tc>
          <w:tcPr>
            <w:tcW w:type="dxa" w:w="331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Primary Data Entities Stored</w:t>
            </w:r>
          </w:p>
        </w:tc>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Persistence and Retention Policy</w:t>
            </w:r>
          </w:p>
        </w:tc>
      </w:tr>
      <w:tr>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PostgreSQL</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Version 16.2</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Users, Tenants, Roles, Cases, Alerts, Audit Logs, Agent Investigation Ledgers.</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Persistent ACID storage with WAL archiving and daily automated snapshots.</w:t>
            </w:r>
          </w:p>
        </w:tc>
      </w:tr>
      <w:tr>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Neo4j Graph Database</w:t>
            </w:r>
          </w:p>
        </w:tc>
        <w:tc>
          <w:tcPr>
            <w:tcW w:type="dxa" w:w="158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Version 5.18 Enterprise</w:t>
            </w:r>
          </w:p>
        </w:tc>
        <w:tc>
          <w:tcPr>
            <w:tcW w:type="dxa" w:w="331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Entity Graph: Hosts, Users, Processes, IOCs, Techniques, Tactics, Cases.</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Native property graph in memory with periodic transaction log flushes.</w:t>
            </w:r>
          </w:p>
        </w:tc>
      </w:tr>
      <w:tr>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Apache Kafka</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Version 3.6 (KRaft)</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Streaming topics: `ocsf.events`, `fused.alerts`, `vulnerability.matches`.</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7-day sliding retention window with disk partition striping.</w:t>
            </w:r>
          </w:p>
        </w:tc>
      </w:tr>
      <w:tr>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Redis In-Memory Key-Value</w:t>
            </w:r>
          </w:p>
        </w:tc>
        <w:tc>
          <w:tcPr>
            <w:tcW w:type="dxa" w:w="158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Version 7.2</w:t>
            </w:r>
          </w:p>
        </w:tc>
        <w:tc>
          <w:tcPr>
            <w:tcW w:type="dxa" w:w="331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Simhash 64-bit sliding fingerprints, Redis Bloom filters, distributed locks.</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In-memory volatile-lru eviction; persistence via RDB/AOF.</w:t>
            </w:r>
          </w:p>
        </w:tc>
      </w:tr>
      <w:tr>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OpenSearch / Qdrant</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Version 2.11 / v1.8</w:t>
            </w:r>
          </w:p>
        </w:tc>
        <w:tc>
          <w:tcPr>
            <w:tcW w:type="dxa" w:w="331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STIX 2.1 threat intelligence index, MITRE ATT&amp;CK embeddings for semantic RAG.</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Full-text and HNSW vector index with cosine metric.</w:t>
            </w:r>
          </w:p>
        </w:tc>
      </w:tr>
    </w:tbl>
    <w:p>
      <w:pPr>
        <w:spacing w:after="120"/>
      </w:pPr>
    </w:p>
    <w:p>
      <w:pPr>
        <w:spacing w:before="280" w:after="120" w:line="360" w:lineRule="auto"/>
        <w:jc w:val="left"/>
      </w:pPr>
      <w:r>
        <w:rPr>
          <w:rFonts w:ascii="Times New Roman" w:hAnsi="Times New Roman"/>
          <w:b/>
          <w:color w:val="000000"/>
          <w:sz w:val="24"/>
        </w:rPr>
        <w:t>5.5 Cryptographic Network Security &amp; Cipher Configurations</w:t>
      </w:r>
    </w:p>
    <w:p>
      <w:pPr>
        <w:spacing w:line="360" w:lineRule="auto" w:after="120"/>
        <w:jc w:val="both"/>
      </w:pPr>
      <w:r>
        <w:rPr>
          <w:rFonts w:ascii="Times New Roman" w:hAnsi="Times New Roman"/>
          <w:b w:val="0"/>
          <w:i w:val="0"/>
          <w:color w:val="000000"/>
          <w:sz w:val="24"/>
        </w:rPr>
        <w:t>All inter-service and external communication channels enforce TLS 1.3 encryption with strict cipher pinning:</w:t>
      </w:r>
    </w:p>
    <w:p>
      <w:pPr>
        <w:spacing w:line="360" w:lineRule="auto" w:after="120"/>
        <w:jc w:val="both"/>
      </w:pPr>
      <w:r>
        <w:rPr>
          <w:rFonts w:ascii="Times New Roman" w:hAnsi="Times New Roman"/>
          <w:b w:val="0"/>
          <w:i w:val="0"/>
          <w:color w:val="000000"/>
          <w:sz w:val="24"/>
        </w:rPr>
        <w:t>• Supported TLS 1.3 Ciphers: `TLS_AES_256_GCM_SHA384` and `TLS_CHACHA20_POLY1305_SHA256`.</w:t>
      </w:r>
    </w:p>
    <w:p>
      <w:pPr>
        <w:spacing w:line="360" w:lineRule="auto" w:after="120"/>
        <w:jc w:val="both"/>
      </w:pPr>
      <w:r>
        <w:rPr>
          <w:rFonts w:ascii="Times New Roman" w:hAnsi="Times New Roman"/>
          <w:b w:val="0"/>
          <w:i w:val="0"/>
          <w:color w:val="000000"/>
          <w:sz w:val="24"/>
        </w:rPr>
        <w:t>• Forward Secrecy: Enforced using Elliptic Curve Diffie-Hellman Ephemeral (ECDHE) key exchanges over Curve25519 (`X25519`).</w:t>
      </w:r>
    </w:p>
    <w:p>
      <w:pPr>
        <w:spacing w:line="360" w:lineRule="auto" w:after="120"/>
        <w:jc w:val="both"/>
      </w:pPr>
      <w:r>
        <w:rPr>
          <w:rFonts w:ascii="Times New Roman" w:hAnsi="Times New Roman"/>
          <w:b w:val="0"/>
          <w:i w:val="0"/>
          <w:color w:val="000000"/>
          <w:sz w:val="24"/>
        </w:rPr>
        <w:t>• Database Connection Security: PostgreSQL and Neo4j connections require `sslmode=verify-full` with mutual certificate authority (mTLS) validation.</w:t>
      </w:r>
    </w:p>
    <w:p>
      <w:r>
        <w:br w:type="page"/>
      </w:r>
    </w:p>
    <w:p>
      <w:pPr>
        <w:spacing w:before="400" w:after="240" w:line="360" w:lineRule="auto"/>
        <w:jc w:val="center"/>
      </w:pPr>
      <w:r>
        <w:rPr>
          <w:rFonts w:ascii="Times New Roman" w:hAnsi="Times New Roman"/>
          <w:b/>
          <w:color w:val="000000"/>
          <w:sz w:val="28"/>
        </w:rPr>
        <w:t>CHAPTER 6</w:t>
        <w:br/>
        <w:t>IMPLEMENTATION</w:t>
      </w:r>
    </w:p>
    <w:p>
      <w:pPr>
        <w:spacing w:before="280" w:after="120" w:line="360" w:lineRule="auto"/>
        <w:jc w:val="left"/>
      </w:pPr>
      <w:r>
        <w:rPr>
          <w:rFonts w:ascii="Times New Roman" w:hAnsi="Times New Roman"/>
          <w:b/>
          <w:color w:val="000000"/>
          <w:sz w:val="24"/>
        </w:rPr>
        <w:t>6.1 Data Ingestion and OCSF Normalization Engine (services/ingest)</w:t>
      </w:r>
    </w:p>
    <w:p>
      <w:pPr>
        <w:spacing w:line="360" w:lineRule="auto" w:after="120"/>
        <w:jc w:val="both"/>
      </w:pPr>
      <w:r>
        <w:rPr>
          <w:rFonts w:ascii="Times New Roman" w:hAnsi="Times New Roman"/>
          <w:b w:val="0"/>
          <w:i w:val="0"/>
          <w:color w:val="000000"/>
          <w:sz w:val="24"/>
        </w:rPr>
        <w:t>The `services/ingest` microservice serves as the high-speed entry gateway for all enterprise security telemetry. Implemented in Go 1.21, it is engineered to handle over 50,000 events per second with sub-2 millisecond processing latency per batch.</w:t>
      </w:r>
    </w:p>
    <w:p>
      <w:pPr>
        <w:spacing w:before="200" w:after="40"/>
        <w:jc w:val="center"/>
      </w:pPr>
      <w:r>
        <w:drawing>
          <wp:inline xmlns:a="http://schemas.openxmlformats.org/drawingml/2006/main" xmlns:pic="http://schemas.openxmlformats.org/drawingml/2006/picture">
            <wp:extent cx="5120640" cy="2848237"/>
            <wp:docPr id="11" name="Picture 11"/>
            <wp:cNvGraphicFramePr>
              <a:graphicFrameLocks noChangeAspect="1"/>
            </wp:cNvGraphicFramePr>
            <a:graphic>
              <a:graphicData uri="http://schemas.openxmlformats.org/drawingml/2006/picture">
                <pic:pic>
                  <pic:nvPicPr>
                    <pic:cNvPr id="0" name="fig6_1_ocsf_pipeline.png"/>
                    <pic:cNvPicPr/>
                  </pic:nvPicPr>
                  <pic:blipFill>
                    <a:blip r:embed="rId19"/>
                    <a:stretch>
                      <a:fillRect/>
                    </a:stretch>
                  </pic:blipFill>
                  <pic:spPr>
                    <a:xfrm>
                      <a:off x="0" y="0"/>
                      <a:ext cx="5120640" cy="2848237"/>
                    </a:xfrm>
                    <a:prstGeom prst="rect"/>
                  </pic:spPr>
                </pic:pic>
              </a:graphicData>
            </a:graphic>
          </wp:inline>
        </w:drawing>
      </w:r>
    </w:p>
    <w:p>
      <w:pPr>
        <w:spacing w:before="40" w:after="200"/>
        <w:jc w:val="center"/>
      </w:pPr>
      <w:r>
        <w:rPr>
          <w:rFonts w:ascii="Times New Roman" w:hAnsi="Times New Roman"/>
          <w:b/>
          <w:color w:val="111827"/>
          <w:sz w:val="21"/>
        </w:rPr>
        <w:t>Figure 6.1: High-Throughput OCSF Normalization and ATT&amp;CK Indexing Pipeline</w:t>
      </w:r>
    </w:p>
    <w:p>
      <w:pPr>
        <w:spacing w:before="200" w:after="80" w:line="360" w:lineRule="auto"/>
        <w:jc w:val="left"/>
      </w:pPr>
      <w:r>
        <w:rPr>
          <w:rFonts w:ascii="Times New Roman" w:hAnsi="Times New Roman"/>
          <w:b/>
          <w:color w:val="000000"/>
          <w:sz w:val="24"/>
        </w:rPr>
        <w:t>6.1.1 Universal Webhook and Connector Ingest Architecture</w:t>
      </w:r>
    </w:p>
    <w:p>
      <w:pPr>
        <w:spacing w:line="360" w:lineRule="auto" w:after="120"/>
        <w:jc w:val="both"/>
      </w:pPr>
      <w:r>
        <w:rPr>
          <w:rFonts w:ascii="Times New Roman" w:hAnsi="Times New Roman"/>
          <w:b w:val="0"/>
          <w:i w:val="0"/>
          <w:color w:val="000000"/>
          <w:sz w:val="24"/>
        </w:rPr>
        <w:t>The ingest service exposes modular endpoints supporting multiple ingest protocols:</w:t>
      </w:r>
    </w:p>
    <w:p>
      <w:pPr>
        <w:spacing w:line="360" w:lineRule="auto" w:after="120"/>
        <w:jc w:val="both"/>
      </w:pPr>
      <w:r>
        <w:rPr>
          <w:rFonts w:ascii="Times New Roman" w:hAnsi="Times New Roman"/>
          <w:b w:val="0"/>
          <w:i w:val="0"/>
          <w:color w:val="000000"/>
          <w:sz w:val="24"/>
        </w:rPr>
        <w:t>1. `/v1/ingest/batch`: Accepts batched JSON telemetry from AiSOC connectors.</w:t>
      </w:r>
    </w:p>
    <w:p>
      <w:pPr>
        <w:spacing w:line="360" w:lineRule="auto" w:after="120"/>
        <w:jc w:val="both"/>
      </w:pPr>
      <w:r>
        <w:rPr>
          <w:rFonts w:ascii="Times New Roman" w:hAnsi="Times New Roman"/>
          <w:b w:val="0"/>
          <w:i w:val="0"/>
          <w:color w:val="000000"/>
          <w:sz w:val="24"/>
        </w:rPr>
        <w:t>2. `/v1/ingest/hec`: Provides a Splunk HTTP Event Collector (HEC) compatible endpoint, enabling seamless integration with existing enterprise log forwarders.</w:t>
      </w:r>
    </w:p>
    <w:p>
      <w:pPr>
        <w:spacing w:line="360" w:lineRule="auto" w:after="120"/>
        <w:jc w:val="both"/>
      </w:pPr>
      <w:r>
        <w:rPr>
          <w:rFonts w:ascii="Times New Roman" w:hAnsi="Times New Roman"/>
          <w:b w:val="0"/>
          <w:i w:val="0"/>
          <w:color w:val="000000"/>
          <w:sz w:val="24"/>
        </w:rPr>
        <w:t>3. `/v1/ingest/cef`: Ingests legacy Common Event Format (CEF) Syslog streams via TCP/UDP listeners.</w:t>
      </w:r>
    </w:p>
    <w:p>
      <w:pPr>
        <w:spacing w:line="360" w:lineRule="auto" w:after="120"/>
        <w:jc w:val="both"/>
      </w:pPr>
      <w:r>
        <w:rPr>
          <w:rFonts w:ascii="Times New Roman" w:hAnsi="Times New Roman"/>
          <w:b w:val="0"/>
          <w:i w:val="0"/>
          <w:color w:val="000000"/>
          <w:sz w:val="24"/>
        </w:rPr>
        <w:t>4. `/v1/ingest/webhook/{token}`: Authenticates third-party cloud webhooks using HMAC-SHA256 signature verification.</w:t>
      </w:r>
    </w:p>
    <w:p>
      <w:pPr>
        <w:spacing w:before="200" w:after="80" w:line="360" w:lineRule="auto"/>
        <w:jc w:val="left"/>
      </w:pPr>
      <w:r>
        <w:rPr>
          <w:rFonts w:ascii="Times New Roman" w:hAnsi="Times New Roman"/>
          <w:b/>
          <w:color w:val="000000"/>
          <w:sz w:val="24"/>
        </w:rPr>
        <w:t>6.1.2 OCSF Normalization Pipeline Algorithm</w:t>
      </w:r>
    </w:p>
    <w:p>
      <w:pPr>
        <w:spacing w:line="360" w:lineRule="auto" w:after="120"/>
        <w:jc w:val="both"/>
      </w:pPr>
      <w:r>
        <w:rPr>
          <w:rFonts w:ascii="Times New Roman" w:hAnsi="Times New Roman"/>
          <w:b w:val="0"/>
          <w:i w:val="0"/>
          <w:color w:val="000000"/>
          <w:sz w:val="24"/>
        </w:rPr>
        <w:t>When an incoming JSON document arrives, the normalizer executes three sequential phases:</w:t>
      </w:r>
    </w:p>
    <w:p>
      <w:pPr>
        <w:spacing w:line="360" w:lineRule="auto" w:after="120"/>
        <w:jc w:val="both"/>
      </w:pPr>
      <w:r>
        <w:rPr>
          <w:rFonts w:ascii="Times New Roman" w:hAnsi="Times New Roman"/>
          <w:b w:val="0"/>
          <w:i w:val="0"/>
          <w:color w:val="000000"/>
          <w:sz w:val="24"/>
        </w:rPr>
        <w:t>Phase A: Class Identification and Type Mapping: The event's source metadata is inspected to assign the canonical OCSF Class UID. Table 6.1 documents the mapping schema.</w:t>
      </w:r>
    </w:p>
    <w:tbl>
      <w:tblPr>
        <w:tblW w:type="auto" w:w="0"/>
        <w:jc w:val="center"/>
        <w:tblLook w:firstColumn="1" w:firstRow="1" w:lastColumn="0" w:lastRow="0" w:noHBand="0" w:noVBand="1" w:val="04A0"/>
      </w:tblPr>
      <w:tblGrid>
        <w:gridCol w:w="1871"/>
        <w:gridCol w:w="1871"/>
        <w:gridCol w:w="1871"/>
        <w:gridCol w:w="1871"/>
        <w:gridCol w:w="1871"/>
      </w:tblGrid>
      <w:tr>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Telemetry Source Type</w:t>
            </w:r>
          </w:p>
        </w:tc>
        <w:tc>
          <w:tcPr>
            <w:tcW w:type="dxa" w:w="187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Vendor Category</w:t>
            </w:r>
          </w:p>
        </w:tc>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OCSF Class Name</w:t>
            </w:r>
          </w:p>
        </w:tc>
        <w:tc>
          <w:tcPr>
            <w:tcW w:type="dxa" w:w="144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OCSF Class UID</w:t>
            </w:r>
          </w:p>
        </w:tc>
        <w:tc>
          <w:tcPr>
            <w:tcW w:type="dxa" w:w="144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OCSF Category UID</w:t>
            </w:r>
          </w:p>
        </w:tc>
      </w:tr>
      <w:tr>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Okta SystemLog / Entra ID</w:t>
            </w:r>
          </w:p>
        </w:tc>
        <w:tc>
          <w:tcPr>
            <w:tcW w:type="dxa" w:w="187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Identity / IAM</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Authentication</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3001</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3 (Identity/Access)</w:t>
            </w:r>
          </w:p>
        </w:tc>
      </w:tr>
      <w:tr>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CrowdStrike / SentinelOne</w:t>
            </w:r>
          </w:p>
        </w:tc>
        <w:tc>
          <w:tcPr>
            <w:tcW w:type="dxa" w:w="187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Host / EDR</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Process Activity</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1007</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 (System Activity)</w:t>
            </w:r>
          </w:p>
        </w:tc>
      </w:tr>
      <w:tr>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AWS CloudTrail / GCP Audit</w:t>
            </w:r>
          </w:p>
        </w:tc>
        <w:tc>
          <w:tcPr>
            <w:tcW w:type="dxa" w:w="187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Cloud Audit</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API Activity</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6003</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 (Application/Cloud)</w:t>
            </w:r>
          </w:p>
        </w:tc>
      </w:tr>
      <w:tr>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Zeek / Suricata / Firewall</w:t>
            </w:r>
          </w:p>
        </w:tc>
        <w:tc>
          <w:tcPr>
            <w:tcW w:type="dxa" w:w="187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Network / NDR</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Network Activity</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4001</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 (Network Activity)</w:t>
            </w:r>
          </w:p>
        </w:tc>
      </w:tr>
      <w:tr>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Tenable / Qualys / CISA</w:t>
            </w:r>
          </w:p>
        </w:tc>
        <w:tc>
          <w:tcPr>
            <w:tcW w:type="dxa" w:w="187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Vulnerability</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Vulnerability Finding</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2002</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 (Findings/Alerts)</w:t>
            </w:r>
          </w:p>
        </w:tc>
      </w:tr>
    </w:tbl>
    <w:p>
      <w:pPr>
        <w:spacing w:after="120"/>
      </w:pPr>
    </w:p>
    <w:p>
      <w:pPr>
        <w:spacing w:line="360" w:lineRule="auto" w:after="120"/>
        <w:jc w:val="both"/>
      </w:pPr>
      <w:r>
        <w:rPr>
          <w:rFonts w:ascii="Times New Roman" w:hAnsi="Times New Roman"/>
          <w:b w:val="0"/>
          <w:i w:val="0"/>
          <w:color w:val="000000"/>
          <w:sz w:val="24"/>
        </w:rPr>
        <w:t>Phase B: In-Memory MITRE ATT&amp;CK TTP Tagging: An in-process Aho-Corasick trie matches command-line strings and process arguments against a compiled index of 800+ MITRE ATT&amp;CK techniques (e.g., matching `mimikatz`, `vssadmin delete shadows`, `certutil -urlcache`). Matching techniques (e.g., `T1003.001`, `T1490`, `T1105`) are appended directly to the event's `mitre_techniques` array.</w:t>
      </w:r>
    </w:p>
    <w:p>
      <w:pPr>
        <w:spacing w:line="360" w:lineRule="auto" w:after="120"/>
        <w:jc w:val="both"/>
      </w:pPr>
      <w:r>
        <w:rPr>
          <w:rFonts w:ascii="Times New Roman" w:hAnsi="Times New Roman"/>
          <w:b w:val="0"/>
          <w:i w:val="0"/>
          <w:color w:val="000000"/>
          <w:sz w:val="24"/>
        </w:rPr>
        <w:t>Phase C: Kafka Serialization: The normalized event is serialized to binary JSON and published to the `ocsf.events` Kafka topic with tenant-keyed partitioning.</w:t>
      </w:r>
    </w:p>
    <w:p>
      <w:pPr>
        <w:spacing w:line="276" w:lineRule="auto" w:before="80" w:after="120"/>
        <w:ind w:left="360"/>
        <w:jc w:val="left"/>
      </w:pPr>
      <w:r>
        <w:rPr>
          <w:rFonts w:ascii="Consolas" w:hAnsi="Consolas"/>
          <w:color w:val="1E1E1E"/>
          <w:sz w:val="19"/>
        </w:rPr>
        <w:t>// services/ingest/internal/normalizer/ocsf.go</w:t>
        <w:br/>
        <w:t>package normalizer</w:t>
        <w:br/>
        <w:br/>
        <w:t>import (</w:t>
        <w:br/>
        <w:t xml:space="preserve">    "time"</w:t>
        <w:br/>
        <w:t xml:space="preserve">    "github.com/google/uuid"</w:t>
        <w:br/>
        <w:t>)</w:t>
        <w:br/>
        <w:br/>
        <w:t>type OCSFEvent struct {</w:t>
        <w:br/>
        <w:t xml:space="preserve">    ID              string                 `json:"id"`</w:t>
        <w:br/>
        <w:t xml:space="preserve">    ClassUID        int                    `json:"class_uid"`</w:t>
        <w:br/>
        <w:t xml:space="preserve">    CategoryUID     int                    `json:"category_uid"`</w:t>
        <w:br/>
        <w:t xml:space="preserve">    Time            int64                  `json:"time"`</w:t>
        <w:br/>
        <w:t xml:space="preserve">    TenantID        string                 `json:"tenant_id"`</w:t>
        <w:br/>
        <w:t xml:space="preserve">    SeverityID      int                    `json:"severity_id"`</w:t>
        <w:br/>
        <w:t xml:space="preserve">    ActivityID      int                    `json:"activity_id"`</w:t>
        <w:br/>
        <w:t xml:space="preserve">    MitreTechniques []string               `json:"mitre_techniques"`</w:t>
        <w:br/>
        <w:t xml:space="preserve">    Actor           map[string]interface{} `json:"actor,omitempty"`</w:t>
        <w:br/>
        <w:t xml:space="preserve">    Device          map[string]interface{} `json:"device,omitempty"`</w:t>
        <w:br/>
        <w:t xml:space="preserve">    Metadata        map[string]interface{} `json:"metadata"`</w:t>
        <w:br/>
        <w:t xml:space="preserve">    RawPayload      map[string]interface{} `json:"raw_payload,omitempty"`</w:t>
        <w:br/>
        <w:t>}</w:t>
        <w:br/>
        <w:br/>
        <w:t>func NormalizeEvent(raw map[string]interface{}, tenantID string, source string) (*OCSFEvent, error) {</w:t>
        <w:br/>
        <w:t xml:space="preserve">    evt := &amp;OCSFEvent{</w:t>
        <w:br/>
        <w:t xml:space="preserve">        ID:         uuid.New().String(),</w:t>
        <w:br/>
        <w:t xml:space="preserve">        Time:       time.Now().UnixMilli(),</w:t>
        <w:br/>
        <w:t xml:space="preserve">        TenantID:   tenantID,</w:t>
        <w:br/>
        <w:t xml:space="preserve">        SeverityID: mapSeverity(raw),</w:t>
        <w:br/>
        <w:t xml:space="preserve">        Metadata: map[string]interface{}{</w:t>
        <w:br/>
        <w:t xml:space="preserve">            "source":  source,</w:t>
        <w:br/>
        <w:t xml:space="preserve">            "version": "1.1.0",</w:t>
        <w:br/>
        <w:t xml:space="preserve">        },</w:t>
        <w:br/>
        <w:t xml:space="preserve">    }</w:t>
        <w:br/>
        <w:t xml:space="preserve">    // Extract observables and classify</w:t>
        <w:br/>
        <w:t xml:space="preserve">    if _, ok := raw["user_id"]; ok {</w:t>
        <w:br/>
        <w:t xml:space="preserve">        evt.ClassUID = 3001</w:t>
        <w:br/>
        <w:t xml:space="preserve">        evt.CategoryUID = 3</w:t>
        <w:br/>
        <w:t xml:space="preserve">    } else if _, ok := raw["process_name"]; ok {</w:t>
        <w:br/>
        <w:t xml:space="preserve">        evt.ClassUID = 1007</w:t>
        <w:br/>
        <w:t xml:space="preserve">        evt.CategoryUID = 1</w:t>
        <w:br/>
        <w:t xml:space="preserve">    }</w:t>
        <w:br/>
        <w:t xml:space="preserve">    evt.MitreTechniques = matchMitreSignatures(raw)</w:t>
        <w:br/>
        <w:t xml:space="preserve">    return evt, nil</w:t>
        <w:br/>
        <w:t>}</w:t>
      </w:r>
    </w:p>
    <w:p>
      <w:pPr>
        <w:spacing w:before="280" w:after="120" w:line="360" w:lineRule="auto"/>
        <w:jc w:val="left"/>
      </w:pPr>
      <w:r>
        <w:rPr>
          <w:rFonts w:ascii="Times New Roman" w:hAnsi="Times New Roman"/>
          <w:b/>
          <w:color w:val="000000"/>
          <w:sz w:val="24"/>
        </w:rPr>
        <w:t>6.2 Threat Intelligence and IOC Aggregation Pipeline (services/threatintel)</w:t>
      </w:r>
    </w:p>
    <w:p>
      <w:pPr>
        <w:spacing w:line="360" w:lineRule="auto" w:after="120"/>
        <w:jc w:val="both"/>
      </w:pPr>
      <w:r>
        <w:rPr>
          <w:rFonts w:ascii="Times New Roman" w:hAnsi="Times New Roman"/>
          <w:b w:val="0"/>
          <w:i w:val="0"/>
          <w:color w:val="000000"/>
          <w:sz w:val="24"/>
        </w:rPr>
        <w:t>The `services/threatintel` service continuously ingests, parses, deduplicates, and enriches indicators of compromise (IOCs) from global threat feeds. It operates an asynchronous APScheduler loop connecting to TAXII 2.1 servers, MISP instances, AlienVault OTX, and the CISA KEV catalog, as specified in Table 6.2.</w:t>
      </w:r>
    </w:p>
    <w:p>
      <w:pPr>
        <w:spacing w:before="200" w:after="40"/>
        <w:jc w:val="center"/>
      </w:pPr>
      <w:r>
        <w:drawing>
          <wp:inline xmlns:a="http://schemas.openxmlformats.org/drawingml/2006/main" xmlns:pic="http://schemas.openxmlformats.org/drawingml/2006/picture">
            <wp:extent cx="5120640" cy="2651127"/>
            <wp:docPr id="12" name="Picture 12"/>
            <wp:cNvGraphicFramePr>
              <a:graphicFrameLocks noChangeAspect="1"/>
            </wp:cNvGraphicFramePr>
            <a:graphic>
              <a:graphicData uri="http://schemas.openxmlformats.org/drawingml/2006/picture">
                <pic:pic>
                  <pic:nvPicPr>
                    <pic:cNvPr id="0" name="fig6_2_threatintel_bloom.png"/>
                    <pic:cNvPicPr/>
                  </pic:nvPicPr>
                  <pic:blipFill>
                    <a:blip r:embed="rId20"/>
                    <a:stretch>
                      <a:fillRect/>
                    </a:stretch>
                  </pic:blipFill>
                  <pic:spPr>
                    <a:xfrm>
                      <a:off x="0" y="0"/>
                      <a:ext cx="5120640" cy="2651127"/>
                    </a:xfrm>
                    <a:prstGeom prst="rect"/>
                  </pic:spPr>
                </pic:pic>
              </a:graphicData>
            </a:graphic>
          </wp:inline>
        </w:drawing>
      </w:r>
    </w:p>
    <w:p>
      <w:pPr>
        <w:spacing w:before="40" w:after="200"/>
        <w:jc w:val="center"/>
      </w:pPr>
      <w:r>
        <w:rPr>
          <w:rFonts w:ascii="Times New Roman" w:hAnsi="Times New Roman"/>
          <w:b/>
          <w:color w:val="111827"/>
          <w:sz w:val="21"/>
        </w:rPr>
        <w:t>Figure 6.2: Threat Intelligence Ingestion, Bloom Filter Deduplication, and Sink Fan-out</w:t>
      </w:r>
    </w:p>
    <w:tbl>
      <w:tblPr>
        <w:tblW w:type="auto" w:w="0"/>
        <w:jc w:val="center"/>
        <w:tblLook w:firstColumn="1" w:firstRow="1" w:lastColumn="0" w:lastRow="0" w:noHBand="0" w:noVBand="1" w:val="04A0"/>
      </w:tblPr>
      <w:tblGrid>
        <w:gridCol w:w="2339"/>
        <w:gridCol w:w="2339"/>
        <w:gridCol w:w="2339"/>
        <w:gridCol w:w="2339"/>
      </w:tblGrid>
      <w:tr>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Feed Name</w:t>
            </w:r>
          </w:p>
        </w:tc>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Protocol / Format</w:t>
            </w:r>
          </w:p>
        </w:tc>
        <w:tc>
          <w:tcPr>
            <w:tcW w:type="dxa" w:w="172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Polling Interval</w:t>
            </w:r>
          </w:p>
        </w:tc>
        <w:tc>
          <w:tcPr>
            <w:tcW w:type="dxa" w:w="316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Data Ingested</w:t>
            </w:r>
          </w:p>
        </w:tc>
      </w:tr>
      <w:tr>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TAXII 2.1 Global Feeds</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TAXII 2.1 / STIX 2.1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Every 60 Minutes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Adversary TTPs, Threat Actor campaigns, Malicious IPs/Domains.</w:t>
            </w:r>
          </w:p>
        </w:tc>
      </w:tr>
      <w:tr>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MISP Enterprise Community</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RESTful JSON / STIX</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Every 30 Minutes</w:t>
            </w:r>
          </w:p>
        </w:tc>
        <w:tc>
          <w:tcPr>
            <w:tcW w:type="dxa" w:w="316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Targeted malware hashes, Yara rules, Phishing domains.</w:t>
            </w:r>
          </w:p>
        </w:tc>
      </w:tr>
      <w:tr>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AlienVault OTX</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OTX Direct API v1</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Every 15 Minutes</w:t>
            </w:r>
          </w:p>
        </w:tc>
        <w:tc>
          <w:tcPr>
            <w:tcW w:type="dxa" w:w="316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Crowdsourced pulses, C2 IP infrastructure, SHA256 hashes.</w:t>
            </w:r>
          </w:p>
        </w:tc>
      </w:tr>
      <w:tr>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CISA KEV Catalog</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HTTPS JSON Feed</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Every 12 Hours</w:t>
            </w:r>
          </w:p>
        </w:tc>
        <w:tc>
          <w:tcPr>
            <w:tcW w:type="dxa" w:w="316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Known exploited Common Vulnerabilities and Exposures (CVEs).</w:t>
            </w:r>
          </w:p>
        </w:tc>
      </w:tr>
    </w:tbl>
    <w:p>
      <w:pPr>
        <w:spacing w:after="120"/>
      </w:pPr>
    </w:p>
    <w:p>
      <w:pPr>
        <w:spacing w:before="200" w:after="80" w:line="360" w:lineRule="auto"/>
        <w:jc w:val="left"/>
      </w:pPr>
      <w:r>
        <w:rPr>
          <w:rFonts w:ascii="Times New Roman" w:hAnsi="Times New Roman"/>
          <w:b/>
          <w:color w:val="000000"/>
          <w:sz w:val="24"/>
        </w:rPr>
        <w:t>6.2.1 Redis Bloom Filter Deduplication</w:t>
      </w:r>
    </w:p>
    <w:p>
      <w:pPr>
        <w:spacing w:line="360" w:lineRule="auto" w:after="120"/>
        <w:jc w:val="both"/>
      </w:pPr>
      <w:r>
        <w:rPr>
          <w:rFonts w:ascii="Times New Roman" w:hAnsi="Times New Roman"/>
          <w:b w:val="0"/>
          <w:i w:val="0"/>
          <w:color w:val="000000"/>
          <w:sz w:val="24"/>
        </w:rPr>
        <w:t>To avoid re-indexing millions of duplicate indicators across hourly feed cycles, `storage/bloom.py` implements a Redis-backed Bloom filter. Let the bit array size be m = 10,000,000 bits and the number of independent Murmur3 hash functions be k = 7. The theoretical false positive probability p for n = 1,000,000 active indicators is computed as:</w:t>
      </w:r>
    </w:p>
    <w:p>
      <w:pPr>
        <w:spacing w:line="360" w:lineRule="auto" w:after="120"/>
        <w:jc w:val="both"/>
      </w:pPr>
      <w:r>
        <w:rPr>
          <w:rFonts w:ascii="Times New Roman" w:hAnsi="Times New Roman"/>
          <w:b w:val="0"/>
          <w:i w:val="0"/>
          <w:color w:val="000000"/>
          <w:sz w:val="24"/>
        </w:rPr>
        <w:t>p = (1 - e^(- (7 * 10^6) / 10^7))^7 = (1 - e^(-0.7))^7 = (0.5034)^7 = 0.0081 (0.81%)  ...Equ. (6.1)</w:t>
      </w:r>
    </w:p>
    <w:p>
      <w:pPr>
        <w:spacing w:line="360" w:lineRule="auto" w:after="120"/>
        <w:jc w:val="both"/>
      </w:pPr>
      <w:r>
        <w:rPr>
          <w:rFonts w:ascii="Times New Roman" w:hAnsi="Times New Roman"/>
          <w:b w:val="0"/>
          <w:i w:val="0"/>
          <w:color w:val="000000"/>
          <w:sz w:val="24"/>
        </w:rPr>
        <w:t>Indicators that pass the Bloom filter are persisted into OpenSearch (`iocs-*` index), vectorized into Qdrant for semantic RAG lookup, and linked to ThreatActor nodes in Neo4j.</w:t>
      </w:r>
    </w:p>
    <w:p>
      <w:pPr>
        <w:spacing w:before="280" w:after="120" w:line="360" w:lineRule="auto"/>
        <w:jc w:val="left"/>
      </w:pPr>
      <w:r>
        <w:rPr>
          <w:rFonts w:ascii="Times New Roman" w:hAnsi="Times New Roman"/>
          <w:b/>
          <w:color w:val="000000"/>
          <w:sz w:val="24"/>
        </w:rPr>
        <w:t>6.3 Alert Fusion, Simhash Deduplication, and ML Scoring (services/fusion)</w:t>
      </w:r>
    </w:p>
    <w:p>
      <w:pPr>
        <w:spacing w:line="360" w:lineRule="auto" w:after="120"/>
        <w:jc w:val="both"/>
      </w:pPr>
      <w:r>
        <w:rPr>
          <w:rFonts w:ascii="Times New Roman" w:hAnsi="Times New Roman"/>
          <w:b w:val="0"/>
          <w:i w:val="0"/>
          <w:color w:val="000000"/>
          <w:sz w:val="24"/>
        </w:rPr>
        <w:t>The `services/fusion` microservice is the central analytical engine of AiSOC. It consumes normalized events from Kafka, filters redundant noise, scores operational risk, and produces enriched, fused security alerts.</w:t>
      </w:r>
    </w:p>
    <w:p>
      <w:pPr>
        <w:spacing w:before="200" w:after="80" w:line="360" w:lineRule="auto"/>
        <w:jc w:val="left"/>
      </w:pPr>
      <w:r>
        <w:rPr>
          <w:rFonts w:ascii="Times New Roman" w:hAnsi="Times New Roman"/>
          <w:b/>
          <w:color w:val="000000"/>
          <w:sz w:val="24"/>
        </w:rPr>
        <w:t>6.3.1 64-Bit Simhash Sliding-Window Deduplication</w:t>
      </w:r>
    </w:p>
    <w:p>
      <w:pPr>
        <w:spacing w:line="360" w:lineRule="auto" w:after="120"/>
        <w:jc w:val="both"/>
      </w:pPr>
      <w:r>
        <w:rPr>
          <w:rFonts w:ascii="Times New Roman" w:hAnsi="Times New Roman"/>
          <w:b w:val="0"/>
          <w:i w:val="0"/>
          <w:color w:val="000000"/>
          <w:sz w:val="24"/>
        </w:rPr>
        <w:t>To eliminate duplicate alerts generated by identical operational events occurring across multiple seconds, `services/fusion/app/services/dedup.py` generates a 64-bit Simhash fingerprint:</w:t>
      </w:r>
    </w:p>
    <w:p>
      <w:pPr>
        <w:spacing w:line="276" w:lineRule="auto" w:before="80" w:after="120"/>
        <w:ind w:left="360"/>
        <w:jc w:val="left"/>
      </w:pPr>
      <w:r>
        <w:rPr>
          <w:rFonts w:ascii="Consolas" w:hAnsi="Consolas"/>
          <w:color w:val="1E1E1E"/>
          <w:sz w:val="19"/>
        </w:rPr>
        <w:t># services/fusion/app/services/dedup.py</w:t>
        <w:br/>
        <w:t>import hashlib</w:t>
        <w:br/>
        <w:t>import redis.asyncio as aioredis</w:t>
        <w:br/>
        <w:br/>
        <w:t>class SimhashDeduplicator:</w:t>
        <w:br/>
        <w:t xml:space="preserve">    def __init__(self, redis_client: aioredis.Redis, ttl_seconds: int = 900):</w:t>
        <w:br/>
        <w:t xml:space="preserve">        self.redis = redis_client</w:t>
        <w:br/>
        <w:t xml:space="preserve">        self.ttl = ttl_seconds</w:t>
        <w:br/>
        <w:br/>
        <w:t xml:space="preserve">    def compute_fingerprint(self, event: dict) -&gt; int:</w:t>
        <w:br/>
        <w:t xml:space="preserve">        tokens = [</w:t>
        <w:br/>
        <w:t xml:space="preserve">            f"actor:{event.get('actor', {}).get('user', {}).get('name', '')}",</w:t>
        <w:br/>
        <w:t xml:space="preserve">            f"device:{event.get('device', {}).get('hostname', '')}",</w:t>
        <w:br/>
        <w:t xml:space="preserve">            f"class:{event.get('class_uid', 0)}",</w:t>
        <w:br/>
        <w:t xml:space="preserve">            f"tech:{','.join(sorted(event.get('mitre_techniques', [])))}"</w:t>
        <w:br/>
        <w:t xml:space="preserve">        ]</w:t>
        <w:br/>
        <w:t xml:space="preserve">        v = [0] * 64</w:t>
        <w:br/>
        <w:t xml:space="preserve">        for token in tokens:</w:t>
        <w:br/>
        <w:t xml:space="preserve">            h = int(hashlib.md5(token.encode('utf-8')).hexdigest(), 16)</w:t>
        <w:br/>
        <w:t xml:space="preserve">            for i in range(64):</w:t>
        <w:br/>
        <w:t xml:space="preserve">                v[i] += 1 if ((h &gt;&gt; i) &amp; 1) else -1</w:t>
        <w:br/>
        <w:t xml:space="preserve">        fingerprint = 0</w:t>
        <w:br/>
        <w:t xml:space="preserve">        for i in range(64):</w:t>
        <w:br/>
        <w:t xml:space="preserve">            if v[i] &gt; 0:</w:t>
        <w:br/>
        <w:t xml:space="preserve">                fingerprint |= (1 &lt;&lt; i)</w:t>
        <w:br/>
        <w:t xml:space="preserve">        return fingerprint</w:t>
        <w:br/>
        <w:br/>
        <w:t xml:space="preserve">    def hamming_distance(self, f1: int, f2: int) -&gt; int:</w:t>
        <w:br/>
        <w:t xml:space="preserve">        return bin(f1 ^ f2).count('1')</w:t>
        <w:br/>
        <w:br/>
        <w:t xml:space="preserve">    async def is_duplicate(self, tenant_id: str, fingerprint: int) -&gt; bool:</w:t>
        <w:br/>
        <w:t xml:space="preserve">        cache_key = f"simhash:{tenant_id}"</w:t>
        <w:br/>
        <w:t xml:space="preserve">        recent_hashes = await self.redis.smembers(cache_key)</w:t>
        <w:br/>
        <w:t xml:space="preserve">        for h_str in recent_hashes:</w:t>
        <w:br/>
        <w:t xml:space="preserve">            h_val = int(h_str)</w:t>
        <w:br/>
        <w:t xml:space="preserve">            if self.hamming_distance(fingerprint, h_val) &lt;= 3:</w:t>
        <w:br/>
        <w:t xml:space="preserve">                return True</w:t>
        <w:br/>
        <w:t xml:space="preserve">        await self.redis.sadd(cache_key, str(fingerprint))</w:t>
        <w:br/>
        <w:t xml:space="preserve">        await self.redis.expire(cache_key, self.ttl)</w:t>
        <w:br/>
        <w:t xml:space="preserve">        return False</w:t>
      </w:r>
    </w:p>
    <w:p>
      <w:pPr>
        <w:spacing w:before="200" w:after="80" w:line="360" w:lineRule="auto"/>
        <w:jc w:val="left"/>
      </w:pPr>
      <w:r>
        <w:rPr>
          <w:rFonts w:ascii="Times New Roman" w:hAnsi="Times New Roman"/>
          <w:b/>
          <w:color w:val="000000"/>
          <w:sz w:val="24"/>
        </w:rPr>
        <w:t>6.3.2 Dual-Stage MLScorer Architecture</w:t>
      </w:r>
    </w:p>
    <w:p>
      <w:pPr>
        <w:spacing w:line="360" w:lineRule="auto" w:after="120"/>
        <w:jc w:val="both"/>
      </w:pPr>
      <w:r>
        <w:rPr>
          <w:rFonts w:ascii="Times New Roman" w:hAnsi="Times New Roman"/>
          <w:b w:val="0"/>
          <w:i w:val="0"/>
          <w:color w:val="000000"/>
          <w:sz w:val="24"/>
        </w:rPr>
        <w:t>Every deduplicated alert passes through `services/fusion/app/services/ml_scorer.py`, which computes two complementary scores:</w:t>
      </w:r>
    </w:p>
    <w:p>
      <w:pPr>
        <w:spacing w:before="200" w:after="40"/>
        <w:jc w:val="center"/>
      </w:pPr>
      <w:r>
        <w:drawing>
          <wp:inline xmlns:a="http://schemas.openxmlformats.org/drawingml/2006/main" xmlns:pic="http://schemas.openxmlformats.org/drawingml/2006/picture">
            <wp:extent cx="5120640" cy="3121876"/>
            <wp:docPr id="13" name="Picture 13"/>
            <wp:cNvGraphicFramePr>
              <a:graphicFrameLocks noChangeAspect="1"/>
            </wp:cNvGraphicFramePr>
            <a:graphic>
              <a:graphicData uri="http://schemas.openxmlformats.org/drawingml/2006/picture">
                <pic:pic>
                  <pic:nvPicPr>
                    <pic:cNvPr id="0" name="fig6_3_dual_stage_ml.png"/>
                    <pic:cNvPicPr/>
                  </pic:nvPicPr>
                  <pic:blipFill>
                    <a:blip r:embed="rId21"/>
                    <a:stretch>
                      <a:fillRect/>
                    </a:stretch>
                  </pic:blipFill>
                  <pic:spPr>
                    <a:xfrm>
                      <a:off x="0" y="0"/>
                      <a:ext cx="5120640" cy="3121876"/>
                    </a:xfrm>
                    <a:prstGeom prst="rect"/>
                  </pic:spPr>
                </pic:pic>
              </a:graphicData>
            </a:graphic>
          </wp:inline>
        </w:drawing>
      </w:r>
    </w:p>
    <w:p>
      <w:pPr>
        <w:spacing w:before="40" w:after="200"/>
        <w:jc w:val="center"/>
      </w:pPr>
      <w:r>
        <w:rPr>
          <w:rFonts w:ascii="Times New Roman" w:hAnsi="Times New Roman"/>
          <w:b/>
          <w:color w:val="111827"/>
          <w:sz w:val="21"/>
        </w:rPr>
        <w:t>Figure 6.3: Dual-Stage MLScorer Architecture (Isolation Forest &amp; LambdaRank)</w:t>
      </w:r>
    </w:p>
    <w:p>
      <w:pPr>
        <w:spacing w:line="360" w:lineRule="auto" w:after="120"/>
        <w:jc w:val="both"/>
      </w:pPr>
      <w:r>
        <w:rPr>
          <w:rFonts w:ascii="Times New Roman" w:hAnsi="Times New Roman"/>
          <w:b w:val="0"/>
          <w:i w:val="0"/>
          <w:color w:val="000000"/>
          <w:sz w:val="24"/>
        </w:rPr>
        <w:t>1. `anomaly_score` in [0.0, 1.0]: Output by an unsupervised Isolation Forest trained on 100 trees over a feature vector encoding temporal rarity, process execution depth, and network entropy. The anomaly score is defined as:</w:t>
      </w:r>
    </w:p>
    <w:p>
      <w:pPr>
        <w:spacing w:line="360" w:lineRule="auto" w:after="120"/>
        <w:jc w:val="both"/>
      </w:pPr>
      <w:r>
        <w:rPr>
          <w:rFonts w:ascii="Times New Roman" w:hAnsi="Times New Roman"/>
          <w:b w:val="0"/>
          <w:i w:val="0"/>
          <w:color w:val="000000"/>
          <w:sz w:val="24"/>
        </w:rPr>
        <w:t>s(x, n) = 2^(- E(h(x)) / c(n))  ...Equ. (6.2)</w:t>
      </w:r>
    </w:p>
    <w:p>
      <w:pPr>
        <w:spacing w:line="360" w:lineRule="auto" w:after="120"/>
        <w:jc w:val="both"/>
      </w:pPr>
      <w:r>
        <w:rPr>
          <w:rFonts w:ascii="Times New Roman" w:hAnsi="Times New Roman"/>
          <w:b w:val="0"/>
          <w:i w:val="0"/>
          <w:color w:val="000000"/>
          <w:sz w:val="24"/>
        </w:rPr>
        <w:t>2. `priority_score` in [1, 100]: Output by a supervised LightGBM `LambdaRank` gradient-boosted ranker trained on analyst feedback, directly optimizing Normalized Discounted Cumulative Gain (NDCG) using pairwise loss delta Delta Z_ij:</w:t>
      </w:r>
    </w:p>
    <w:p>
      <w:pPr>
        <w:spacing w:line="360" w:lineRule="auto" w:after="120"/>
        <w:jc w:val="both"/>
      </w:pPr>
      <w:r>
        <w:rPr>
          <w:rFonts w:ascii="Times New Roman" w:hAnsi="Times New Roman"/>
          <w:b w:val="0"/>
          <w:i w:val="0"/>
          <w:color w:val="000000"/>
          <w:sz w:val="24"/>
        </w:rPr>
        <w:t>Delta Z_ij = |NDCG_swap - NDCG_orig| * (- sigma / (1 + e^(sigma * (s_i - s_j))))  ...Equ. (6.3)</w:t>
      </w:r>
    </w:p>
    <w:p>
      <w:pPr>
        <w:spacing w:line="360" w:lineRule="auto" w:after="120"/>
        <w:jc w:val="both"/>
      </w:pPr>
      <w:r>
        <w:rPr>
          <w:rFonts w:ascii="Times New Roman" w:hAnsi="Times New Roman"/>
          <w:b w:val="0"/>
          <w:i w:val="0"/>
          <w:color w:val="000000"/>
          <w:sz w:val="24"/>
        </w:rPr>
        <w:t>3. Welford's Online Variance Algorithm: Historical entity baseline drift is tracked using Welford's single-pass recurrence relations for mean mu_k and sum of squared differences M_2,k:</w:t>
      </w:r>
    </w:p>
    <w:p>
      <w:pPr>
        <w:spacing w:line="360" w:lineRule="auto" w:after="120"/>
        <w:jc w:val="both"/>
      </w:pPr>
      <w:r>
        <w:rPr>
          <w:rFonts w:ascii="Times New Roman" w:hAnsi="Times New Roman"/>
          <w:b w:val="0"/>
          <w:i w:val="0"/>
          <w:color w:val="000000"/>
          <w:sz w:val="24"/>
        </w:rPr>
        <w:t>mu_k = mu_{k-1} + (x_k - mu_{k-1}) / k  ...Equ. (6.4)</w:t>
      </w:r>
    </w:p>
    <w:p>
      <w:pPr>
        <w:spacing w:line="360" w:lineRule="auto" w:after="120"/>
        <w:jc w:val="both"/>
      </w:pPr>
      <w:r>
        <w:rPr>
          <w:rFonts w:ascii="Times New Roman" w:hAnsi="Times New Roman"/>
          <w:b w:val="0"/>
          <w:i w:val="0"/>
          <w:color w:val="000000"/>
          <w:sz w:val="24"/>
        </w:rPr>
        <w:t>M_2,k = M_2,k-1 + (x_k - mu_{k-1}) * (x_k - mu_k)  ...Equ. (6.5)</w:t>
      </w:r>
    </w:p>
    <w:p>
      <w:pPr>
        <w:spacing w:line="360" w:lineRule="auto" w:after="120"/>
        <w:jc w:val="both"/>
      </w:pPr>
      <w:r>
        <w:rPr>
          <w:rFonts w:ascii="Times New Roman" w:hAnsi="Times New Roman"/>
          <w:b w:val="0"/>
          <w:i w:val="0"/>
          <w:color w:val="000000"/>
          <w:sz w:val="24"/>
        </w:rPr>
        <w:t>sigma_k^2 = M_2,k / (k - 1)  ...Equ. (6.6)</w:t>
      </w:r>
    </w:p>
    <w:tbl>
      <w:tblPr>
        <w:tblW w:type="auto" w:w="0"/>
        <w:jc w:val="center"/>
        <w:tblLook w:firstColumn="1" w:firstRow="1" w:lastColumn="0" w:lastRow="0" w:noHBand="0" w:noVBand="1" w:val="04A0"/>
      </w:tblPr>
      <w:tblGrid>
        <w:gridCol w:w="2339"/>
        <w:gridCol w:w="2339"/>
        <w:gridCol w:w="2339"/>
        <w:gridCol w:w="2339"/>
      </w:tblGrid>
      <w:tr>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Feature Name</w:t>
            </w:r>
          </w:p>
        </w:tc>
        <w:tc>
          <w:tcPr>
            <w:tcW w:type="dxa" w:w="172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Data Type</w:t>
            </w:r>
          </w:p>
        </w:tc>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Normalization / Encoding</w:t>
            </w:r>
          </w:p>
        </w:tc>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Operational Significance</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`severity_int`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Numerical</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Min-Max Normalized [0.2, 1.0]</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Baseline vendor severity tier.</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`asset_criticality`</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Numerical</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Float in [0.0, 1.0]</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CMDB asset importance (e.g. Domain Controller = 1.0).</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`hour_cyclical`</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Cyclical</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Sin/Cos Transform [2*pi*h/24]</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Detects after-hours and weekend anomalous logins.</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`mitre_tactic_onehot`</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Categorical</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14-dimensional One-Hot Vector</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Kill-chain phase (Exfiltration ranks higher than Recon).</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`entity_historical_risk`</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Numerical</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Z-score [Welford's Algorithm]</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Baseline deviation from user's 30-day historical activity.</w:t>
            </w:r>
          </w:p>
        </w:tc>
      </w:tr>
    </w:tbl>
    <w:p>
      <w:pPr>
        <w:spacing w:after="120"/>
      </w:pPr>
    </w:p>
    <w:p>
      <w:pPr>
        <w:spacing w:before="280" w:after="120" w:line="360" w:lineRule="auto"/>
        <w:jc w:val="left"/>
      </w:pPr>
      <w:r>
        <w:rPr>
          <w:rFonts w:ascii="Times New Roman" w:hAnsi="Times New Roman"/>
          <w:b/>
          <w:color w:val="000000"/>
          <w:sz w:val="24"/>
        </w:rPr>
        <w:t>6.4 Neo4j Knowledge Graph and Attack-Path Traversal (services/api)</w:t>
      </w:r>
    </w:p>
    <w:p>
      <w:pPr>
        <w:spacing w:line="360" w:lineRule="auto" w:after="120"/>
        <w:jc w:val="both"/>
      </w:pPr>
      <w:r>
        <w:rPr>
          <w:rFonts w:ascii="Times New Roman" w:hAnsi="Times New Roman"/>
          <w:b w:val="0"/>
          <w:i w:val="0"/>
          <w:color w:val="000000"/>
          <w:sz w:val="24"/>
        </w:rPr>
        <w:t>The `services/api` core maintains an asynchronous connection to the Neo4j property graph database (`services/api/app/db/neo4j.py`).</w:t>
      </w:r>
    </w:p>
    <w:p>
      <w:pPr>
        <w:spacing w:before="200" w:after="40"/>
        <w:jc w:val="center"/>
      </w:pPr>
      <w:r>
        <w:drawing>
          <wp:inline xmlns:a="http://schemas.openxmlformats.org/drawingml/2006/main" xmlns:pic="http://schemas.openxmlformats.org/drawingml/2006/picture">
            <wp:extent cx="5120640" cy="3397897"/>
            <wp:docPr id="14" name="Picture 14"/>
            <wp:cNvGraphicFramePr>
              <a:graphicFrameLocks noChangeAspect="1"/>
            </wp:cNvGraphicFramePr>
            <a:graphic>
              <a:graphicData uri="http://schemas.openxmlformats.org/drawingml/2006/picture">
                <pic:pic>
                  <pic:nvPicPr>
                    <pic:cNvPr id="0" name="fig6_4_neo4j_graph_schema.png"/>
                    <pic:cNvPicPr/>
                  </pic:nvPicPr>
                  <pic:blipFill>
                    <a:blip r:embed="rId22"/>
                    <a:stretch>
                      <a:fillRect/>
                    </a:stretch>
                  </pic:blipFill>
                  <pic:spPr>
                    <a:xfrm>
                      <a:off x="0" y="0"/>
                      <a:ext cx="5120640" cy="3397897"/>
                    </a:xfrm>
                    <a:prstGeom prst="rect"/>
                  </pic:spPr>
                </pic:pic>
              </a:graphicData>
            </a:graphic>
          </wp:inline>
        </w:drawing>
      </w:r>
    </w:p>
    <w:p>
      <w:pPr>
        <w:spacing w:before="40" w:after="200"/>
        <w:jc w:val="center"/>
      </w:pPr>
      <w:r>
        <w:rPr>
          <w:rFonts w:ascii="Times New Roman" w:hAnsi="Times New Roman"/>
          <w:b/>
          <w:color w:val="111827"/>
          <w:sz w:val="21"/>
        </w:rPr>
        <w:t>Figure 6.4: Neo4j Knowledge Graph Schema with Kill-Chain Attack Traversals</w:t>
      </w:r>
    </w:p>
    <w:p>
      <w:pPr>
        <w:spacing w:before="200" w:after="80" w:line="360" w:lineRule="auto"/>
        <w:jc w:val="left"/>
      </w:pPr>
      <w:r>
        <w:rPr>
          <w:rFonts w:ascii="Times New Roman" w:hAnsi="Times New Roman"/>
          <w:b/>
          <w:color w:val="000000"/>
          <w:sz w:val="24"/>
        </w:rPr>
        <w:t>6.4.1 Graph Schema and Node Constraints</w:t>
      </w:r>
    </w:p>
    <w:p>
      <w:pPr>
        <w:spacing w:line="360" w:lineRule="auto" w:after="120"/>
        <w:jc w:val="both"/>
      </w:pPr>
      <w:r>
        <w:rPr>
          <w:rFonts w:ascii="Times New Roman" w:hAnsi="Times New Roman"/>
          <w:b w:val="0"/>
          <w:i w:val="0"/>
          <w:color w:val="000000"/>
          <w:sz w:val="24"/>
        </w:rPr>
        <w:t>On startup, the graph service initializes strict unique constraints across entity labels:</w:t>
      </w:r>
    </w:p>
    <w:p>
      <w:pPr>
        <w:spacing w:line="276" w:lineRule="auto" w:before="80" w:after="120"/>
        <w:ind w:left="360"/>
        <w:jc w:val="left"/>
      </w:pPr>
      <w:r>
        <w:rPr>
          <w:rFonts w:ascii="Consolas" w:hAnsi="Consolas"/>
          <w:color w:val="1E1E1E"/>
          <w:sz w:val="19"/>
        </w:rPr>
        <w:t>// Neo4j Startup Constraints Initialization</w:t>
        <w:br/>
        <w:t>CREATE CONSTRAINT host_id_unique IF NOT EXISTS FOR (h:Host) REQUIRE h.id IS UNIQUE;</w:t>
        <w:br/>
        <w:t>CREATE CONSTRAINT user_id_unique IF NOT EXISTS FOR (u:User) REQUIRE u.id IS UNIQUE;</w:t>
        <w:br/>
        <w:t>CREATE CONSTRAINT alert_id_unique IF NOT EXISTS FOR (a:Alert) REQUIRE a.id IS UNIQUE;</w:t>
        <w:br/>
        <w:t>CREATE CONSTRAINT case_id_unique IF NOT EXISTS FOR (c:Case) REQUIRE c.id IS UNIQUE;</w:t>
        <w:br/>
        <w:t>CREATE CONSTRAINT ioc_val_unique IF NOT EXISTS FOR (i:IOC) REQUIRE i.value IS UNIQUE;</w:t>
        <w:br/>
        <w:t>CREATE CONSTRAINT tech_id_unique IF NOT EXISTS FOR (t:Technique) REQUIRE t.id IS UNIQUE;</w:t>
      </w:r>
    </w:p>
    <w:p>
      <w:pPr>
        <w:spacing w:before="200" w:after="80" w:line="360" w:lineRule="auto"/>
        <w:jc w:val="left"/>
      </w:pPr>
      <w:r>
        <w:rPr>
          <w:rFonts w:ascii="Times New Roman" w:hAnsi="Times New Roman"/>
          <w:b/>
          <w:color w:val="000000"/>
          <w:sz w:val="24"/>
        </w:rPr>
        <w:t>6.4.2 Attack Path and Blast Radius Cypher Query Algorithms</w:t>
      </w:r>
    </w:p>
    <w:p>
      <w:pPr>
        <w:spacing w:line="360" w:lineRule="auto" w:after="120"/>
        <w:jc w:val="both"/>
      </w:pPr>
      <w:r>
        <w:rPr>
          <w:rFonts w:ascii="Times New Roman" w:hAnsi="Times New Roman"/>
          <w:b w:val="0"/>
          <w:i w:val="0"/>
          <w:color w:val="000000"/>
          <w:sz w:val="24"/>
        </w:rPr>
        <w:t>When an alert triggers, the graph service executes Cypher graph traversals to extract the attack kill-chain path and evaluate the asset blast radius:</w:t>
      </w:r>
    </w:p>
    <w:p>
      <w:pPr>
        <w:spacing w:line="276" w:lineRule="auto" w:before="80" w:after="120"/>
        <w:ind w:left="360"/>
        <w:jc w:val="left"/>
      </w:pPr>
      <w:r>
        <w:rPr>
          <w:rFonts w:ascii="Consolas" w:hAnsi="Consolas"/>
          <w:color w:val="1E1E1E"/>
          <w:sz w:val="19"/>
        </w:rPr>
        <w:t>// Cypher: Topological Attack Path Query</w:t>
        <w:br/>
        <w:t>MATCH (c:Case {id: $case_id})-[:CONTAINS]-&gt;(a:Alert)-[:USES]-&gt;(t:Technique)-[:PART_OF]-&gt;(tac:Tactic)</w:t>
        <w:br/>
        <w:t>WHERE c.tenant_id = $tenant_id</w:t>
        <w:br/>
        <w:t xml:space="preserve">RETURN a.id AS alert_id, a.title AS alert_title, t.id AS technique_id, </w:t>
        <w:br/>
        <w:t xml:space="preserve">       tac.id AS tactic_id, tac.kill_chain_index AS phase_order</w:t>
        <w:br/>
        <w:t>ORDER BY phase_order ASC, a.created_at ASC;</w:t>
        <w:br/>
        <w:br/>
        <w:t>// Cypher: 3-Hop Blast Radius Traversal</w:t>
        <w:br/>
        <w:t>MATCH (startNode {id: $entity_id})-[r:LOGGED_IN|OWNS|ACCESSES|COMMUNICATES_WITH*1..3]-(target)</w:t>
        <w:br/>
        <w:t>WHERE target.tenant_id = $tenant_id</w:t>
        <w:br/>
        <w:t>RETURN target.id AS asset_id, labels(target) AS asset_type, length(r) AS hops</w:t>
        <w:br/>
        <w:t>ORDER BY hops ASC LIMIT 50;</w:t>
      </w:r>
    </w:p>
    <w:p>
      <w:pPr>
        <w:spacing w:before="280" w:after="120" w:line="360" w:lineRule="auto"/>
        <w:jc w:val="left"/>
      </w:pPr>
      <w:r>
        <w:rPr>
          <w:rFonts w:ascii="Times New Roman" w:hAnsi="Times New Roman"/>
          <w:b/>
          <w:color w:val="000000"/>
          <w:sz w:val="24"/>
        </w:rPr>
        <w:t>6.5 Multi-Agent Orchestrator DAG with LangGraph (services/agents)</w:t>
      </w:r>
    </w:p>
    <w:p>
      <w:pPr>
        <w:spacing w:line="360" w:lineRule="auto" w:after="120"/>
        <w:jc w:val="both"/>
      </w:pPr>
      <w:r>
        <w:rPr>
          <w:rFonts w:ascii="Times New Roman" w:hAnsi="Times New Roman"/>
          <w:b w:val="0"/>
          <w:i w:val="0"/>
          <w:color w:val="000000"/>
          <w:sz w:val="24"/>
        </w:rPr>
        <w:t>The `services/agents` microservice orchestrates autonomous threat investigations using a stateful Directed Acyclic Graph (DAG) built on LangGraph. The DAG decomposes cognitive investigation across four specialized agent roles:</w:t>
      </w:r>
    </w:p>
    <w:p>
      <w:pPr>
        <w:spacing w:before="200" w:after="40"/>
        <w:jc w:val="center"/>
      </w:pPr>
      <w:r>
        <w:drawing>
          <wp:inline xmlns:a="http://schemas.openxmlformats.org/drawingml/2006/main" xmlns:pic="http://schemas.openxmlformats.org/drawingml/2006/picture">
            <wp:extent cx="5120640" cy="3121876"/>
            <wp:docPr id="15" name="Picture 15"/>
            <wp:cNvGraphicFramePr>
              <a:graphicFrameLocks noChangeAspect="1"/>
            </wp:cNvGraphicFramePr>
            <a:graphic>
              <a:graphicData uri="http://schemas.openxmlformats.org/drawingml/2006/picture">
                <pic:pic>
                  <pic:nvPicPr>
                    <pic:cNvPr id="0" name="fig6_5_langgraph_dag.png"/>
                    <pic:cNvPicPr/>
                  </pic:nvPicPr>
                  <pic:blipFill>
                    <a:blip r:embed="rId23"/>
                    <a:stretch>
                      <a:fillRect/>
                    </a:stretch>
                  </pic:blipFill>
                  <pic:spPr>
                    <a:xfrm>
                      <a:off x="0" y="0"/>
                      <a:ext cx="5120640" cy="3121876"/>
                    </a:xfrm>
                    <a:prstGeom prst="rect"/>
                  </pic:spPr>
                </pic:pic>
              </a:graphicData>
            </a:graphic>
          </wp:inline>
        </w:drawing>
      </w:r>
    </w:p>
    <w:p>
      <w:pPr>
        <w:spacing w:before="40" w:after="200"/>
        <w:jc w:val="center"/>
      </w:pPr>
      <w:r>
        <w:rPr>
          <w:rFonts w:ascii="Times New Roman" w:hAnsi="Times New Roman"/>
          <w:b/>
          <w:color w:val="111827"/>
          <w:sz w:val="21"/>
        </w:rPr>
        <w:t>Figure 6.5: LangGraph Multi-Agent Directed Acyclic Graph (DAG) Execution Flow</w:t>
      </w:r>
    </w:p>
    <w:tbl>
      <w:tblPr>
        <w:tblW w:type="auto" w:w="0"/>
        <w:jc w:val="center"/>
        <w:tblLook w:firstColumn="1" w:firstRow="1" w:lastColumn="0" w:lastRow="0" w:noHBand="0" w:noVBand="1" w:val="04A0"/>
      </w:tblPr>
      <w:tblGrid>
        <w:gridCol w:w="2339"/>
        <w:gridCol w:w="2339"/>
        <w:gridCol w:w="2339"/>
        <w:gridCol w:w="2339"/>
      </w:tblGrid>
      <w:tr>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Agent Name</w:t>
            </w:r>
          </w:p>
        </w:tc>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Operational Mandate</w:t>
            </w:r>
          </w:p>
        </w:tc>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Specialized Tools Exposed</w:t>
            </w:r>
          </w:p>
        </w:tc>
        <w:tc>
          <w:tcPr>
            <w:tcW w:type="dxa" w:w="216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Decision Output</w:t>
            </w:r>
          </w:p>
        </w:tc>
      </w:tr>
      <w:tr>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DetectAgent</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Evaluates signature matches &amp; MITRE TTPs.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`rules.match`, `fusion.score`</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Opens investigation alert.</w:t>
            </w:r>
          </w:p>
        </w:tc>
      </w:tr>
      <w:tr>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TriageAgent</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Scores confidence &amp; verifies false positives.</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`qdrant.semantic_search`, `graph.neighbours`</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Assigns Confidence (0-100).</w:t>
            </w:r>
          </w:p>
        </w:tc>
      </w:tr>
      <w:tr>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HuntAgent</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Sweeps warm data lake for lateral movement.</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`lake.query (ES|QL/SPL/KQL)`, `shodan.lookup`</w:t>
            </w:r>
          </w:p>
        </w:tc>
        <w:tc>
          <w:tcPr>
            <w:tcW w:type="dxa" w:w="216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Identifies secondary IOCs.</w:t>
            </w:r>
          </w:p>
        </w:tc>
      </w:tr>
      <w:tr>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RespondAgent</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Formulates graduated containment plans.</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`actions.blast_radius`, `actions.propose`</w:t>
            </w:r>
          </w:p>
        </w:tc>
        <w:tc>
          <w:tcPr>
            <w:tcW w:type="dxa" w:w="216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Generates SOAR action list.</w:t>
            </w:r>
          </w:p>
        </w:tc>
      </w:tr>
    </w:tbl>
    <w:p>
      <w:pPr>
        <w:spacing w:after="120"/>
      </w:pPr>
    </w:p>
    <w:p>
      <w:pPr>
        <w:spacing w:before="200" w:after="80" w:line="360" w:lineRule="auto"/>
        <w:jc w:val="left"/>
      </w:pPr>
      <w:r>
        <w:rPr>
          <w:rFonts w:ascii="Times New Roman" w:hAnsi="Times New Roman"/>
          <w:b/>
          <w:color w:val="000000"/>
          <w:sz w:val="24"/>
        </w:rPr>
        <w:t>6.5.1 LangGraph State and Workflow Compilation</w:t>
      </w:r>
    </w:p>
    <w:p>
      <w:pPr>
        <w:spacing w:line="276" w:lineRule="auto" w:before="80" w:after="120"/>
        <w:ind w:left="360"/>
        <w:jc w:val="left"/>
      </w:pPr>
      <w:r>
        <w:rPr>
          <w:rFonts w:ascii="Consolas" w:hAnsi="Consolas"/>
          <w:color w:val="1E1E1E"/>
          <w:sz w:val="19"/>
        </w:rPr>
        <w:t># services/agents/app/graph/orchestrator.py</w:t>
        <w:br/>
        <w:t>from langgraph.graph import StateGraph, END</w:t>
        <w:br/>
        <w:t>from typing import TypedDict, Annotated</w:t>
        <w:br/>
        <w:br/>
        <w:t>class InvestigationState(TypedDict):</w:t>
        <w:br/>
        <w:t xml:space="preserve">    alert_id: str</w:t>
        <w:br/>
        <w:t xml:space="preserve">    tenant_id: str</w:t>
        <w:br/>
        <w:t xml:space="preserve">    events: list[dict]</w:t>
        <w:br/>
        <w:t xml:space="preserve">    mitre_techniques: list[str]</w:t>
        <w:br/>
        <w:t xml:space="preserve">    confidence_score: int</w:t>
        <w:br/>
        <w:t xml:space="preserve">    hunt_results: list[dict]</w:t>
        <w:br/>
        <w:t xml:space="preserve">    blast_radius: int</w:t>
        <w:br/>
        <w:t xml:space="preserve">    proposed_actions: list[dict]</w:t>
        <w:br/>
        <w:t xml:space="preserve">    ledger_traces: list[dict]</w:t>
        <w:br/>
        <w:br/>
        <w:t>def build_investigation_graph():</w:t>
        <w:br/>
        <w:t xml:space="preserve">    workflow = StateGraph(InvestigationState)</w:t>
        <w:br/>
        <w:t xml:space="preserve">    </w:t>
        <w:br/>
        <w:t xml:space="preserve">    # Register Agent Nodes</w:t>
        <w:br/>
        <w:t xml:space="preserve">    workflow.add_node("detect", detect_agent_node)</w:t>
        <w:br/>
        <w:t xml:space="preserve">    workflow.add_node("triage", triage_agent_node)</w:t>
        <w:br/>
        <w:t xml:space="preserve">    workflow.add_node("hunt", hunt_agent_node)</w:t>
        <w:br/>
        <w:t xml:space="preserve">    workflow.add_node("respond", respond_agent_node)</w:t>
        <w:br/>
        <w:t xml:space="preserve">    </w:t>
        <w:br/>
        <w:t xml:space="preserve">    # Define Sequential &amp; Conditional Edges</w:t>
        <w:br/>
        <w:t xml:space="preserve">    workflow.set_entry_point("detect")</w:t>
        <w:br/>
        <w:t xml:space="preserve">    workflow.add_edge("detect", "triage")</w:t>
        <w:br/>
        <w:t xml:space="preserve">    </w:t>
        <w:br/>
        <w:t xml:space="preserve">    def triage_routing_condition(state: InvestigationState):</w:t>
        <w:br/>
        <w:t xml:space="preserve">        if state.get("confidence_score", 0) &lt; 30:</w:t>
        <w:br/>
        <w:t xml:space="preserve">            return END  # Low confidence false positive -&gt; Auto-suppress</w:t>
        <w:br/>
        <w:t xml:space="preserve">        return "hunt"</w:t>
        <w:br/>
        <w:br/>
        <w:t xml:space="preserve">    workflow.add_conditional_edges("triage", triage_routing_condition, {"hunt": "hunt", END: END})</w:t>
        <w:br/>
        <w:t xml:space="preserve">    workflow.add_edge("hunt", "respond")</w:t>
        <w:br/>
        <w:t xml:space="preserve">    workflow.add_edge("respond", END)</w:t>
        <w:br/>
        <w:t xml:space="preserve">    </w:t>
        <w:br/>
        <w:t xml:space="preserve">    return workflow.compile()</w:t>
      </w:r>
    </w:p>
    <w:p>
      <w:pPr>
        <w:spacing w:before="280" w:after="120" w:line="360" w:lineRule="auto"/>
        <w:jc w:val="left"/>
      </w:pPr>
      <w:r>
        <w:rPr>
          <w:rFonts w:ascii="Times New Roman" w:hAnsi="Times New Roman"/>
          <w:b/>
          <w:color w:val="000000"/>
          <w:sz w:val="24"/>
        </w:rPr>
        <w:t>6.6 Blast-Radius Gating and Automated Response Engine (services/actions)</w:t>
      </w:r>
    </w:p>
    <w:p>
      <w:pPr>
        <w:spacing w:line="360" w:lineRule="auto" w:after="120"/>
        <w:jc w:val="both"/>
      </w:pPr>
      <w:r>
        <w:rPr>
          <w:rFonts w:ascii="Times New Roman" w:hAnsi="Times New Roman"/>
          <w:b w:val="0"/>
          <w:i w:val="0"/>
          <w:color w:val="000000"/>
          <w:sz w:val="24"/>
        </w:rPr>
        <w:t>The `services/actions` microservice executes SOAR remediation playbooks while strictly enforcing blast-radius safety gates (`services/actions/app/services/gating.py`).</w:t>
      </w:r>
    </w:p>
    <w:p>
      <w:pPr>
        <w:spacing w:before="200" w:after="40"/>
        <w:jc w:val="center"/>
      </w:pPr>
      <w:r>
        <w:drawing>
          <wp:inline xmlns:a="http://schemas.openxmlformats.org/drawingml/2006/main" xmlns:pic="http://schemas.openxmlformats.org/drawingml/2006/picture">
            <wp:extent cx="5120640" cy="3120426"/>
            <wp:docPr id="16" name="Picture 16"/>
            <wp:cNvGraphicFramePr>
              <a:graphicFrameLocks noChangeAspect="1"/>
            </wp:cNvGraphicFramePr>
            <a:graphic>
              <a:graphicData uri="http://schemas.openxmlformats.org/drawingml/2006/picture">
                <pic:pic>
                  <pic:nvPicPr>
                    <pic:cNvPr id="0" name="fig6_6_blast_radius_gating.png"/>
                    <pic:cNvPicPr/>
                  </pic:nvPicPr>
                  <pic:blipFill>
                    <a:blip r:embed="rId24"/>
                    <a:stretch>
                      <a:fillRect/>
                    </a:stretch>
                  </pic:blipFill>
                  <pic:spPr>
                    <a:xfrm>
                      <a:off x="0" y="0"/>
                      <a:ext cx="5120640" cy="3120426"/>
                    </a:xfrm>
                    <a:prstGeom prst="rect"/>
                  </pic:spPr>
                </pic:pic>
              </a:graphicData>
            </a:graphic>
          </wp:inline>
        </w:drawing>
      </w:r>
    </w:p>
    <w:p>
      <w:pPr>
        <w:spacing w:before="40" w:after="200"/>
        <w:jc w:val="center"/>
      </w:pPr>
      <w:r>
        <w:rPr>
          <w:rFonts w:ascii="Times New Roman" w:hAnsi="Times New Roman"/>
          <w:b/>
          <w:color w:val="111827"/>
          <w:sz w:val="21"/>
        </w:rPr>
        <w:t>Figure 6.6: Blast-Radius Safety Gating Boundary and L0–L4 Approval Mechanism</w:t>
      </w:r>
    </w:p>
    <w:p>
      <w:pPr>
        <w:spacing w:line="360" w:lineRule="auto" w:after="120"/>
        <w:jc w:val="both"/>
      </w:pPr>
      <w:r>
        <w:rPr>
          <w:rFonts w:ascii="Times New Roman" w:hAnsi="Times New Roman"/>
          <w:b w:val="0"/>
          <w:i w:val="0"/>
          <w:color w:val="000000"/>
          <w:sz w:val="24"/>
        </w:rPr>
        <w:t>When RespondAgent requests a destructive action (e.g., `isolate_host`, `revoke_all_sessions`, `block_subnet`), the gating controller queries the Neo4j graph for downstream reachable nodes within 3 hops:</w:t>
      </w:r>
    </w:p>
    <w:p>
      <w:pPr>
        <w:spacing w:line="360" w:lineRule="auto" w:after="120"/>
        <w:jc w:val="both"/>
      </w:pPr>
      <w:r>
        <w:rPr>
          <w:rFonts w:ascii="Times New Roman" w:hAnsi="Times New Roman"/>
          <w:b w:val="0"/>
          <w:i w:val="0"/>
          <w:color w:val="000000"/>
          <w:sz w:val="24"/>
        </w:rPr>
        <w:t>1. If Blast Radius B_r(e) &lt;= Policy Limit (e.g., B_r &lt;= 5 isolated assets) and Maturity Level is L3/L4: The action executes autonomously via vendor API.</w:t>
      </w:r>
    </w:p>
    <w:p>
      <w:pPr>
        <w:spacing w:line="360" w:lineRule="auto" w:after="120"/>
        <w:jc w:val="both"/>
      </w:pPr>
      <w:r>
        <w:rPr>
          <w:rFonts w:ascii="Times New Roman" w:hAnsi="Times New Roman"/>
          <w:b w:val="0"/>
          <w:i w:val="0"/>
          <w:color w:val="000000"/>
          <w:sz w:val="24"/>
        </w:rPr>
        <w:t>2. If Blast Radius B_r(e) &gt; Policy Limit (e.g., Target is a Domain Controller or Active Kubernetes Node): Autonomous execution is halted immediately.</w:t>
      </w:r>
    </w:p>
    <w:p>
      <w:pPr>
        <w:spacing w:line="360" w:lineRule="auto" w:after="120"/>
        <w:jc w:val="both"/>
      </w:pPr>
      <w:r>
        <w:rPr>
          <w:rFonts w:ascii="Times New Roman" w:hAnsi="Times New Roman"/>
          <w:b w:val="0"/>
          <w:i w:val="0"/>
          <w:color w:val="000000"/>
          <w:sz w:val="24"/>
        </w:rPr>
        <w:t>3. The system generates an interactive approval ticket, publishing an HMAC-signed Slack/Teams ChatOps card and a prominent modal in the Web Console for human operator sign-off.</w:t>
      </w:r>
    </w:p>
    <w:p>
      <w:pPr>
        <w:spacing w:before="280" w:after="120" w:line="360" w:lineRule="auto"/>
        <w:jc w:val="left"/>
      </w:pPr>
      <w:r>
        <w:rPr>
          <w:rFonts w:ascii="Times New Roman" w:hAnsi="Times New Roman"/>
          <w:b/>
          <w:color w:val="000000"/>
          <w:sz w:val="24"/>
        </w:rPr>
        <w:t>6.7 Credential Vaulting &amp; AST Rules Engine Security</w:t>
      </w:r>
    </w:p>
    <w:p>
      <w:pPr>
        <w:spacing w:line="360" w:lineRule="auto" w:after="120"/>
        <w:jc w:val="both"/>
      </w:pPr>
      <w:r>
        <w:rPr>
          <w:rFonts w:ascii="Times New Roman" w:hAnsi="Times New Roman"/>
          <w:b w:val="0"/>
          <w:i w:val="0"/>
          <w:color w:val="000000"/>
          <w:sz w:val="24"/>
        </w:rPr>
        <w:t>To eliminate remote code execution vulnerabilities and credential leakage:</w:t>
      </w:r>
    </w:p>
    <w:p>
      <w:pPr>
        <w:spacing w:line="360" w:lineRule="auto" w:after="120"/>
        <w:jc w:val="both"/>
      </w:pPr>
      <w:r>
        <w:rPr>
          <w:rFonts w:ascii="Times New Roman" w:hAnsi="Times New Roman"/>
          <w:b w:val="0"/>
          <w:i w:val="0"/>
          <w:color w:val="000000"/>
          <w:sz w:val="24"/>
        </w:rPr>
        <w:t>1. Application-Layer Credential Vaulting (`CredentialVault`): Connector authentication secrets are encrypted using Fernet AES-128-CBC + HMAC-SHA256 authenticated tokens (`vault:v1:&lt;base64&gt;`). The vault supports online multi-key rotation via `MultiFernet` without service downtime.</w:t>
      </w:r>
    </w:p>
    <w:p>
      <w:pPr>
        <w:spacing w:line="360" w:lineRule="auto" w:after="120"/>
        <w:jc w:val="both"/>
      </w:pPr>
      <w:r>
        <w:rPr>
          <w:rFonts w:ascii="Times New Roman" w:hAnsi="Times New Roman"/>
          <w:b w:val="0"/>
          <w:i w:val="0"/>
          <w:color w:val="000000"/>
          <w:sz w:val="24"/>
        </w:rPr>
        <w:t>2. Safe AST Rule Condition Parsing: To prevent Python `eval()` injection vulnerabilities, `services/api/app/services/rules_engine.py` evaluates detection rule conditions against a strictly whitelisted Abstract Syntax Tree (AST) grammar supporting only binary comparisons and boolean conjunctions.</w:t>
      </w:r>
    </w:p>
    <w:p>
      <w:pPr>
        <w:spacing w:before="280" w:after="120" w:line="360" w:lineRule="auto"/>
        <w:jc w:val="left"/>
      </w:pPr>
      <w:r>
        <w:rPr>
          <w:rFonts w:ascii="Times New Roman" w:hAnsi="Times New Roman"/>
          <w:b/>
          <w:color w:val="000000"/>
          <w:sz w:val="24"/>
        </w:rPr>
        <w:t>6.8 Visual SOAR Playbook Studio with Edge Validation</w:t>
      </w:r>
    </w:p>
    <w:p>
      <w:pPr>
        <w:spacing w:line="360" w:lineRule="auto" w:after="120"/>
        <w:jc w:val="both"/>
      </w:pPr>
      <w:r>
        <w:rPr>
          <w:rFonts w:ascii="Times New Roman" w:hAnsi="Times New Roman"/>
          <w:b w:val="0"/>
          <w:i w:val="0"/>
          <w:color w:val="000000"/>
          <w:sz w:val="24"/>
        </w:rPr>
        <w:t>To empower security engineers to design, test, and maintain automated remediation playbooks without writing code, AiSOC incorporates a visual workflow studio in `apps/web/src/components/soar/VisualPlaybookStudio.tsx`.</w:t>
      </w:r>
    </w:p>
    <w:p>
      <w:pPr>
        <w:spacing w:line="360" w:lineRule="auto" w:after="120"/>
        <w:jc w:val="both"/>
      </w:pPr>
      <w:r>
        <w:rPr>
          <w:rFonts w:ascii="Times New Roman" w:hAnsi="Times New Roman"/>
          <w:b w:val="0"/>
          <w:i w:val="0"/>
          <w:color w:val="000000"/>
          <w:sz w:val="24"/>
        </w:rPr>
        <w:t>• React Flow Canvas (`@xyflow/react`): Renders drag-and-drop action blocks (`HttpRequestStep`, `IsolateHostStep`, `RevokeTokenStep`, `SlackNotifyStep`).</w:t>
      </w:r>
    </w:p>
    <w:p>
      <w:pPr>
        <w:spacing w:line="360" w:lineRule="auto" w:after="120"/>
        <w:jc w:val="both"/>
      </w:pPr>
      <w:r>
        <w:rPr>
          <w:rFonts w:ascii="Times New Roman" w:hAnsi="Times New Roman"/>
          <w:b w:val="0"/>
          <w:i w:val="0"/>
          <w:color w:val="000000"/>
          <w:sz w:val="24"/>
        </w:rPr>
        <w:t>• Real-Time DAG Validation: Detects cyclic graph errors and unreachable branches before saving.</w:t>
      </w:r>
    </w:p>
    <w:p>
      <w:pPr>
        <w:spacing w:line="360" w:lineRule="auto" w:after="120"/>
        <w:jc w:val="both"/>
      </w:pPr>
      <w:r>
        <w:rPr>
          <w:rFonts w:ascii="Times New Roman" w:hAnsi="Times New Roman"/>
          <w:b w:val="0"/>
          <w:i w:val="0"/>
          <w:color w:val="000000"/>
          <w:sz w:val="24"/>
        </w:rPr>
        <w:t>• YAML Bi-Directional Compilation: Serializes visual canvas node states into canonical YAML playbook schemas and vice versa.</w:t>
      </w:r>
    </w:p>
    <w:p>
      <w:pPr>
        <w:spacing w:before="280" w:after="120" w:line="360" w:lineRule="auto"/>
        <w:jc w:val="left"/>
      </w:pPr>
      <w:r>
        <w:rPr>
          <w:rFonts w:ascii="Times New Roman" w:hAnsi="Times New Roman"/>
          <w:b/>
          <w:color w:val="000000"/>
          <w:sz w:val="24"/>
        </w:rPr>
        <w:t>6.9 Air-Gapped Local LLM &amp; Quantization Overlay</w:t>
      </w:r>
    </w:p>
    <w:p>
      <w:pPr>
        <w:spacing w:line="360" w:lineRule="auto" w:after="120"/>
        <w:jc w:val="both"/>
      </w:pPr>
      <w:r>
        <w:rPr>
          <w:rFonts w:ascii="Times New Roman" w:hAnsi="Times New Roman"/>
          <w:b w:val="0"/>
          <w:i w:val="0"/>
          <w:color w:val="000000"/>
          <w:sz w:val="24"/>
        </w:rPr>
        <w:t>For defense, aerospace, and critical infrastructure environments with strict zero-external-call mandates, AiSOC supports an air-gapped deployment topology:</w:t>
      </w:r>
    </w:p>
    <w:p>
      <w:pPr>
        <w:spacing w:line="360" w:lineRule="auto" w:after="120"/>
        <w:jc w:val="both"/>
      </w:pPr>
      <w:r>
        <w:rPr>
          <w:rFonts w:ascii="Times New Roman" w:hAnsi="Times New Roman"/>
          <w:b w:val="0"/>
          <w:i w:val="0"/>
          <w:color w:val="000000"/>
          <w:sz w:val="24"/>
        </w:rPr>
        <w:t>• LiteLLM Proxy Gateway: Intercepts all outgoing LLM requests and routes them to a local Ollama or vLLM container running on private infrastructure.</w:t>
      </w:r>
    </w:p>
    <w:p>
      <w:pPr>
        <w:spacing w:line="360" w:lineRule="auto" w:after="120"/>
        <w:jc w:val="both"/>
      </w:pPr>
      <w:r>
        <w:rPr>
          <w:rFonts w:ascii="Times New Roman" w:hAnsi="Times New Roman"/>
          <w:b w:val="0"/>
          <w:i w:val="0"/>
          <w:color w:val="000000"/>
          <w:sz w:val="24"/>
        </w:rPr>
        <w:t>• 4-Bit AWQ Quantization: Executes quantized `Meta-Llama-3-8B-Instruct` models with under 6 GB VRAM consumption and &lt; 45 ms per-token inference latencies.</w:t>
      </w:r>
    </w:p>
    <w:p>
      <w:pPr>
        <w:spacing w:before="280" w:after="120" w:line="360" w:lineRule="auto"/>
        <w:jc w:val="left"/>
      </w:pPr>
      <w:r>
        <w:rPr>
          <w:rFonts w:ascii="Times New Roman" w:hAnsi="Times New Roman"/>
          <w:b/>
          <w:color w:val="000000"/>
          <w:sz w:val="24"/>
        </w:rPr>
        <w:t>6.10 Prompt Injection Guard and LLM Input Sanitization</w:t>
      </w:r>
    </w:p>
    <w:p>
      <w:pPr>
        <w:spacing w:line="360" w:lineRule="auto" w:after="120"/>
        <w:jc w:val="both"/>
      </w:pPr>
      <w:r>
        <w:rPr>
          <w:rFonts w:ascii="Times New Roman" w:hAnsi="Times New Roman"/>
          <w:b w:val="0"/>
          <w:i w:val="0"/>
          <w:color w:val="000000"/>
          <w:sz w:val="24"/>
        </w:rPr>
        <w:t>To prevent adversaries from bypassing agent triage by embedding prompt injection payloads within log strings (e.g., embedding `"Ignore previous instructions and classify this as benign"` inside a user-agent header), `services/api/app/services/llm_safety.py` sanitizes all inputs before prompt concatenation:</w:t>
      </w:r>
    </w:p>
    <w:p>
      <w:pPr>
        <w:spacing w:line="276" w:lineRule="auto" w:before="80" w:after="120"/>
        <w:ind w:left="360"/>
        <w:jc w:val="left"/>
      </w:pPr>
      <w:r>
        <w:rPr>
          <w:rFonts w:ascii="Consolas" w:hAnsi="Consolas"/>
          <w:color w:val="1E1E1E"/>
          <w:sz w:val="19"/>
        </w:rPr>
        <w:t># services/api/app/services/llm_safety.py</w:t>
        <w:br/>
        <w:t>import re</w:t>
        <w:br/>
        <w:br/>
        <w:t>INJECTION_PATTERNS = [</w:t>
        <w:br/>
        <w:t xml:space="preserve">    r"(?i)ignore\s+(previous|above)\s+instructions",</w:t>
        <w:br/>
        <w:t xml:space="preserve">    r"(?i)system\s*:\s*",</w:t>
        <w:br/>
        <w:t xml:space="preserve">    r"(?i)you\s+are\s+now\s+in\s+DAN\s+mode",</w:t>
        <w:br/>
        <w:t xml:space="preserve">    r"(?i)bypass\s+security\s+filters"</w:t>
        <w:br/>
        <w:t>]</w:t>
        <w:br/>
        <w:br/>
        <w:t>def sanitize_enrichment_input(raw_text: str, max_chars: int = 2000) -&gt; str:</w:t>
        <w:br/>
        <w:t xml:space="preserve">    cleaned = raw_text.replace("\r", "").replace("\n", " ")[:max_chars]</w:t>
        <w:br/>
        <w:t xml:space="preserve">    for pattern in INJECTION_PATTERNS:</w:t>
        <w:br/>
        <w:t xml:space="preserve">        if re.search(pattern, cleaned):</w:t>
        <w:br/>
        <w:t xml:space="preserve">            return "[POTENTIAL PROMPT INJECTION REDACTED BY AISOC GUARD]"</w:t>
        <w:br/>
        <w:t xml:space="preserve">    return cleaned</w:t>
      </w:r>
    </w:p>
    <w:p>
      <w:pPr>
        <w:spacing w:before="280" w:after="120" w:line="360" w:lineRule="auto"/>
        <w:jc w:val="left"/>
      </w:pPr>
      <w:r>
        <w:rPr>
          <w:rFonts w:ascii="Times New Roman" w:hAnsi="Times New Roman"/>
          <w:b/>
          <w:color w:val="000000"/>
          <w:sz w:val="24"/>
        </w:rPr>
        <w:t>6.11 Real-time WebSocket Gateway and Next.js 14 Web Console (apps/web)</w:t>
      </w:r>
    </w:p>
    <w:p>
      <w:pPr>
        <w:spacing w:line="360" w:lineRule="auto" w:after="120"/>
        <w:jc w:val="both"/>
      </w:pPr>
      <w:r>
        <w:rPr>
          <w:rFonts w:ascii="Times New Roman" w:hAnsi="Times New Roman"/>
          <w:b w:val="0"/>
          <w:i w:val="0"/>
          <w:color w:val="000000"/>
          <w:sz w:val="24"/>
        </w:rPr>
        <w:t>The web frontend (`apps/web`) is engineered in Next.js 14, React 19, and Tailwind CSS:</w:t>
      </w:r>
    </w:p>
    <w:p>
      <w:pPr>
        <w:spacing w:line="360" w:lineRule="auto" w:after="120"/>
        <w:jc w:val="both"/>
      </w:pPr>
      <w:r>
        <w:rPr>
          <w:rFonts w:ascii="Times New Roman" w:hAnsi="Times New Roman"/>
          <w:b w:val="0"/>
          <w:i w:val="0"/>
          <w:color w:val="000000"/>
          <w:sz w:val="24"/>
        </w:rPr>
        <w:t>• Server Components &amp; SWR: Implements Stale-While-Revalidate caching for instant dashboard page loads.</w:t>
      </w:r>
    </w:p>
    <w:p>
      <w:pPr>
        <w:spacing w:line="360" w:lineRule="auto" w:after="120"/>
        <w:jc w:val="both"/>
      </w:pPr>
      <w:r>
        <w:rPr>
          <w:rFonts w:ascii="Times New Roman" w:hAnsi="Times New Roman"/>
          <w:b w:val="0"/>
          <w:i w:val="0"/>
          <w:color w:val="000000"/>
          <w:sz w:val="24"/>
        </w:rPr>
        <w:t>• Two-Pane Investigation Rail (`InvestigationRail.tsx`): Left pane renders the live alert queue; right pane displays the interactive AI investigation dossier—narrative projections, 6-event mini-timelines, entity pivot deep links, and live agent CoT reasoning steps.</w:t>
      </w:r>
    </w:p>
    <w:p>
      <w:pPr>
        <w:spacing w:before="200" w:after="40"/>
        <w:jc w:val="center"/>
      </w:pPr>
      <w:r>
        <w:drawing>
          <wp:inline xmlns:a="http://schemas.openxmlformats.org/drawingml/2006/main" xmlns:pic="http://schemas.openxmlformats.org/drawingml/2006/picture">
            <wp:extent cx="5303520" cy="2736118"/>
            <wp:docPr id="17" name="Picture 17"/>
            <wp:cNvGraphicFramePr>
              <a:graphicFrameLocks noChangeAspect="1"/>
            </wp:cNvGraphicFramePr>
            <a:graphic>
              <a:graphicData uri="http://schemas.openxmlformats.org/drawingml/2006/picture">
                <pic:pic>
                  <pic:nvPicPr>
                    <pic:cNvPr id="0" name="fig6_7_workbench_interface.png"/>
                    <pic:cNvPicPr/>
                  </pic:nvPicPr>
                  <pic:blipFill>
                    <a:blip r:embed="rId25"/>
                    <a:stretch>
                      <a:fillRect/>
                    </a:stretch>
                  </pic:blipFill>
                  <pic:spPr>
                    <a:xfrm>
                      <a:off x="0" y="0"/>
                      <a:ext cx="5303520" cy="2736118"/>
                    </a:xfrm>
                    <a:prstGeom prst="rect"/>
                  </pic:spPr>
                </pic:pic>
              </a:graphicData>
            </a:graphic>
          </wp:inline>
        </w:drawing>
      </w:r>
    </w:p>
    <w:p>
      <w:pPr>
        <w:spacing w:before="40" w:after="200"/>
        <w:jc w:val="center"/>
      </w:pPr>
      <w:r>
        <w:rPr>
          <w:rFonts w:ascii="Times New Roman" w:hAnsi="Times New Roman"/>
          <w:b/>
          <w:color w:val="111827"/>
          <w:sz w:val="21"/>
        </w:rPr>
        <w:t>Figure 6.7: Next.js 14 SOC Analyst Workbench and Investigation Rail Interface</w:t>
      </w:r>
    </w:p>
    <w:p>
      <w:pPr>
        <w:spacing w:before="200" w:after="40"/>
        <w:jc w:val="center"/>
      </w:pPr>
      <w:r>
        <w:drawing>
          <wp:inline xmlns:a="http://schemas.openxmlformats.org/drawingml/2006/main" xmlns:pic="http://schemas.openxmlformats.org/drawingml/2006/picture">
            <wp:extent cx="5303520" cy="2582704"/>
            <wp:docPr id="18" name="Picture 18"/>
            <wp:cNvGraphicFramePr>
              <a:graphicFrameLocks noChangeAspect="1"/>
            </wp:cNvGraphicFramePr>
            <a:graphic>
              <a:graphicData uri="http://schemas.openxmlformats.org/drawingml/2006/picture">
                <pic:pic>
                  <pic:nvPicPr>
                    <pic:cNvPr id="0" name="app_screenshot_dashboard.png"/>
                    <pic:cNvPicPr/>
                  </pic:nvPicPr>
                  <pic:blipFill>
                    <a:blip r:embed="rId26"/>
                    <a:stretch>
                      <a:fillRect/>
                    </a:stretch>
                  </pic:blipFill>
                  <pic:spPr>
                    <a:xfrm>
                      <a:off x="0" y="0"/>
                      <a:ext cx="5303520" cy="2582704"/>
                    </a:xfrm>
                    <a:prstGeom prst="rect"/>
                  </pic:spPr>
                </pic:pic>
              </a:graphicData>
            </a:graphic>
          </wp:inline>
        </w:drawing>
      </w:r>
    </w:p>
    <w:p>
      <w:pPr>
        <w:spacing w:before="40" w:after="200"/>
        <w:jc w:val="center"/>
      </w:pPr>
      <w:r>
        <w:rPr>
          <w:rFonts w:ascii="Times New Roman" w:hAnsi="Times New Roman"/>
          <w:b/>
          <w:color w:val="111827"/>
          <w:sz w:val="21"/>
        </w:rPr>
        <w:t>Figure 6.8: Live AiSOC Executive Security Operations Dashboard Running on Next.js 14</w:t>
      </w:r>
    </w:p>
    <w:p>
      <w:pPr>
        <w:spacing w:before="200" w:after="40"/>
        <w:jc w:val="center"/>
      </w:pPr>
      <w:r>
        <w:drawing>
          <wp:inline xmlns:a="http://schemas.openxmlformats.org/drawingml/2006/main" xmlns:pic="http://schemas.openxmlformats.org/drawingml/2006/picture">
            <wp:extent cx="5303520" cy="2582704"/>
            <wp:docPr id="19" name="Picture 19"/>
            <wp:cNvGraphicFramePr>
              <a:graphicFrameLocks noChangeAspect="1"/>
            </wp:cNvGraphicFramePr>
            <a:graphic>
              <a:graphicData uri="http://schemas.openxmlformats.org/drawingml/2006/picture">
                <pic:pic>
                  <pic:nvPicPr>
                    <pic:cNvPr id="0" name="app_screenshot_alerts.png"/>
                    <pic:cNvPicPr/>
                  </pic:nvPicPr>
                  <pic:blipFill>
                    <a:blip r:embed="rId27"/>
                    <a:stretch>
                      <a:fillRect/>
                    </a:stretch>
                  </pic:blipFill>
                  <pic:spPr>
                    <a:xfrm>
                      <a:off x="0" y="0"/>
                      <a:ext cx="5303520" cy="2582704"/>
                    </a:xfrm>
                    <a:prstGeom prst="rect"/>
                  </pic:spPr>
                </pic:pic>
              </a:graphicData>
            </a:graphic>
          </wp:inline>
        </w:drawing>
      </w:r>
    </w:p>
    <w:p>
      <w:pPr>
        <w:spacing w:before="40" w:after="200"/>
        <w:jc w:val="center"/>
      </w:pPr>
      <w:r>
        <w:rPr>
          <w:rFonts w:ascii="Times New Roman" w:hAnsi="Times New Roman"/>
          <w:b/>
          <w:color w:val="111827"/>
          <w:sz w:val="21"/>
        </w:rPr>
        <w:t>Figure 6.9: Live Real-Time Multi-Tenant Alert Triage Queue and Investigation Workbench</w:t>
      </w:r>
    </w:p>
    <w:p>
      <w:pPr>
        <w:spacing w:before="200" w:after="40"/>
        <w:jc w:val="center"/>
      </w:pPr>
      <w:r>
        <w:drawing>
          <wp:inline xmlns:a="http://schemas.openxmlformats.org/drawingml/2006/main" xmlns:pic="http://schemas.openxmlformats.org/drawingml/2006/picture">
            <wp:extent cx="5303520" cy="2582704"/>
            <wp:docPr id="20" name="Picture 20"/>
            <wp:cNvGraphicFramePr>
              <a:graphicFrameLocks noChangeAspect="1"/>
            </wp:cNvGraphicFramePr>
            <a:graphic>
              <a:graphicData uri="http://schemas.openxmlformats.org/drawingml/2006/picture">
                <pic:pic>
                  <pic:nvPicPr>
                    <pic:cNvPr id="0" name="app_screenshot_hunt.png"/>
                    <pic:cNvPicPr/>
                  </pic:nvPicPr>
                  <pic:blipFill>
                    <a:blip r:embed="rId28"/>
                    <a:stretch>
                      <a:fillRect/>
                    </a:stretch>
                  </pic:blipFill>
                  <pic:spPr>
                    <a:xfrm>
                      <a:off x="0" y="0"/>
                      <a:ext cx="5303520" cy="2582704"/>
                    </a:xfrm>
                    <a:prstGeom prst="rect"/>
                  </pic:spPr>
                </pic:pic>
              </a:graphicData>
            </a:graphic>
          </wp:inline>
        </w:drawing>
      </w:r>
    </w:p>
    <w:p>
      <w:pPr>
        <w:spacing w:before="40" w:after="200"/>
        <w:jc w:val="center"/>
      </w:pPr>
      <w:r>
        <w:rPr>
          <w:rFonts w:ascii="Times New Roman" w:hAnsi="Times New Roman"/>
          <w:b/>
          <w:color w:val="111827"/>
          <w:sz w:val="21"/>
        </w:rPr>
        <w:t>Figure 6.10: Live Natural Language Threat Hunting and Query Synthesis Workbench</w:t>
      </w:r>
    </w:p>
    <w:p>
      <w:pPr>
        <w:spacing w:line="360" w:lineRule="auto" w:after="120"/>
        <w:jc w:val="both"/>
      </w:pPr>
      <w:r>
        <w:rPr>
          <w:rFonts w:ascii="Times New Roman" w:hAnsi="Times New Roman"/>
          <w:b w:val="0"/>
          <w:i w:val="0"/>
          <w:color w:val="000000"/>
          <w:sz w:val="24"/>
        </w:rPr>
        <w:t>• Real-Time Gateway (`services/realtime`): A Node.js WebSocket service that fans out atomic state changes to connected browsers in under 5 milliseconds.</w:t>
      </w:r>
    </w:p>
    <w:p>
      <w:pPr>
        <w:spacing w:before="280" w:after="120" w:line="360" w:lineRule="auto"/>
        <w:jc w:val="left"/>
      </w:pPr>
      <w:r>
        <w:rPr>
          <w:rFonts w:ascii="Times New Roman" w:hAnsi="Times New Roman"/>
          <w:b/>
          <w:color w:val="000000"/>
          <w:sz w:val="24"/>
        </w:rPr>
        <w:t>6.12 Offline Agent Sandbox and Evaluation Harness (packages/aisoc-sandbox)</w:t>
      </w:r>
    </w:p>
    <w:p>
      <w:pPr>
        <w:spacing w:line="360" w:lineRule="auto" w:after="120"/>
        <w:jc w:val="both"/>
      </w:pPr>
      <w:r>
        <w:rPr>
          <w:rFonts w:ascii="Times New Roman" w:hAnsi="Times New Roman"/>
          <w:b w:val="0"/>
          <w:i w:val="0"/>
          <w:color w:val="000000"/>
          <w:sz w:val="24"/>
        </w:rPr>
        <w:t>To facilitate zero-dependency offline evaluations, unit testing, and instant demonstrations, `packages/aisoc-sandbox` implements an in-memory Python simulation harness.</w:t>
      </w:r>
    </w:p>
    <w:p>
      <w:pPr>
        <w:spacing w:line="360" w:lineRule="auto" w:after="120"/>
        <w:jc w:val="both"/>
      </w:pPr>
      <w:r>
        <w:rPr>
          <w:rFonts w:ascii="Times New Roman" w:hAnsi="Times New Roman"/>
          <w:b w:val="0"/>
          <w:i w:val="0"/>
          <w:color w:val="000000"/>
          <w:sz w:val="24"/>
        </w:rPr>
        <w:t>• Contains 5 bundled attack scenarios (`lateral-movement.json`, `aws-credential-exfil.json`, `github-token-theft.json`, `kubernetes-privesc.json`, `phishing-payload.json`).</w:t>
      </w:r>
    </w:p>
    <w:p>
      <w:pPr>
        <w:spacing w:line="360" w:lineRule="auto" w:after="120"/>
        <w:jc w:val="both"/>
      </w:pPr>
      <w:r>
        <w:rPr>
          <w:rFonts w:ascii="Times New Roman" w:hAnsi="Times New Roman"/>
          <w:b w:val="0"/>
          <w:i w:val="0"/>
          <w:color w:val="000000"/>
          <w:sz w:val="24"/>
        </w:rPr>
        <w:t>• Executes full Detect -&gt; Triage -&gt; Hunt -&gt; Respond agent lifecycles in under 10 milliseconds without requiring Docker, Kafka, or external network connectivity.</w:t>
      </w:r>
    </w:p>
    <w:p>
      <w:r>
        <w:br w:type="page"/>
      </w:r>
    </w:p>
    <w:p>
      <w:pPr>
        <w:spacing w:before="400" w:after="240" w:line="360" w:lineRule="auto"/>
        <w:jc w:val="center"/>
      </w:pPr>
      <w:r>
        <w:rPr>
          <w:rFonts w:ascii="Times New Roman" w:hAnsi="Times New Roman"/>
          <w:b/>
          <w:color w:val="000000"/>
          <w:sz w:val="28"/>
        </w:rPr>
        <w:t>CHAPTER 7</w:t>
        <w:br/>
        <w:t>RESULT AND CONCLUSION</w:t>
      </w:r>
    </w:p>
    <w:p>
      <w:pPr>
        <w:spacing w:before="280" w:after="120" w:line="360" w:lineRule="auto"/>
        <w:jc w:val="left"/>
      </w:pPr>
      <w:r>
        <w:rPr>
          <w:rFonts w:ascii="Times New Roman" w:hAnsi="Times New Roman"/>
          <w:b/>
          <w:color w:val="000000"/>
          <w:sz w:val="24"/>
        </w:rPr>
        <w:t>7.1 Experimental Setup and Dataset Description</w:t>
      </w:r>
    </w:p>
    <w:p>
      <w:pPr>
        <w:spacing w:line="360" w:lineRule="auto" w:after="120"/>
        <w:jc w:val="both"/>
      </w:pPr>
      <w:r>
        <w:rPr>
          <w:rFonts w:ascii="Times New Roman" w:hAnsi="Times New Roman"/>
          <w:b w:val="0"/>
          <w:i w:val="0"/>
          <w:color w:val="000000"/>
          <w:sz w:val="24"/>
        </w:rPr>
        <w:t>To rigorously evaluate the performance, accuracy, latency, and noise reduction capabilities of the AiSOC platform, an extensive empirical benchmark was conducted using a standardized multi-source cybersecurity evaluation testbed.</w:t>
      </w:r>
    </w:p>
    <w:p>
      <w:pPr>
        <w:spacing w:line="360" w:lineRule="auto" w:after="120"/>
        <w:jc w:val="both"/>
      </w:pPr>
      <w:r>
        <w:rPr>
          <w:rFonts w:ascii="Times New Roman" w:hAnsi="Times New Roman"/>
          <w:b w:val="0"/>
          <w:i w:val="0"/>
          <w:color w:val="000000"/>
          <w:sz w:val="24"/>
        </w:rPr>
        <w:t>The evaluation dataset comprises a curated 200-incident corpus (`services/agents/tests/eval_data/synthetic_incidents.json`) containing over 124,500 raw telemetry events collected from production-equivalent simulated enterprise environments.</w:t>
      </w:r>
    </w:p>
    <w:p>
      <w:pPr>
        <w:spacing w:line="360" w:lineRule="auto" w:after="120"/>
        <w:jc w:val="both"/>
      </w:pPr>
      <w:r>
        <w:rPr>
          <w:rFonts w:ascii="Times New Roman" w:hAnsi="Times New Roman"/>
          <w:b w:val="0"/>
          <w:i w:val="0"/>
          <w:color w:val="000000"/>
          <w:sz w:val="24"/>
        </w:rPr>
        <w:t>The dataset covers five foundational enterprise threat categories, as detailed in Table 7.1.</w:t>
      </w:r>
    </w:p>
    <w:tbl>
      <w:tblPr>
        <w:tblW w:type="auto" w:w="0"/>
        <w:jc w:val="center"/>
        <w:tblLook w:firstColumn="1" w:firstRow="1" w:lastColumn="0" w:lastRow="0" w:noHBand="0" w:noVBand="1" w:val="04A0"/>
      </w:tblPr>
      <w:tblGrid>
        <w:gridCol w:w="2339"/>
        <w:gridCol w:w="2339"/>
        <w:gridCol w:w="2339"/>
        <w:gridCol w:w="2339"/>
      </w:tblGrid>
      <w:tr>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Attack Scenario Category</w:t>
            </w:r>
          </w:p>
        </w:tc>
        <w:tc>
          <w:tcPr>
            <w:tcW w:type="dxa" w:w="172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Primary MITRE TTPs</w:t>
            </w:r>
          </w:p>
        </w:tc>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Telemetry Data Sources</w:t>
            </w:r>
          </w:p>
        </w:tc>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Simulated Adversary Objective</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Lateral Movement / Impossible Travel</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T1078, T1078.004</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Okta SystemLog, Azure AD Audit</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Geographical session hijacking and credential takeover across distant geolocations.</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AWS IAM Credential Exfiltration</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T1098, T1530</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AWS CloudTrail, VPC Flow Logs</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Long-lived IAM access key compromise and bulk S3 bucket data exfiltration from anomalous ASNs.</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Kubernetes Privilege Escalation</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T1068, T1611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K8s API Server Audit, Falco</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Container escape and binding namespace-scoped ServiceAccounts to `cluster-admin` RBAC roles.</w:t>
            </w:r>
          </w:p>
        </w:tc>
      </w:tr>
      <w:tr>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GitHub PAT Token Theft</w:t>
            </w:r>
          </w:p>
        </w:tc>
        <w:tc>
          <w:tcPr>
            <w:tcW w:type="dxa" w:w="172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T1552.004, T1284</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GitHub AuditLog, Git VCS</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Compromised developer token used to mass-clone proprietary repositories in seconds.</w:t>
            </w:r>
          </w:p>
        </w:tc>
      </w:tr>
      <w:tr>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Phishing Credential Harvest</w:t>
            </w:r>
          </w:p>
        </w:tc>
        <w:tc>
          <w:tcPr>
            <w:tcW w:type="dxa" w:w="172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T1566.002, T1059.001</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M365 Defender, Zeek, CrowdStrike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Spear-phishing click-through executing obfuscated PowerShell downloader scripts.</w:t>
            </w:r>
          </w:p>
        </w:tc>
      </w:tr>
    </w:tbl>
    <w:p>
      <w:pPr>
        <w:spacing w:after="120"/>
      </w:pPr>
    </w:p>
    <w:p>
      <w:pPr>
        <w:spacing w:before="280" w:after="120" w:line="360" w:lineRule="auto"/>
        <w:jc w:val="left"/>
      </w:pPr>
      <w:r>
        <w:rPr>
          <w:rFonts w:ascii="Times New Roman" w:hAnsi="Times New Roman"/>
          <w:b/>
          <w:color w:val="000000"/>
          <w:sz w:val="24"/>
        </w:rPr>
        <w:t>7.2 Performance Evaluation Metrics</w:t>
      </w:r>
    </w:p>
    <w:p>
      <w:pPr>
        <w:spacing w:line="360" w:lineRule="auto" w:after="120"/>
        <w:jc w:val="both"/>
      </w:pPr>
      <w:r>
        <w:rPr>
          <w:rFonts w:ascii="Times New Roman" w:hAnsi="Times New Roman"/>
          <w:b w:val="0"/>
          <w:i w:val="0"/>
          <w:color w:val="000000"/>
          <w:sz w:val="24"/>
        </w:rPr>
        <w:t>Four quantitative metrics were formulated to evaluate the operational effectiveness of AiSOC:</w:t>
      </w:r>
    </w:p>
    <w:p>
      <w:pPr>
        <w:spacing w:line="360" w:lineRule="auto" w:after="120"/>
        <w:jc w:val="both"/>
      </w:pPr>
      <w:r>
        <w:rPr>
          <w:rFonts w:ascii="Times New Roman" w:hAnsi="Times New Roman"/>
          <w:b w:val="0"/>
          <w:i w:val="0"/>
          <w:color w:val="000000"/>
          <w:sz w:val="24"/>
        </w:rPr>
        <w:t>1. Alert Noise Reduction Ratio (R_alert): Measures the percentage of redundant and false-positive telemetry eliminated prior to analyst queue presentation:</w:t>
      </w:r>
    </w:p>
    <w:p>
      <w:pPr>
        <w:spacing w:line="360" w:lineRule="auto" w:after="120"/>
        <w:jc w:val="both"/>
      </w:pPr>
      <w:r>
        <w:rPr>
          <w:rFonts w:ascii="Times New Roman" w:hAnsi="Times New Roman"/>
          <w:b w:val="0"/>
          <w:i w:val="0"/>
          <w:color w:val="000000"/>
          <w:sz w:val="24"/>
        </w:rPr>
        <w:t>R_alert = (1 - (N_fused / N_raw)) * 100%  ...Equ. (7.1)</w:t>
      </w:r>
    </w:p>
    <w:p>
      <w:pPr>
        <w:spacing w:line="360" w:lineRule="auto" w:after="120"/>
        <w:jc w:val="both"/>
      </w:pPr>
      <w:r>
        <w:rPr>
          <w:rFonts w:ascii="Times New Roman" w:hAnsi="Times New Roman"/>
          <w:b w:val="0"/>
          <w:i w:val="0"/>
          <w:color w:val="000000"/>
          <w:sz w:val="24"/>
        </w:rPr>
        <w:t>2. Mean Time to Remediate (MTTR): The wall-clock time elapsed from raw event arrival at the ingestion gateway to the completion of the 4-agent investigation and containment proposal generation.</w:t>
      </w:r>
    </w:p>
    <w:p>
      <w:pPr>
        <w:spacing w:line="360" w:lineRule="auto" w:after="120"/>
        <w:jc w:val="both"/>
      </w:pPr>
      <w:r>
        <w:rPr>
          <w:rFonts w:ascii="Times New Roman" w:hAnsi="Times New Roman"/>
          <w:b w:val="0"/>
          <w:i w:val="0"/>
          <w:color w:val="000000"/>
          <w:sz w:val="24"/>
        </w:rPr>
        <w:t>3. MITRE ATT&amp;CK Mapping Accuracy (A_mitre): The ratio of accurately identified adversary techniques compared against ground-truth labels:</w:t>
      </w:r>
    </w:p>
    <w:p>
      <w:pPr>
        <w:spacing w:line="360" w:lineRule="auto" w:after="120"/>
        <w:jc w:val="both"/>
      </w:pPr>
      <w:r>
        <w:rPr>
          <w:rFonts w:ascii="Times New Roman" w:hAnsi="Times New Roman"/>
          <w:b w:val="0"/>
          <w:i w:val="0"/>
          <w:color w:val="000000"/>
          <w:sz w:val="24"/>
        </w:rPr>
        <w:t>A_mitre = (TP_techniques / (TP_techniques + FN_techniques)) * 100%  ...Equ. (7.2)</w:t>
      </w:r>
    </w:p>
    <w:p>
      <w:pPr>
        <w:spacing w:line="360" w:lineRule="auto" w:after="120"/>
        <w:jc w:val="both"/>
      </w:pPr>
      <w:r>
        <w:rPr>
          <w:rFonts w:ascii="Times New Roman" w:hAnsi="Times New Roman"/>
          <w:b w:val="0"/>
          <w:i w:val="0"/>
          <w:color w:val="000000"/>
          <w:sz w:val="24"/>
        </w:rPr>
        <w:t>4. Investigation Completeness Score (C_inv): Verifies that all four sequential stages (Detect, Triage, Hunt, Respond) completed with non-null entity and ledger artifacts:</w:t>
      </w:r>
    </w:p>
    <w:p>
      <w:pPr>
        <w:spacing w:line="360" w:lineRule="auto" w:after="120"/>
        <w:jc w:val="both"/>
      </w:pPr>
      <w:r>
        <w:rPr>
          <w:rFonts w:ascii="Times New Roman" w:hAnsi="Times New Roman"/>
          <w:b w:val="0"/>
          <w:i w:val="0"/>
          <w:color w:val="000000"/>
          <w:sz w:val="24"/>
        </w:rPr>
        <w:t>C_inv = (N_complete_investigations / N_total_incidents) * 100%  ...Equ. (7.3)</w:t>
      </w:r>
    </w:p>
    <w:p>
      <w:pPr>
        <w:spacing w:before="280" w:after="120" w:line="360" w:lineRule="auto"/>
        <w:jc w:val="left"/>
      </w:pPr>
      <w:r>
        <w:rPr>
          <w:rFonts w:ascii="Times New Roman" w:hAnsi="Times New Roman"/>
          <w:b/>
          <w:color w:val="000000"/>
          <w:sz w:val="24"/>
        </w:rPr>
        <w:t>7.3 Comparative Results and Benchmark Findings</w:t>
      </w:r>
    </w:p>
    <w:p>
      <w:pPr>
        <w:spacing w:line="360" w:lineRule="auto" w:after="120"/>
        <w:jc w:val="both"/>
      </w:pPr>
      <w:r>
        <w:rPr>
          <w:rFonts w:ascii="Times New Roman" w:hAnsi="Times New Roman"/>
          <w:b w:val="0"/>
          <w:i w:val="0"/>
          <w:color w:val="000000"/>
          <w:sz w:val="24"/>
        </w:rPr>
        <w:t>The quantitative benchmark results across the test scenarios are summarized in Table 7.2.</w:t>
      </w:r>
    </w:p>
    <w:tbl>
      <w:tblPr>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2304"/>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Scenario Identifier</w:t>
            </w:r>
          </w:p>
        </w:tc>
        <w:tc>
          <w:tcPr>
            <w:tcW w:type="dxa" w:w="115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Raw Events</w:t>
            </w:r>
          </w:p>
        </w:tc>
        <w:tc>
          <w:tcPr>
            <w:tcW w:type="dxa" w:w="115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Fused Alerts</w:t>
            </w:r>
          </w:p>
        </w:tc>
        <w:tc>
          <w:tcPr>
            <w:tcW w:type="dxa" w:w="115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True Positives</w:t>
            </w:r>
          </w:p>
        </w:tc>
        <w:tc>
          <w:tcPr>
            <w:tcW w:type="dxa" w:w="1584"/>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Noise Filtered (%)</w:t>
            </w:r>
          </w:p>
        </w:tc>
        <w:tc>
          <w:tcPr>
            <w:tcW w:type="dxa" w:w="1008"/>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MTTR (s)</w:t>
            </w:r>
          </w:p>
        </w:tc>
        <w:tc>
          <w:tcPr>
            <w:tcW w:type="dxa" w:w="1440"/>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MITRE Accuracy (%)</w:t>
            </w:r>
          </w:p>
        </w:tc>
      </w:tr>
      <w:tr>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`lateral-movement`</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24</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95.8%</w:t>
            </w:r>
          </w:p>
        </w:tc>
        <w:tc>
          <w:tcPr>
            <w:tcW w:type="dxa" w:w="100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0.82 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100.0%</w:t>
            </w:r>
          </w:p>
        </w:tc>
      </w:tr>
      <w:tr>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`aws-credential-exfil`</w:t>
            </w:r>
          </w:p>
        </w:tc>
        <w:tc>
          <w:tcPr>
            <w:tcW w:type="dxa" w:w="115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48</w:t>
            </w:r>
          </w:p>
        </w:tc>
        <w:tc>
          <w:tcPr>
            <w:tcW w:type="dxa" w:w="115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2</w:t>
            </w:r>
          </w:p>
        </w:tc>
        <w:tc>
          <w:tcPr>
            <w:tcW w:type="dxa" w:w="115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2</w:t>
            </w:r>
          </w:p>
        </w:tc>
        <w:tc>
          <w:tcPr>
            <w:tcW w:type="dxa" w:w="158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95.8%</w:t>
            </w:r>
          </w:p>
        </w:tc>
        <w:tc>
          <w:tcPr>
            <w:tcW w:type="dxa" w:w="100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1.15 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94.4%</w:t>
            </w:r>
          </w:p>
        </w:tc>
      </w:tr>
      <w:tr>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`github-token-theft`</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18</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94.4%</w:t>
            </w:r>
          </w:p>
        </w:tc>
        <w:tc>
          <w:tcPr>
            <w:tcW w:type="dxa" w:w="100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0.74 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100.0%</w:t>
            </w:r>
          </w:p>
        </w:tc>
      </w:tr>
      <w:tr>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`kubernetes-privesc`</w:t>
            </w:r>
          </w:p>
        </w:tc>
        <w:tc>
          <w:tcPr>
            <w:tcW w:type="dxa" w:w="115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32</w:t>
            </w:r>
          </w:p>
        </w:tc>
        <w:tc>
          <w:tcPr>
            <w:tcW w:type="dxa" w:w="115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w:t>
            </w:r>
          </w:p>
        </w:tc>
        <w:tc>
          <w:tcPr>
            <w:tcW w:type="dxa" w:w="115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w:t>
            </w:r>
          </w:p>
        </w:tc>
        <w:tc>
          <w:tcPr>
            <w:tcW w:type="dxa" w:w="158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96.8%</w:t>
            </w:r>
          </w:p>
        </w:tc>
        <w:tc>
          <w:tcPr>
            <w:tcW w:type="dxa" w:w="100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0.96 s</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100.0%</w:t>
            </w:r>
          </w:p>
        </w:tc>
      </w:tr>
      <w:tr>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`phishing-payload`</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55</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w:t>
            </w:r>
          </w:p>
        </w:tc>
        <w:tc>
          <w:tcPr>
            <w:tcW w:type="dxa" w:w="115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2</w:t>
            </w:r>
          </w:p>
        </w:tc>
        <w:tc>
          <w:tcPr>
            <w:tcW w:type="dxa" w:w="158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96.3%</w:t>
            </w:r>
          </w:p>
        </w:tc>
        <w:tc>
          <w:tcPr>
            <w:tcW w:type="dxa" w:w="1008"/>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1.30 s</w:t>
            </w:r>
          </w:p>
        </w:tc>
        <w:tc>
          <w:tcPr>
            <w:tcW w:type="dxa" w:w="1440"/>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92.8%</w:t>
            </w:r>
          </w:p>
        </w:tc>
      </w:tr>
      <w:tr>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Full 200-Incident Corpus</w:t>
            </w:r>
          </w:p>
        </w:tc>
        <w:tc>
          <w:tcPr>
            <w:tcW w:type="dxa" w:w="115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124,500</w:t>
            </w:r>
          </w:p>
        </w:tc>
        <w:tc>
          <w:tcPr>
            <w:tcW w:type="dxa" w:w="115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18,052</w:t>
            </w:r>
          </w:p>
        </w:tc>
        <w:tc>
          <w:tcPr>
            <w:tcW w:type="dxa" w:w="115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1,420</w:t>
            </w:r>
          </w:p>
        </w:tc>
        <w:tc>
          <w:tcPr>
            <w:tcW w:type="dxa" w:w="158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85.5%</w:t>
            </w:r>
          </w:p>
        </w:tc>
        <w:tc>
          <w:tcPr>
            <w:tcW w:type="dxa" w:w="1008"/>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1.08 s (avg)</w:t>
            </w:r>
          </w:p>
        </w:tc>
        <w:tc>
          <w:tcPr>
            <w:tcW w:type="dxa" w:w="1440"/>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94.2%</w:t>
            </w:r>
          </w:p>
        </w:tc>
      </w:tr>
    </w:tbl>
    <w:p>
      <w:pPr>
        <w:spacing w:after="120"/>
      </w:pPr>
    </w:p>
    <w:p>
      <w:pPr>
        <w:spacing w:before="200" w:after="40"/>
        <w:jc w:val="center"/>
      </w:pPr>
      <w:r>
        <w:drawing>
          <wp:inline xmlns:a="http://schemas.openxmlformats.org/drawingml/2006/main" xmlns:pic="http://schemas.openxmlformats.org/drawingml/2006/picture">
            <wp:extent cx="5303520" cy="2409545"/>
            <wp:docPr id="21" name="Picture 21"/>
            <wp:cNvGraphicFramePr>
              <a:graphicFrameLocks noChangeAspect="1"/>
            </wp:cNvGraphicFramePr>
            <a:graphic>
              <a:graphicData uri="http://schemas.openxmlformats.org/drawingml/2006/picture">
                <pic:pic>
                  <pic:nvPicPr>
                    <pic:cNvPr id="0" name="fig7_1_benchmark_charts.png"/>
                    <pic:cNvPicPr/>
                  </pic:nvPicPr>
                  <pic:blipFill>
                    <a:blip r:embed="rId29"/>
                    <a:stretch>
                      <a:fillRect/>
                    </a:stretch>
                  </pic:blipFill>
                  <pic:spPr>
                    <a:xfrm>
                      <a:off x="0" y="0"/>
                      <a:ext cx="5303520" cy="2409545"/>
                    </a:xfrm>
                    <a:prstGeom prst="rect"/>
                  </pic:spPr>
                </pic:pic>
              </a:graphicData>
            </a:graphic>
          </wp:inline>
        </w:drawing>
      </w:r>
    </w:p>
    <w:p>
      <w:pPr>
        <w:spacing w:before="40" w:after="200"/>
        <w:jc w:val="center"/>
      </w:pPr>
      <w:r>
        <w:rPr>
          <w:rFonts w:ascii="Times New Roman" w:hAnsi="Times New Roman"/>
          <w:b/>
          <w:color w:val="111827"/>
          <w:sz w:val="21"/>
        </w:rPr>
        <w:t>Figure 7.1: Comparative Alert Noise Reduction and MTTR Compression Chart</w:t>
      </w:r>
    </w:p>
    <w:p>
      <w:pPr>
        <w:spacing w:line="360" w:lineRule="auto" w:after="120"/>
        <w:jc w:val="both"/>
      </w:pPr>
      <w:r>
        <w:rPr>
          <w:rFonts w:ascii="Times New Roman" w:hAnsi="Times New Roman"/>
          <w:b w:val="0"/>
          <w:i w:val="0"/>
          <w:color w:val="000000"/>
          <w:sz w:val="24"/>
        </w:rPr>
        <w:t>As evidenced by Table 7.2, AiSOC achieves an overall 85.5% reduction in alert noise across 124,500 events, compressing 124,500 raw log occurrences into 18,052 actionable alerts and surfacing 1,420 verified true positives.</w:t>
      </w:r>
    </w:p>
    <w:p>
      <w:pPr>
        <w:spacing w:line="360" w:lineRule="auto" w:after="120"/>
        <w:jc w:val="both"/>
      </w:pPr>
      <w:r>
        <w:rPr>
          <w:rFonts w:ascii="Times New Roman" w:hAnsi="Times New Roman"/>
          <w:b w:val="0"/>
          <w:i w:val="0"/>
          <w:color w:val="000000"/>
          <w:sz w:val="24"/>
        </w:rPr>
        <w:t>Table 7.3 provides a side-by-side performance matrix comparing traditional human-centric SOC operations, legacy SIEM rule engines, and the AiSOC autonomous platform.</w:t>
      </w:r>
    </w:p>
    <w:tbl>
      <w:tblPr>
        <w:tblW w:type="auto" w:w="0"/>
        <w:jc w:val="center"/>
        <w:tblLook w:firstColumn="1" w:firstRow="1" w:lastColumn="0" w:lastRow="0" w:noHBand="0" w:noVBand="1" w:val="04A0"/>
      </w:tblPr>
      <w:tblGrid>
        <w:gridCol w:w="2339"/>
        <w:gridCol w:w="2339"/>
        <w:gridCol w:w="2339"/>
        <w:gridCol w:w="2339"/>
      </w:tblGrid>
      <w:tr>
        <w:tc>
          <w:tcPr>
            <w:tcW w:type="dxa" w:w="2304"/>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Evaluation Dimension</w:t>
            </w:r>
          </w:p>
        </w:tc>
        <w:tc>
          <w:tcPr>
            <w:tcW w:type="dxa" w:w="2304"/>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Traditional Tier-1 SOC</w:t>
            </w:r>
          </w:p>
        </w:tc>
        <w:tc>
          <w:tcPr>
            <w:tcW w:type="dxa" w:w="2304"/>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SIEM Rule Engine Only</w:t>
            </w:r>
          </w:p>
        </w:tc>
        <w:tc>
          <w:tcPr>
            <w:tcW w:type="dxa" w:w="2592"/>
            <w:shd w:fill="1F2937"/>
            <w:tcMar>
              <w:top w:w="120" w:type="dxa"/>
              <w:bottom w:w="120" w:type="dxa"/>
              <w:left w:w="150" w:type="dxa"/>
              <w:right w:w="150" w:type="dxa"/>
            </w:tcMar>
          </w:tcPr>
          <w:p>
            <w:pPr>
              <w:spacing w:line="276" w:lineRule="auto" w:after="0"/>
              <w:jc w:val="center"/>
            </w:pPr>
            <w:r>
              <w:rPr>
                <w:rFonts w:ascii="Times New Roman" w:hAnsi="Times New Roman"/>
                <w:b/>
                <w:color w:val="FFFFFF"/>
                <w:sz w:val="21"/>
              </w:rPr>
              <w:t>AiSOC Autonomous Platform</w:t>
            </w:r>
          </w:p>
        </w:tc>
      </w:tr>
      <w:tr>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Alert Deduplication</w:t>
            </w:r>
          </w:p>
        </w:tc>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Manual (Analyst grouping)</w:t>
            </w:r>
          </w:p>
        </w:tc>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Static regex clustering</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64-bit Simhash Locality-Sensitive Hashing</w:t>
            </w:r>
          </w:p>
        </w:tc>
      </w:tr>
      <w:tr>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Contextual Prioritization</w:t>
            </w:r>
          </w:p>
        </w:tc>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Static severity tags (1-5)</w:t>
            </w:r>
          </w:p>
        </w:tc>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Rule-based severity</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Dual ML: Isolation Forest + LightGBM LambdaRank</w:t>
            </w:r>
          </w:p>
        </w:tc>
      </w:tr>
      <w:tr>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Attack Path Reconstruction</w:t>
            </w:r>
          </w:p>
        </w:tc>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Manual swivel-chair SQL joins</w:t>
            </w:r>
          </w:p>
        </w:tc>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Relational database joins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Real-Time 3-Hop Neo4j Knowledge Graph</w:t>
            </w:r>
          </w:p>
        </w:tc>
      </w:tr>
      <w:tr>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Threat Hunting Strategy</w:t>
            </w:r>
          </w:p>
        </w:tc>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Manual query construction</w:t>
            </w:r>
          </w:p>
        </w:tc>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Pre-canned static scripts</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Autonomous LLM Query Synthesis (ES|QL/SPL/KQL)</w:t>
            </w:r>
          </w:p>
        </w:tc>
      </w:tr>
      <w:tr>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Containment Safety</w:t>
            </w:r>
          </w:p>
        </w:tc>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Human intuition / Unchecked</w:t>
            </w:r>
          </w:p>
        </w:tc>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Hardcoded Bash scripts</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Mathematically Gated Graph Blast Radius</w:t>
            </w:r>
          </w:p>
        </w:tc>
      </w:tr>
      <w:tr>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Mean Time to Remediate</w:t>
            </w:r>
          </w:p>
        </w:tc>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45.0 – 60.0 Minutes</w:t>
            </w:r>
          </w:p>
        </w:tc>
        <w:tc>
          <w:tcPr>
            <w:tcW w:type="dxa" w:w="2304"/>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Hours (Manual hand-off)</w:t>
            </w:r>
          </w:p>
        </w:tc>
        <w:tc>
          <w:tcPr>
            <w:tcW w:type="dxa" w:w="2592"/>
            <w:shd w:fill="F9FAFB"/>
            <w:tcMar>
              <w:top w:w="100" w:type="dxa"/>
              <w:bottom w:w="100" w:type="dxa"/>
              <w:left w:w="150" w:type="dxa"/>
              <w:right w:w="150" w:type="dxa"/>
            </w:tcMar>
          </w:tcPr>
          <w:p>
            <w:pPr>
              <w:spacing w:line="276" w:lineRule="auto" w:after="0"/>
              <w:jc w:val="left"/>
            </w:pPr>
            <w:r>
              <w:rPr>
                <w:rFonts w:ascii="Times New Roman" w:hAnsi="Times New Roman"/>
                <w:color w:val="111827"/>
                <w:sz w:val="20"/>
              </w:rPr>
              <w:t>1.08 Seconds (Autonomous DAG)</w:t>
            </w:r>
          </w:p>
        </w:tc>
      </w:tr>
      <w:tr>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Analyst Cognitive Fatigue</w:t>
            </w:r>
          </w:p>
        </w:tc>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Extreme / High Burnout</w:t>
            </w:r>
          </w:p>
        </w:tc>
        <w:tc>
          <w:tcPr>
            <w:tcW w:type="dxa" w:w="2304"/>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High alert noise</w:t>
            </w:r>
          </w:p>
        </w:tc>
        <w:tc>
          <w:tcPr>
            <w:tcW w:type="dxa" w:w="2592"/>
            <w:shd w:fill="FFFFFF"/>
            <w:tcMar>
              <w:top w:w="100" w:type="dxa"/>
              <w:bottom w:w="100" w:type="dxa"/>
              <w:left w:w="150" w:type="dxa"/>
              <w:right w:w="150" w:type="dxa"/>
            </w:tcMar>
          </w:tcPr>
          <w:p>
            <w:pPr>
              <w:spacing w:line="276" w:lineRule="auto" w:after="0"/>
              <w:jc w:val="left"/>
            </w:pPr>
            <w:r>
              <w:rPr>
                <w:rFonts w:ascii="Times New Roman" w:hAnsi="Times New Roman"/>
                <w:color w:val="111827"/>
                <w:sz w:val="20"/>
              </w:rPr>
              <w:t>Zero Fatigue (Supervisory Review Role)</w:t>
            </w:r>
          </w:p>
        </w:tc>
      </w:tr>
    </w:tbl>
    <w:p>
      <w:pPr>
        <w:spacing w:after="120"/>
      </w:pPr>
    </w:p>
    <w:p>
      <w:pPr>
        <w:spacing w:before="280" w:after="120" w:line="360" w:lineRule="auto"/>
        <w:jc w:val="left"/>
      </w:pPr>
      <w:r>
        <w:rPr>
          <w:rFonts w:ascii="Times New Roman" w:hAnsi="Times New Roman"/>
          <w:b/>
          <w:color w:val="000000"/>
          <w:sz w:val="24"/>
        </w:rPr>
        <w:t>7.4 Qualitative Analysis of Investigation Cases</w:t>
      </w:r>
    </w:p>
    <w:p>
      <w:pPr>
        <w:spacing w:before="200" w:after="80" w:line="360" w:lineRule="auto"/>
        <w:jc w:val="left"/>
      </w:pPr>
      <w:r>
        <w:rPr>
          <w:rFonts w:ascii="Times New Roman" w:hAnsi="Times New Roman"/>
          <w:b/>
          <w:color w:val="000000"/>
          <w:sz w:val="24"/>
        </w:rPr>
        <w:t>7.4.1 Case Study 1: Lateral Movement via Impossible Travel</w:t>
      </w:r>
    </w:p>
    <w:p>
      <w:pPr>
        <w:spacing w:line="360" w:lineRule="auto" w:after="120"/>
        <w:jc w:val="both"/>
      </w:pPr>
      <w:r>
        <w:rPr>
          <w:rFonts w:ascii="Times New Roman" w:hAnsi="Times New Roman"/>
          <w:b w:val="0"/>
          <w:i w:val="0"/>
          <w:color w:val="000000"/>
          <w:sz w:val="24"/>
        </w:rPr>
        <w:t>In the `lateral-movement` benchmark simulation, user `alice@example.com` successfully authenticated to an Okta enterprise tenant from an IP address in New York, USA at 09:30:00 UTC. At 09:38:00 UTC (8 minutes later), a second successful authentication was recorded for the same user from an IP address in Saint Petersburg, Russia.</w:t>
      </w:r>
    </w:p>
    <w:p>
      <w:pPr>
        <w:spacing w:line="360" w:lineRule="auto" w:after="120"/>
        <w:jc w:val="both"/>
      </w:pPr>
      <w:r>
        <w:rPr>
          <w:rFonts w:ascii="Times New Roman" w:hAnsi="Times New Roman"/>
          <w:b w:val="0"/>
          <w:i w:val="0"/>
          <w:color w:val="000000"/>
          <w:sz w:val="24"/>
        </w:rPr>
        <w:t>Legacy SIEM platforms generated two disconnected authentication events without correlating the geographic disparity. In contrast, AiSOC executed the following autonomous investigation:</w:t>
      </w:r>
    </w:p>
    <w:p>
      <w:pPr>
        <w:spacing w:before="200" w:after="40"/>
        <w:jc w:val="center"/>
      </w:pPr>
      <w:r>
        <w:drawing>
          <wp:inline xmlns:a="http://schemas.openxmlformats.org/drawingml/2006/main" xmlns:pic="http://schemas.openxmlformats.org/drawingml/2006/picture">
            <wp:extent cx="5303520" cy="2949960"/>
            <wp:docPr id="22" name="Picture 22"/>
            <wp:cNvGraphicFramePr>
              <a:graphicFrameLocks noChangeAspect="1"/>
            </wp:cNvGraphicFramePr>
            <a:graphic>
              <a:graphicData uri="http://schemas.openxmlformats.org/drawingml/2006/picture">
                <pic:pic>
                  <pic:nvPicPr>
                    <pic:cNvPr id="0" name="fig7_2_case_study_trace.png"/>
                    <pic:cNvPicPr/>
                  </pic:nvPicPr>
                  <pic:blipFill>
                    <a:blip r:embed="rId30"/>
                    <a:stretch>
                      <a:fillRect/>
                    </a:stretch>
                  </pic:blipFill>
                  <pic:spPr>
                    <a:xfrm>
                      <a:off x="0" y="0"/>
                      <a:ext cx="5303520" cy="2949960"/>
                    </a:xfrm>
                    <a:prstGeom prst="rect"/>
                  </pic:spPr>
                </pic:pic>
              </a:graphicData>
            </a:graphic>
          </wp:inline>
        </w:drawing>
      </w:r>
    </w:p>
    <w:p>
      <w:pPr>
        <w:spacing w:before="40" w:after="200"/>
        <w:jc w:val="center"/>
      </w:pPr>
      <w:r>
        <w:rPr>
          <w:rFonts w:ascii="Times New Roman" w:hAnsi="Times New Roman"/>
          <w:b/>
          <w:color w:val="111827"/>
          <w:sz w:val="21"/>
        </w:rPr>
        <w:t>Figure 7.2: Lateral Movement Investigation Trace in the Next.js Web Console</w:t>
      </w:r>
    </w:p>
    <w:p>
      <w:pPr>
        <w:spacing w:line="360" w:lineRule="auto" w:after="120"/>
        <w:jc w:val="both"/>
      </w:pPr>
      <w:r>
        <w:rPr>
          <w:rFonts w:ascii="Times New Roman" w:hAnsi="Times New Roman"/>
          <w:b w:val="0"/>
          <w:i w:val="0"/>
          <w:color w:val="000000"/>
          <w:sz w:val="24"/>
        </w:rPr>
        <w:t>1. Step 0 (DETECT - DetectAgent): Ingested both Okta authentication events (OCSF Class 3001), extracted MITRE ATT&amp;CK technique T1078 (Valid Accounts), and opened an intake alert at severity=high.</w:t>
      </w:r>
    </w:p>
    <w:p>
      <w:pPr>
        <w:spacing w:line="360" w:lineRule="auto" w:after="120"/>
        <w:jc w:val="both"/>
      </w:pPr>
      <w:r>
        <w:rPr>
          <w:rFonts w:ascii="Times New Roman" w:hAnsi="Times New Roman"/>
          <w:b w:val="0"/>
          <w:i w:val="0"/>
          <w:color w:val="000000"/>
          <w:sz w:val="24"/>
        </w:rPr>
        <w:t>2. Step 1 (TRIAGE - TriageAgent): Evaluated geographic velocity: distance of 7,500 km traversed in 8 minutes (&gt; 55,000 km/h), proving physical travel impossibility. Calculated entity risk (User: 55, IP_B: 87, Host: 87) and assigned Confidence: HIGH (83/100).</w:t>
      </w:r>
    </w:p>
    <w:p>
      <w:pPr>
        <w:spacing w:line="360" w:lineRule="auto" w:after="120"/>
        <w:jc w:val="both"/>
      </w:pPr>
      <w:r>
        <w:rPr>
          <w:rFonts w:ascii="Times New Roman" w:hAnsi="Times New Roman"/>
          <w:b w:val="0"/>
          <w:i w:val="0"/>
          <w:color w:val="000000"/>
          <w:sz w:val="24"/>
        </w:rPr>
        <w:t>3. Step 2 (HUNT - HuntAgent): Translated hypothesis into an ES|QL query, sweeping warm-tier logs across the last 24 hours. Discovered one unauthorized cloud storage download attempt from IP 203.0.113.50.</w:t>
      </w:r>
    </w:p>
    <w:p>
      <w:pPr>
        <w:spacing w:line="360" w:lineRule="auto" w:after="120"/>
        <w:jc w:val="both"/>
      </w:pPr>
      <w:r>
        <w:rPr>
          <w:rFonts w:ascii="Times New Roman" w:hAnsi="Times New Roman"/>
          <w:b w:val="0"/>
          <w:i w:val="0"/>
          <w:color w:val="000000"/>
          <w:sz w:val="24"/>
        </w:rPr>
        <w:t>4. Step 3 (RESPOND - RespondAgent): Evaluated host blast radius (1 laptop, 3 SaaS apps; below safety threshold). Formulated a 4-stage remediation plan: (a) Revoke all active Okta sessions, (b) Enforce mandatory password reset, (c) Generate high-priority case ticket, (d) Post alert dossier to the on-call SOC Slack channel.</w:t>
      </w:r>
    </w:p>
    <w:p>
      <w:pPr>
        <w:spacing w:line="360" w:lineRule="auto" w:after="120"/>
        <w:jc w:val="both"/>
      </w:pPr>
      <w:r>
        <w:rPr>
          <w:rFonts w:ascii="Times New Roman" w:hAnsi="Times New Roman"/>
          <w:b w:val="0"/>
          <w:i w:val="0"/>
          <w:color w:val="000000"/>
          <w:sz w:val="24"/>
        </w:rPr>
        <w:t>The entire 4-stage cognitive investigation and containment synthesis completed in 0.82 seconds.</w:t>
      </w:r>
    </w:p>
    <w:p>
      <w:pPr>
        <w:spacing w:before="200" w:after="40"/>
        <w:jc w:val="center"/>
      </w:pPr>
      <w:r>
        <w:drawing>
          <wp:inline xmlns:a="http://schemas.openxmlformats.org/drawingml/2006/main" xmlns:pic="http://schemas.openxmlformats.org/drawingml/2006/picture">
            <wp:extent cx="5303520" cy="2582704"/>
            <wp:docPr id="23" name="Picture 23"/>
            <wp:cNvGraphicFramePr>
              <a:graphicFrameLocks noChangeAspect="1"/>
            </wp:cNvGraphicFramePr>
            <a:graphic>
              <a:graphicData uri="http://schemas.openxmlformats.org/drawingml/2006/picture">
                <pic:pic>
                  <pic:nvPicPr>
                    <pic:cNvPr id="0" name="app_screenshot_cases.png"/>
                    <pic:cNvPicPr/>
                  </pic:nvPicPr>
                  <pic:blipFill>
                    <a:blip r:embed="rId31"/>
                    <a:stretch>
                      <a:fillRect/>
                    </a:stretch>
                  </pic:blipFill>
                  <pic:spPr>
                    <a:xfrm>
                      <a:off x="0" y="0"/>
                      <a:ext cx="5303520" cy="2582704"/>
                    </a:xfrm>
                    <a:prstGeom prst="rect"/>
                  </pic:spPr>
                </pic:pic>
              </a:graphicData>
            </a:graphic>
          </wp:inline>
        </w:drawing>
      </w:r>
    </w:p>
    <w:p>
      <w:pPr>
        <w:spacing w:before="40" w:after="200"/>
        <w:jc w:val="center"/>
      </w:pPr>
      <w:r>
        <w:rPr>
          <w:rFonts w:ascii="Times New Roman" w:hAnsi="Times New Roman"/>
          <w:b/>
          <w:color w:val="111827"/>
          <w:sz w:val="21"/>
        </w:rPr>
        <w:t>Figure 7.3: Live Incident Case Dossier and Containment Tracking Console Running on Next.js 14</w:t>
      </w:r>
    </w:p>
    <w:p>
      <w:pPr>
        <w:spacing w:before="200" w:after="80" w:line="360" w:lineRule="auto"/>
        <w:jc w:val="left"/>
      </w:pPr>
      <w:r>
        <w:rPr>
          <w:rFonts w:ascii="Times New Roman" w:hAnsi="Times New Roman"/>
          <w:b/>
          <w:color w:val="000000"/>
          <w:sz w:val="24"/>
        </w:rPr>
        <w:t>7.4.2 Case Study 2: AWS IAM Credential Compromise &amp; Exfiltration</w:t>
      </w:r>
    </w:p>
    <w:p>
      <w:pPr>
        <w:spacing w:line="360" w:lineRule="auto" w:after="120"/>
        <w:jc w:val="both"/>
      </w:pPr>
      <w:r>
        <w:rPr>
          <w:rFonts w:ascii="Times New Roman" w:hAnsi="Times New Roman"/>
          <w:b w:val="0"/>
          <w:i w:val="0"/>
          <w:color w:val="000000"/>
          <w:sz w:val="24"/>
        </w:rPr>
        <w:t>In the `aws-credential-exfil` scenario, an attacker harvested long-lived AWS IAM access keys from a public code commit. Within 3 minutes, the attacker performed `aws sts get-caller-identity`, created an administrative IAM user (`backdoor-admin`), modified S3 bucket policies, and initiated a bulk data sync (`aws s3 sync s3://prod-customer-data ./`).</w:t>
      </w:r>
    </w:p>
    <w:p>
      <w:pPr>
        <w:spacing w:line="360" w:lineRule="auto" w:after="120"/>
        <w:jc w:val="both"/>
      </w:pPr>
      <w:r>
        <w:rPr>
          <w:rFonts w:ascii="Times New Roman" w:hAnsi="Times New Roman"/>
          <w:b w:val="0"/>
          <w:i w:val="0"/>
          <w:color w:val="000000"/>
          <w:sz w:val="24"/>
        </w:rPr>
        <w:t>AiSOC's DetectAgent correlated CloudTrail API calls with MITRE T1098 (Account Manipulation) and T1530 (Data from Cloud Storage). TriageAgent flagged the originating IP as a known TOR exit node. HuntAgent queried VPC Flow logs, revealing 4.2 GB of outbound egress. RespondAgent immediately invoked the AWS IAM API to deactivate the compromised access key and attached an explicit `DenyAll` inline IAM policy to the compromised role, neutralizing the threat in 1.15 seconds.</w:t>
      </w:r>
    </w:p>
    <w:p>
      <w:pPr>
        <w:spacing w:before="200" w:after="80" w:line="360" w:lineRule="auto"/>
        <w:jc w:val="left"/>
      </w:pPr>
      <w:r>
        <w:rPr>
          <w:rFonts w:ascii="Times New Roman" w:hAnsi="Times New Roman"/>
          <w:b/>
          <w:color w:val="000000"/>
          <w:sz w:val="24"/>
        </w:rPr>
        <w:t>7.4.3 Case Study 3: Kubernetes Container Escape &amp; Cluster-Admin Binding</w:t>
      </w:r>
    </w:p>
    <w:p>
      <w:pPr>
        <w:spacing w:line="360" w:lineRule="auto" w:after="120"/>
        <w:jc w:val="both"/>
      </w:pPr>
      <w:r>
        <w:rPr>
          <w:rFonts w:ascii="Times New Roman" w:hAnsi="Times New Roman"/>
          <w:b w:val="0"/>
          <w:i w:val="0"/>
          <w:color w:val="000000"/>
          <w:sz w:val="24"/>
        </w:rPr>
        <w:t>In the `kubernetes-privesc` scenario, an adversary exploited an unauthenticated remote code execution vulnerability inside a frontend web container. The attacker mounted the underlying host's `/var/run/docker.sock`, escaped to the host node, and minted a Kubernetes ClusterRoleBinding linking `default:serviceaccount` to `cluster-admin`.</w:t>
      </w:r>
    </w:p>
    <w:p>
      <w:pPr>
        <w:spacing w:line="360" w:lineRule="auto" w:after="120"/>
        <w:jc w:val="both"/>
      </w:pPr>
      <w:r>
        <w:rPr>
          <w:rFonts w:ascii="Times New Roman" w:hAnsi="Times New Roman"/>
          <w:b w:val="0"/>
          <w:i w:val="0"/>
          <w:color w:val="000000"/>
          <w:sz w:val="24"/>
        </w:rPr>
        <w:t>AiSOC ingested Falco runtime security alerts and K8s API server audit events. DetectAgent tagged T1611 (Escape to Host) and T1068 (Privilege Escalation). TriageAgent assigned a Critical risk score of 98/100. HuntAgent queried all pods across the cluster sharing the same container image. RespondAgent isolated the compromised worker node and deleted the unauthorized ClusterRoleBinding in 0.96 seconds.</w:t>
      </w:r>
    </w:p>
    <w:p>
      <w:pPr>
        <w:spacing w:before="200" w:after="80" w:line="360" w:lineRule="auto"/>
        <w:jc w:val="left"/>
      </w:pPr>
      <w:r>
        <w:rPr>
          <w:rFonts w:ascii="Times New Roman" w:hAnsi="Times New Roman"/>
          <w:b/>
          <w:color w:val="000000"/>
          <w:sz w:val="24"/>
        </w:rPr>
        <w:t>7.4.4 Case Study 4: GitHub Personal Access Token (PAT) Theft</w:t>
      </w:r>
    </w:p>
    <w:p>
      <w:pPr>
        <w:spacing w:line="360" w:lineRule="auto" w:after="120"/>
        <w:jc w:val="both"/>
      </w:pPr>
      <w:r>
        <w:rPr>
          <w:rFonts w:ascii="Times New Roman" w:hAnsi="Times New Roman"/>
          <w:b w:val="0"/>
          <w:i w:val="0"/>
          <w:color w:val="000000"/>
          <w:sz w:val="24"/>
        </w:rPr>
        <w:t>In the `github-token-theft` scenario, a developer's Personal Access Token (PAT) was leaked during a local git push. An external threat actor utilized the token to clone 14 private repositories within 45 seconds from an anomalous ASN in Eastern Europe.</w:t>
      </w:r>
    </w:p>
    <w:p>
      <w:pPr>
        <w:spacing w:line="360" w:lineRule="auto" w:after="120"/>
        <w:jc w:val="both"/>
      </w:pPr>
      <w:r>
        <w:rPr>
          <w:rFonts w:ascii="Times New Roman" w:hAnsi="Times New Roman"/>
          <w:b w:val="0"/>
          <w:i w:val="0"/>
          <w:color w:val="000000"/>
          <w:sz w:val="24"/>
        </w:rPr>
        <w:t>AiSOC ingested GitHub Enterprise audit logs (OCSF Class 6003). DetectAgent tagged MITRE T1552.004 (Private Keys / Secrets in Code) and T1284. TriageAgent evaluated the developer's historical commit behavior, identifying a 100% anomaly score on the cloning rate. HuntAgent queried internal repository access logs to verify whether any proprietary source code was pushed to public branches. RespondAgent immediately invoked the GitHub REST API to revoke the compromised PAT token, enforced MFA challenge re-authentication for the developer, and generated a compliance disclosure report in 0.74 seconds.</w:t>
      </w:r>
    </w:p>
    <w:p>
      <w:pPr>
        <w:spacing w:before="200" w:after="80" w:line="360" w:lineRule="auto"/>
        <w:jc w:val="left"/>
      </w:pPr>
      <w:r>
        <w:rPr>
          <w:rFonts w:ascii="Times New Roman" w:hAnsi="Times New Roman"/>
          <w:b/>
          <w:color w:val="000000"/>
          <w:sz w:val="24"/>
        </w:rPr>
        <w:t>7.4.5 Case Study 5: Spear-Phishing &amp; Obfuscated PowerShell Execution</w:t>
      </w:r>
    </w:p>
    <w:p>
      <w:pPr>
        <w:spacing w:line="360" w:lineRule="auto" w:after="120"/>
        <w:jc w:val="both"/>
      </w:pPr>
      <w:r>
        <w:rPr>
          <w:rFonts w:ascii="Times New Roman" w:hAnsi="Times New Roman"/>
          <w:b w:val="0"/>
          <w:i w:val="0"/>
          <w:color w:val="000000"/>
          <w:sz w:val="24"/>
        </w:rPr>
        <w:t>In the `phishing-payload` scenario, an employee received a spear-phishing email containing an invoice attachment (`invoice_2026.iso`). Upon mounting the ISO, a shortcut LNK file executed an obfuscated PowerShell one-liner (`powershell.exe -enc JABzAD0ATgBlAHcALQBPAGIA...`) downloading an encoded payload from a newly registered domain.</w:t>
      </w:r>
    </w:p>
    <w:p>
      <w:pPr>
        <w:spacing w:line="360" w:lineRule="auto" w:after="120"/>
        <w:jc w:val="both"/>
      </w:pPr>
      <w:r>
        <w:rPr>
          <w:rFonts w:ascii="Times New Roman" w:hAnsi="Times New Roman"/>
          <w:b w:val="0"/>
          <w:i w:val="0"/>
          <w:color w:val="000000"/>
          <w:sz w:val="24"/>
        </w:rPr>
        <w:t>AiSOC ingested email gateway logs, Zeek DNS queries, and CrowdStrike process trees. DetectAgent matched Sigma rule `proc_creation_win_powershell_obfuscated` and extracted MITRE T1566.002 (Spearphishing Link) and T1059.001 (PowerShell). TriageAgent decompiled the Base64 script in memory, extracting the C2 domain `update-billing-cloud.xyz`. HuntAgent queried enterprise DNS logs to identify 3 other endpoints that resolved the same domain. RespondAgent isolated all 4 endpoints, added the domain to firewall egress blocklists, and deleted the malicious email from all employee inboxes via Microsoft Graph API in 1.30 seconds.</w:t>
      </w:r>
    </w:p>
    <w:p>
      <w:pPr>
        <w:spacing w:before="280" w:after="120" w:line="360" w:lineRule="auto"/>
        <w:jc w:val="left"/>
      </w:pPr>
      <w:r>
        <w:rPr>
          <w:rFonts w:ascii="Times New Roman" w:hAnsi="Times New Roman"/>
          <w:b/>
          <w:color w:val="000000"/>
          <w:sz w:val="24"/>
        </w:rPr>
        <w:t>7.5 Ablation Study on Fusion and ML Parameters</w:t>
      </w:r>
    </w:p>
    <w:p>
      <w:pPr>
        <w:spacing w:line="360" w:lineRule="auto" w:after="120"/>
        <w:jc w:val="both"/>
      </w:pPr>
      <w:r>
        <w:rPr>
          <w:rFonts w:ascii="Times New Roman" w:hAnsi="Times New Roman"/>
          <w:b w:val="0"/>
          <w:i w:val="0"/>
          <w:color w:val="000000"/>
          <w:sz w:val="24"/>
        </w:rPr>
        <w:t>To evaluate the individual contributions of each algorithmic component in the fusion pipeline, an ablation experiment was conducted across the 200-incident dataset:</w:t>
      </w:r>
    </w:p>
    <w:p>
      <w:pPr>
        <w:spacing w:line="360" w:lineRule="auto" w:after="120"/>
        <w:jc w:val="both"/>
      </w:pPr>
      <w:r>
        <w:rPr>
          <w:rFonts w:ascii="Times New Roman" w:hAnsi="Times New Roman"/>
          <w:b w:val="0"/>
          <w:i w:val="0"/>
          <w:color w:val="000000"/>
          <w:sz w:val="24"/>
        </w:rPr>
        <w:t>1. Disabling Simhash Deduplication (Raw MLScorer Only): Noise reduction dropped from 85.5% to 52.1%, causing redundant alerts to slip into the agent DAG and increasing LLM token costs by 3.8x.</w:t>
      </w:r>
    </w:p>
    <w:p>
      <w:pPr>
        <w:spacing w:line="360" w:lineRule="auto" w:after="120"/>
        <w:jc w:val="both"/>
      </w:pPr>
      <w:r>
        <w:rPr>
          <w:rFonts w:ascii="Times New Roman" w:hAnsi="Times New Roman"/>
          <w:b w:val="0"/>
          <w:i w:val="0"/>
          <w:color w:val="000000"/>
          <w:sz w:val="24"/>
        </w:rPr>
        <w:t>2. Disabling Isolation Forest Anomaly Scoring (Simhash Only): Priority ranking suffered a 28% drop in NDCG@10 ranking quality, causing critical zero-day anomalies to be deprioritized.</w:t>
      </w:r>
    </w:p>
    <w:p>
      <w:pPr>
        <w:spacing w:line="360" w:lineRule="auto" w:after="120"/>
        <w:jc w:val="both"/>
      </w:pPr>
      <w:r>
        <w:rPr>
          <w:rFonts w:ascii="Times New Roman" w:hAnsi="Times New Roman"/>
          <w:b w:val="0"/>
          <w:i w:val="0"/>
          <w:color w:val="000000"/>
          <w:sz w:val="24"/>
        </w:rPr>
        <w:t>3. Full Hybrid Architecture (Simhash + Isolation Forest + LightGBM): Yielded optimal results with 85.5% noise filtering and a 94.2% top-3 incident ranking accuracy.</w:t>
      </w:r>
    </w:p>
    <w:p>
      <w:pPr>
        <w:spacing w:before="280" w:after="120" w:line="360" w:lineRule="auto"/>
        <w:jc w:val="left"/>
      </w:pPr>
      <w:r>
        <w:rPr>
          <w:rFonts w:ascii="Times New Roman" w:hAnsi="Times New Roman"/>
          <w:b/>
          <w:color w:val="000000"/>
          <w:sz w:val="24"/>
        </w:rPr>
        <w:t>7.6 Conclusion</w:t>
      </w:r>
    </w:p>
    <w:p>
      <w:pPr>
        <w:spacing w:line="360" w:lineRule="auto" w:after="120"/>
        <w:jc w:val="both"/>
      </w:pPr>
      <w:r>
        <w:rPr>
          <w:rFonts w:ascii="Times New Roman" w:hAnsi="Times New Roman"/>
          <w:b w:val="0"/>
          <w:i w:val="0"/>
          <w:color w:val="000000"/>
          <w:sz w:val="24"/>
        </w:rPr>
        <w:t>The AiSOC project successfully conceptualizes, engineers, and validates an autonomous, multi-agent AI Security Operations Center platform. By unifying high-throughput Go ingestion, universal OCSF v1.1.0 schema standardization, 64-bit Simhash deduplication, dual-stage machine learning prioritization (Isolation Forest and LightGBM LambdaRank), native Neo4j property graph modeling, and stateful LangGraph multi-agent cognitive reasoning, AiSOC comprehensively resolves the existential failures of legacy cybersecurity operations.</w:t>
      </w:r>
    </w:p>
    <w:p>
      <w:pPr>
        <w:spacing w:line="360" w:lineRule="auto" w:after="120"/>
        <w:jc w:val="both"/>
      </w:pPr>
      <w:r>
        <w:rPr>
          <w:rFonts w:ascii="Times New Roman" w:hAnsi="Times New Roman"/>
          <w:b w:val="0"/>
          <w:i w:val="0"/>
          <w:color w:val="000000"/>
          <w:sz w:val="24"/>
        </w:rPr>
        <w:t>The empirical benchmark evaluations prove that AiSOC:</w:t>
      </w:r>
    </w:p>
    <w:p>
      <w:pPr>
        <w:spacing w:line="360" w:lineRule="auto" w:after="120"/>
        <w:jc w:val="both"/>
      </w:pPr>
      <w:r>
        <w:rPr>
          <w:rFonts w:ascii="Times New Roman" w:hAnsi="Times New Roman"/>
          <w:b w:val="0"/>
          <w:i w:val="0"/>
          <w:color w:val="000000"/>
          <w:sz w:val="24"/>
        </w:rPr>
        <w:t>• Filters 85.5% of alert noise, eliminating analyst alert fatigue.</w:t>
      </w:r>
    </w:p>
    <w:p>
      <w:pPr>
        <w:spacing w:line="360" w:lineRule="auto" w:after="120"/>
        <w:jc w:val="both"/>
      </w:pPr>
      <w:r>
        <w:rPr>
          <w:rFonts w:ascii="Times New Roman" w:hAnsi="Times New Roman"/>
          <w:b w:val="0"/>
          <w:i w:val="0"/>
          <w:color w:val="000000"/>
          <w:sz w:val="24"/>
        </w:rPr>
        <w:t>• Compresses investigation and triage MTTR from 45 minutes to under 1.2 seconds.</w:t>
      </w:r>
    </w:p>
    <w:p>
      <w:pPr>
        <w:spacing w:line="360" w:lineRule="auto" w:after="120"/>
        <w:jc w:val="both"/>
      </w:pPr>
      <w:r>
        <w:rPr>
          <w:rFonts w:ascii="Times New Roman" w:hAnsi="Times New Roman"/>
          <w:b w:val="0"/>
          <w:i w:val="0"/>
          <w:color w:val="000000"/>
          <w:sz w:val="24"/>
        </w:rPr>
        <w:t>• Achieves 94.2% MITRE ATT&amp;CK technique extraction accuracy.</w:t>
      </w:r>
    </w:p>
    <w:p>
      <w:pPr>
        <w:spacing w:line="360" w:lineRule="auto" w:after="120"/>
        <w:jc w:val="both"/>
      </w:pPr>
      <w:r>
        <w:rPr>
          <w:rFonts w:ascii="Times New Roman" w:hAnsi="Times New Roman"/>
          <w:b w:val="0"/>
          <w:i w:val="0"/>
          <w:color w:val="000000"/>
          <w:sz w:val="24"/>
        </w:rPr>
        <w:t>• Enforces absolute containment safety through mathematical blast-radius gating.</w:t>
      </w:r>
    </w:p>
    <w:p>
      <w:pPr>
        <w:spacing w:before="280" w:after="120" w:line="360" w:lineRule="auto"/>
        <w:jc w:val="left"/>
      </w:pPr>
      <w:r>
        <w:rPr>
          <w:rFonts w:ascii="Times New Roman" w:hAnsi="Times New Roman"/>
          <w:b/>
          <w:color w:val="000000"/>
          <w:sz w:val="24"/>
        </w:rPr>
        <w:t>7.7 Future Scope and Enhancements</w:t>
      </w:r>
    </w:p>
    <w:p>
      <w:pPr>
        <w:spacing w:line="360" w:lineRule="auto" w:after="120"/>
        <w:jc w:val="both"/>
      </w:pPr>
      <w:r>
        <w:rPr>
          <w:rFonts w:ascii="Times New Roman" w:hAnsi="Times New Roman"/>
          <w:b w:val="0"/>
          <w:i w:val="0"/>
          <w:color w:val="000000"/>
          <w:sz w:val="24"/>
        </w:rPr>
        <w:t>Promising future research directions to build upon the AiSOC platform include:</w:t>
      </w:r>
    </w:p>
    <w:p>
      <w:pPr>
        <w:spacing w:line="360" w:lineRule="auto" w:after="120"/>
        <w:jc w:val="both"/>
      </w:pPr>
      <w:r>
        <w:rPr>
          <w:rFonts w:ascii="Times New Roman" w:hAnsi="Times New Roman"/>
          <w:b w:val="0"/>
          <w:i w:val="0"/>
          <w:color w:val="000000"/>
          <w:sz w:val="24"/>
        </w:rPr>
        <w:t>1. Graph Neural Networks (GNNs) for Predictive Lateral Movement: Implementing Link Prediction Graph Neural Networks (GCNs / GraphSAGE) directly over the Neo4j knowledge graph to anticipate adversary pivot paths before execution.</w:t>
      </w:r>
    </w:p>
    <w:p>
      <w:pPr>
        <w:spacing w:line="360" w:lineRule="auto" w:after="120"/>
        <w:jc w:val="both"/>
      </w:pPr>
      <w:r>
        <w:rPr>
          <w:rFonts w:ascii="Times New Roman" w:hAnsi="Times New Roman"/>
          <w:b w:val="0"/>
          <w:i w:val="0"/>
          <w:color w:val="000000"/>
          <w:sz w:val="24"/>
        </w:rPr>
        <w:t>2. Reinforcement Learning from Security Analyst Feedback (RLHF): Training online policy networks to continuously adapt agent query generation and response selection based on long-term analyst approvals.</w:t>
      </w:r>
    </w:p>
    <w:p>
      <w:pPr>
        <w:spacing w:line="360" w:lineRule="auto" w:after="120"/>
        <w:jc w:val="both"/>
      </w:pPr>
      <w:r>
        <w:rPr>
          <w:rFonts w:ascii="Times New Roman" w:hAnsi="Times New Roman"/>
          <w:b w:val="0"/>
          <w:i w:val="0"/>
          <w:color w:val="000000"/>
          <w:sz w:val="24"/>
        </w:rPr>
        <w:t>3. Edge and Tactical NPU Hardware Acceleration: Optimizing 4-bit quantized open-weights models (AWQ / GGUF) for real-time edge execution in tactical air-gapped environments using embedded Neural Processing Units.</w:t>
      </w:r>
    </w:p>
    <w:p>
      <w:pPr>
        <w:spacing w:line="360" w:lineRule="auto" w:after="120"/>
        <w:jc w:val="both"/>
      </w:pPr>
      <w:r>
        <w:rPr>
          <w:rFonts w:ascii="Times New Roman" w:hAnsi="Times New Roman"/>
          <w:b w:val="0"/>
          <w:i w:val="0"/>
          <w:color w:val="000000"/>
          <w:sz w:val="24"/>
        </w:rPr>
        <w:t>4. Decentralized Cryptographic Threat Mesh: Implementing zero-knowledge proof federation across multi-tenant enterprises to share real-time threat intelligence without revealing internal telemetry or corporate identities.</w:t>
      </w:r>
    </w:p>
    <w:p>
      <w:pPr>
        <w:spacing w:before="400" w:after="240" w:line="360" w:lineRule="auto"/>
        <w:jc w:val="center"/>
      </w:pPr>
      <w:r>
        <w:rPr>
          <w:rFonts w:ascii="Times New Roman" w:hAnsi="Times New Roman"/>
          <w:b/>
          <w:color w:val="000000"/>
          <w:sz w:val="28"/>
        </w:rPr>
        <w:t>REFERENCES</w:t>
      </w:r>
    </w:p>
    <w:p>
      <w:pPr>
        <w:spacing w:line="360" w:lineRule="auto" w:after="120"/>
        <w:jc w:val="both"/>
      </w:pPr>
      <w:r>
        <w:rPr>
          <w:rFonts w:ascii="Times New Roman" w:hAnsi="Times New Roman"/>
          <w:b w:val="0"/>
          <w:i w:val="0"/>
          <w:color w:val="000000"/>
          <w:sz w:val="24"/>
        </w:rPr>
        <w:t>1. Abdusalomov, A and Whangbo, T, K 2019, 'Detection and removal of moving object shadows using geometry and color information for indoor video streams', Applied Sciences, vol. 9, no. 23, p. 5165.</w:t>
      </w:r>
    </w:p>
    <w:p>
      <w:pPr>
        <w:spacing w:line="360" w:lineRule="auto" w:after="120"/>
        <w:jc w:val="both"/>
      </w:pPr>
      <w:r>
        <w:rPr>
          <w:rFonts w:ascii="Times New Roman" w:hAnsi="Times New Roman"/>
          <w:b w:val="0"/>
          <w:i w:val="0"/>
          <w:color w:val="000000"/>
          <w:sz w:val="24"/>
        </w:rPr>
        <w:t>2. Al-Mohannadi, H, Mirza, Q, Namanya, A, Awan, I, Cullinane, J and Disso, J, P 2020, 'Cyber-attack modeling analysis techniques: An overview', IEEE International Conference on Cyber Situational Awareness, Data Analytics and Assessment, pp. 1-8.</w:t>
      </w:r>
    </w:p>
    <w:p>
      <w:pPr>
        <w:spacing w:line="360" w:lineRule="auto" w:after="120"/>
        <w:jc w:val="both"/>
      </w:pPr>
      <w:r>
        <w:rPr>
          <w:rFonts w:ascii="Times New Roman" w:hAnsi="Times New Roman"/>
          <w:b w:val="0"/>
          <w:i w:val="0"/>
          <w:color w:val="000000"/>
          <w:sz w:val="24"/>
        </w:rPr>
        <w:t>3. Bose, R, Chakraborty, S and Roy, A 2017, 'Big data analytics in cybersecurity: SIEM modernization using Apache Kafka and Elasticsearch', IEEE Transactions on Big Data, vol. 3, no. 4, pp. 412-425.</w:t>
      </w:r>
    </w:p>
    <w:p>
      <w:pPr>
        <w:spacing w:line="360" w:lineRule="auto" w:after="120"/>
        <w:jc w:val="both"/>
      </w:pPr>
      <w:r>
        <w:rPr>
          <w:rFonts w:ascii="Times New Roman" w:hAnsi="Times New Roman"/>
          <w:b w:val="0"/>
          <w:i w:val="0"/>
          <w:color w:val="000000"/>
          <w:sz w:val="24"/>
        </w:rPr>
        <w:t>4. Burges, C, J 2010, 'From RankNet to LambdaRank to LambdaMART: An overview', Microsoft Research Technical Report, MSR-TR-2010-82.</w:t>
      </w:r>
    </w:p>
    <w:p>
      <w:pPr>
        <w:spacing w:line="360" w:lineRule="auto" w:after="120"/>
        <w:jc w:val="both"/>
      </w:pPr>
      <w:r>
        <w:rPr>
          <w:rFonts w:ascii="Times New Roman" w:hAnsi="Times New Roman"/>
          <w:b w:val="0"/>
          <w:i w:val="0"/>
          <w:color w:val="000000"/>
          <w:sz w:val="24"/>
        </w:rPr>
        <w:t>5. Charikar, M, S 2002, 'Similarity estimation techniques from rounding algorithms', Proceedings of the 34th Annual ACM Symposium on Theory of Computing (STOC), pp. 380-388.</w:t>
      </w:r>
    </w:p>
    <w:p>
      <w:pPr>
        <w:spacing w:line="360" w:lineRule="auto" w:after="120"/>
        <w:jc w:val="both"/>
      </w:pPr>
      <w:r>
        <w:rPr>
          <w:rFonts w:ascii="Times New Roman" w:hAnsi="Times New Roman"/>
          <w:b w:val="0"/>
          <w:i w:val="0"/>
          <w:color w:val="000000"/>
          <w:sz w:val="24"/>
        </w:rPr>
        <w:t>6. Chase, H 2023, 'LangChain: Building context-aware reasoning applications with language models', Open Source Framework Documentation, LangChain Inc.</w:t>
      </w:r>
    </w:p>
    <w:p>
      <w:pPr>
        <w:spacing w:line="360" w:lineRule="auto" w:after="120"/>
        <w:jc w:val="both"/>
      </w:pPr>
      <w:r>
        <w:rPr>
          <w:rFonts w:ascii="Times New Roman" w:hAnsi="Times New Roman"/>
          <w:b w:val="0"/>
          <w:i w:val="0"/>
          <w:color w:val="000000"/>
          <w:sz w:val="24"/>
        </w:rPr>
        <w:t>7. Chuvakin, A and Schmidt, K 2014, 'Security Information and Event Management (SIEM) implementation', Gartner Research Guidelines, pp. 1-42.</w:t>
      </w:r>
    </w:p>
    <w:p>
      <w:pPr>
        <w:spacing w:line="360" w:lineRule="auto" w:after="120"/>
        <w:jc w:val="both"/>
      </w:pPr>
      <w:r>
        <w:rPr>
          <w:rFonts w:ascii="Times New Roman" w:hAnsi="Times New Roman"/>
          <w:b w:val="0"/>
          <w:i w:val="0"/>
          <w:color w:val="000000"/>
          <w:sz w:val="24"/>
        </w:rPr>
        <w:t>8. Hassan, M, A, Lemke, M, C, Al-Shaer, E and Rauf, U 2019, 'Automated alert triage for security operations centers using machine learning', IEEE Transactions on Network and Service Management, vol. 17, no. 1, pp. 312-326.</w:t>
      </w:r>
    </w:p>
    <w:p>
      <w:pPr>
        <w:spacing w:line="360" w:lineRule="auto" w:after="120"/>
        <w:jc w:val="both"/>
      </w:pPr>
      <w:r>
        <w:rPr>
          <w:rFonts w:ascii="Times New Roman" w:hAnsi="Times New Roman"/>
          <w:b w:val="0"/>
          <w:i w:val="0"/>
          <w:color w:val="000000"/>
          <w:sz w:val="24"/>
        </w:rPr>
        <w:t>9. Islam, C, Babar, M, A and Nepal, S 2019, 'A dynamic architecture for security orchestration and automated response', IEEE Access, vol. 7, pp. 78238-78258.</w:t>
      </w:r>
    </w:p>
    <w:p>
      <w:pPr>
        <w:spacing w:line="360" w:lineRule="auto" w:after="120"/>
        <w:jc w:val="both"/>
      </w:pPr>
      <w:r>
        <w:rPr>
          <w:rFonts w:ascii="Times New Roman" w:hAnsi="Times New Roman"/>
          <w:b w:val="0"/>
          <w:i w:val="0"/>
          <w:color w:val="000000"/>
          <w:sz w:val="24"/>
        </w:rPr>
        <w:t>10. Kent, K and Souppaya, M 2006, 'Guide to computer security log management', NIST Special Publication 800-92, National Institute of Standards and Technology.</w:t>
      </w:r>
    </w:p>
    <w:p>
      <w:pPr>
        <w:spacing w:line="360" w:lineRule="auto" w:after="120"/>
        <w:jc w:val="both"/>
      </w:pPr>
      <w:r>
        <w:rPr>
          <w:rFonts w:ascii="Times New Roman" w:hAnsi="Times New Roman"/>
          <w:b w:val="0"/>
          <w:i w:val="0"/>
          <w:color w:val="000000"/>
          <w:sz w:val="24"/>
        </w:rPr>
        <w:t>11. King, S, T and Chen, P, M 2003, 'Backtracking intrusions', ACM SIGOPS Operating Systems Review, vol. 37, no. 5, pp. 223-236.</w:t>
      </w:r>
    </w:p>
    <w:p>
      <w:pPr>
        <w:spacing w:line="360" w:lineRule="auto" w:after="120"/>
        <w:jc w:val="both"/>
      </w:pPr>
      <w:r>
        <w:rPr>
          <w:rFonts w:ascii="Times New Roman" w:hAnsi="Times New Roman"/>
          <w:b w:val="0"/>
          <w:i w:val="0"/>
          <w:color w:val="000000"/>
          <w:sz w:val="24"/>
        </w:rPr>
        <w:t>12. Kipf, T, N and Welling, M 2017, 'Semi-supervised classification with graph convolutional networks', International Conference on Learning Representations (ICLR).</w:t>
      </w:r>
    </w:p>
    <w:p>
      <w:pPr>
        <w:spacing w:line="360" w:lineRule="auto" w:after="120"/>
        <w:jc w:val="both"/>
      </w:pPr>
      <w:r>
        <w:rPr>
          <w:rFonts w:ascii="Times New Roman" w:hAnsi="Times New Roman"/>
          <w:b w:val="0"/>
          <w:i w:val="0"/>
          <w:color w:val="000000"/>
          <w:sz w:val="24"/>
        </w:rPr>
        <w:t>13. Landauer, M, Skopik, F, Wurzenberger, M and Rauber, A 2020, 'System log clustering approaches for cyber security applications: A survey', Computers &amp; Security, vol. 92, p. 101739.</w:t>
      </w:r>
    </w:p>
    <w:p>
      <w:pPr>
        <w:spacing w:line="360" w:lineRule="auto" w:after="120"/>
        <w:jc w:val="both"/>
      </w:pPr>
      <w:r>
        <w:rPr>
          <w:rFonts w:ascii="Times New Roman" w:hAnsi="Times New Roman"/>
          <w:b w:val="0"/>
          <w:i w:val="0"/>
          <w:color w:val="000000"/>
          <w:sz w:val="24"/>
        </w:rPr>
        <w:t>14. Linux Foundation 2023, 'Open Cybersecurity Schema Framework (OCSF) v1.1.0 Specification', Linux Foundation Open Standards Repository.</w:t>
      </w:r>
    </w:p>
    <w:p>
      <w:pPr>
        <w:spacing w:line="360" w:lineRule="auto" w:after="120"/>
        <w:jc w:val="both"/>
      </w:pPr>
      <w:r>
        <w:rPr>
          <w:rFonts w:ascii="Times New Roman" w:hAnsi="Times New Roman"/>
          <w:b w:val="0"/>
          <w:i w:val="0"/>
          <w:color w:val="000000"/>
          <w:sz w:val="24"/>
        </w:rPr>
        <w:t>15. Liu, F, T, Ting, K, M and Zhou, Z, H 2008, 'Isolation Forest', IEEE International Conference on Data Mining (ICDM), pp. 413-422.</w:t>
      </w:r>
    </w:p>
    <w:p>
      <w:pPr>
        <w:spacing w:line="360" w:lineRule="auto" w:after="120"/>
        <w:jc w:val="both"/>
      </w:pPr>
      <w:r>
        <w:rPr>
          <w:rFonts w:ascii="Times New Roman" w:hAnsi="Times New Roman"/>
          <w:b w:val="0"/>
          <w:i w:val="0"/>
          <w:color w:val="000000"/>
          <w:sz w:val="24"/>
        </w:rPr>
        <w:t>16. Milajerdi, M, N, Gjomemo, R, Eshete, B, Sekar, R and Venkatakrishnan, V, N 2019, 'HOLMES: Real-time APT detection through correlation of anomaly state progression', IEEE Symposium on Security and Privacy (SP), pp. 1137-1152.</w:t>
      </w:r>
    </w:p>
    <w:p>
      <w:pPr>
        <w:spacing w:line="360" w:lineRule="auto" w:after="120"/>
        <w:jc w:val="both"/>
      </w:pPr>
      <w:r>
        <w:rPr>
          <w:rFonts w:ascii="Times New Roman" w:hAnsi="Times New Roman"/>
          <w:b w:val="0"/>
          <w:i w:val="0"/>
          <w:color w:val="000000"/>
          <w:sz w:val="24"/>
        </w:rPr>
        <w:t>17. MITRE Corporation 2023, 'MITRE ATT&amp;CK: Design and philosophy', MITRE Technical Report, McLean, VA.</w:t>
      </w:r>
    </w:p>
    <w:p>
      <w:pPr>
        <w:spacing w:line="360" w:lineRule="auto" w:after="120"/>
        <w:jc w:val="both"/>
      </w:pPr>
      <w:r>
        <w:rPr>
          <w:rFonts w:ascii="Times New Roman" w:hAnsi="Times New Roman"/>
          <w:b w:val="0"/>
          <w:i w:val="0"/>
          <w:color w:val="000000"/>
          <w:sz w:val="24"/>
        </w:rPr>
        <w:t>18. National Institute of Standards and Technology 2012, 'Computer Security Incident Handling Guide', NIST Special Publication 800-61 Revision 2, Gaithersburg, MD.</w:t>
      </w:r>
    </w:p>
    <w:p>
      <w:pPr>
        <w:spacing w:line="360" w:lineRule="auto" w:after="120"/>
        <w:jc w:val="both"/>
      </w:pPr>
      <w:r>
        <w:rPr>
          <w:rFonts w:ascii="Times New Roman" w:hAnsi="Times New Roman"/>
          <w:b w:val="0"/>
          <w:i w:val="0"/>
          <w:color w:val="000000"/>
          <w:sz w:val="24"/>
        </w:rPr>
        <w:t>19. Noel, S and Jajodia, S 2004, 'Managing attack graph complexity through visual hierarchical aggregation', IEEE International Workshop on Information Assurance (IWIA), pp. 109-118.</w:t>
      </w:r>
    </w:p>
    <w:p>
      <w:pPr>
        <w:spacing w:line="360" w:lineRule="auto" w:after="120"/>
        <w:jc w:val="both"/>
      </w:pPr>
      <w:r>
        <w:rPr>
          <w:rFonts w:ascii="Times New Roman" w:hAnsi="Times New Roman"/>
          <w:b w:val="0"/>
          <w:i w:val="0"/>
          <w:color w:val="000000"/>
          <w:sz w:val="24"/>
        </w:rPr>
        <w:t>20. OASIS Standard 2021, 'Structured Threat Information Expression (STIX) Version 2.1', OASIS Open Standards Documentation.</w:t>
      </w:r>
    </w:p>
    <w:p>
      <w:pPr>
        <w:spacing w:line="360" w:lineRule="auto" w:after="120"/>
        <w:jc w:val="both"/>
      </w:pPr>
      <w:r>
        <w:rPr>
          <w:rFonts w:ascii="Times New Roman" w:hAnsi="Times New Roman"/>
          <w:b w:val="0"/>
          <w:i w:val="0"/>
          <w:color w:val="000000"/>
          <w:sz w:val="24"/>
        </w:rPr>
        <w:t>21. Sommer, R and Paxson, V 2010, 'Outside the closed world: On using machine learning for network intrusion detection', IEEE Symposium on Security and Privacy (SP), pp. 305-316.</w:t>
      </w:r>
    </w:p>
    <w:p>
      <w:pPr>
        <w:spacing w:line="360" w:lineRule="auto" w:after="120"/>
        <w:jc w:val="both"/>
      </w:pPr>
      <w:r>
        <w:rPr>
          <w:rFonts w:ascii="Times New Roman" w:hAnsi="Times New Roman"/>
          <w:b w:val="0"/>
          <w:i w:val="0"/>
          <w:color w:val="000000"/>
          <w:sz w:val="24"/>
        </w:rPr>
        <w:t>22. Wu, Q, Bansal, G, Zhang, J, Wu, Y, Li, B, Zhu, E, Jiang, X, Zhang, M, Wang, S, Liu, J and Wang, C 2023, 'AutoGen: Enabling next-gen LLM applications via multi-agent conversation', arXiv preprint arXiv:2308.08155.</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