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AI Research Platform Setup and Workflow</w:t>
      </w:r>
    </w:p>
    <w:p>
      <w:pPr>
        <w:jc w:val="center"/>
      </w:pPr>
      <w:r>
        <w:t>Standalone local research platform for multilingual Indian legal question answering</w:t>
      </w:r>
    </w:p>
    <w:p>
      <w:pPr>
        <w:jc w:val="center"/>
      </w:pPr>
      <w:r>
        <w:t>Release scope: React + FastAPI + MongoDB + embedded Qdrant + local Ollama. MERN integration is intentionally deferred.</w:t>
      </w:r>
    </w:p>
    <w:p>
      <w:pPr>
        <w:pStyle w:val="Heading1"/>
      </w:pPr>
      <w:r>
        <w:t>What this release provides</w:t>
      </w:r>
    </w:p>
    <w:p>
      <w:r>
        <w:t>This release preserves the existing knowledge-base, chat, LLM-only, RAG-only, comparison, dataset and experiment features. It adds safer ingestion status handling, structure-aware legal provenance, source-fingerprinted benchmarks, multilingual group review, reproducible experiment manifests, retrieval calibration support, complete exports and answer-evaluation workflow.</w:t>
      </w:r>
    </w:p>
    <w:tbl>
      <w:tblPr>
        <w:tblStyle w:val="LightShading-Accent1"/>
        <w:tblW w:type="auto" w:w="0"/>
        <w:jc w:val="center"/>
        <w:tblLook w:firstColumn="1" w:firstRow="1" w:lastColumn="0" w:lastRow="0" w:noHBand="0" w:noVBand="1" w:val="04A0"/>
      </w:tblPr>
      <w:tblGrid>
        <w:gridCol w:w="4968"/>
        <w:gridCol w:w="4968"/>
      </w:tblGrid>
      <w:tr>
        <w:tc>
          <w:tcPr>
            <w:tcW w:type="dxa" w:w="4968"/>
            <w:shd w:fill="123B65"/>
          </w:tcPr>
          <w:p>
            <w:r>
              <w:rPr>
                <w:b/>
                <w:color w:val="FFFFFF"/>
              </w:rPr>
              <w:t>Area</w:t>
            </w:r>
          </w:p>
        </w:tc>
        <w:tc>
          <w:tcPr>
            <w:tcW w:type="dxa" w:w="4968"/>
            <w:shd w:fill="123B65"/>
          </w:tcPr>
          <w:p>
            <w:r>
              <w:rPr>
                <w:b/>
                <w:color w:val="FFFFFF"/>
              </w:rPr>
              <w:t>Result</w:t>
            </w:r>
          </w:p>
        </w:tc>
      </w:tr>
      <w:tr>
        <w:tc>
          <w:tcPr>
            <w:tcW w:type="dxa" w:w="4968"/>
            <w:vAlign w:val="top"/>
          </w:tcPr>
          <w:p>
            <w:r>
              <w:t>Knowledge base</w:t>
            </w:r>
          </w:p>
        </w:tc>
        <w:tc>
          <w:tcPr>
            <w:tcW w:type="dxa" w:w="4968"/>
            <w:vAlign w:val="top"/>
          </w:tcPr>
          <w:p>
            <w:r>
              <w:t>Background indexing status, failure visibility, metadata review and safe reindexing.</w:t>
            </w:r>
          </w:p>
        </w:tc>
      </w:tr>
      <w:tr>
        <w:tc>
          <w:tcPr>
            <w:tcW w:type="dxa" w:w="4968"/>
            <w:vAlign w:val="top"/>
          </w:tcPr>
          <w:p>
            <w:r>
              <w:t>Retrieval</w:t>
            </w:r>
          </w:p>
        </w:tc>
        <w:tc>
          <w:tcPr>
            <w:tcW w:type="dxa" w:w="4968"/>
            <w:vAlign w:val="top"/>
          </w:tcPr>
          <w:p>
            <w:r>
              <w:t>Calibratable evidence gate, unique-document metrics, separate candidate/final traces and safer reranking.</w:t>
            </w:r>
          </w:p>
        </w:tc>
      </w:tr>
      <w:tr>
        <w:tc>
          <w:tcPr>
            <w:tcW w:type="dxa" w:w="4968"/>
            <w:vAlign w:val="top"/>
          </w:tcPr>
          <w:p>
            <w:r>
              <w:t>Generation</w:t>
            </w:r>
          </w:p>
        </w:tc>
        <w:tc>
          <w:tcPr>
            <w:tcW w:type="dxa" w:w="4968"/>
            <w:vAlign w:val="top"/>
          </w:tcPr>
          <w:p>
            <w:r>
              <w:t>Ollama context controls, reasoning filtering and explicit rejection of truncated output.</w:t>
            </w:r>
          </w:p>
        </w:tc>
      </w:tr>
      <w:tr>
        <w:tc>
          <w:tcPr>
            <w:tcW w:type="dxa" w:w="4968"/>
            <w:vAlign w:val="top"/>
          </w:tcPr>
          <w:p>
            <w:r>
              <w:t>Dataset</w:t>
            </w:r>
          </w:p>
        </w:tc>
        <w:tc>
          <w:tcPr>
            <w:tcW w:type="dxa" w:w="4968"/>
            <w:vAlign w:val="top"/>
          </w:tcPr>
          <w:p>
            <w:r>
              <w:t>English base → Hindi/Hinglish translation groups, shared gold chunks and human approval.</w:t>
            </w:r>
          </w:p>
        </w:tc>
      </w:tr>
      <w:tr>
        <w:tc>
          <w:tcPr>
            <w:tcW w:type="dxa" w:w="4968"/>
            <w:vAlign w:val="top"/>
          </w:tcPr>
          <w:p>
            <w:r>
              <w:t>Evaluation</w:t>
            </w:r>
          </w:p>
        </w:tc>
        <w:tc>
          <w:tcPr>
            <w:tcW w:type="dxa" w:w="4968"/>
            <w:vAlign w:val="top"/>
          </w:tcPr>
          <w:p>
            <w:r>
              <w:t>Per-question manual rubric, multiple evaluators, language tables, RQ3 analysis and JSON/CSV export.</w:t>
            </w:r>
          </w:p>
        </w:tc>
      </w:tr>
    </w:tbl>
    <w:p/>
    <w:p>
      <w:pPr>
        <w:pStyle w:val="Heading1"/>
      </w:pPr>
      <w:r>
        <w:t>1. Upgrade and install</w:t>
      </w:r>
    </w:p>
    <w:p>
      <w:r>
        <w:t>Back up the existing project, backend/data, .env and MongoDB database. Stop the backend before replacing source files. Merge the supplied project folder into the existing project. Keep your existing PDFs, MongoDB records and Qdrant data; do not restore the ZIP data directory over them.</w:t>
      </w:r>
    </w:p>
    <w:p>
      <w:pPr>
        <w:pStyle w:val="NoSpacing"/>
        <w:ind w:left="360"/>
      </w:pPr>
      <w:r>
        <w:rPr>
          <w:rFonts w:ascii="Consolas" w:hAnsi="Consolas"/>
          <w:color w:val="243447"/>
          <w:sz w:val="17"/>
        </w:rPr>
        <w:t>cd backend</w:t>
        <w:br/>
        <w:t>python -m venv .venv</w:t>
        <w:br/>
        <w:t>.\.venv\Scripts\Activate.ps1</w:t>
        <w:br/>
        <w:t>python -m pip install -r requirements.txt</w:t>
        <w:br/>
        <w:t># Compare your .env with backend/.env.example</w:t>
        <w:br/>
        <w:t>python -m uvicorn app.main:app --host 127.0.0.1 --port 8000 --workers 1</w:t>
      </w:r>
    </w:p>
    <w:p>
      <w:r>
        <w:t>Run exactly one backend worker because embedded Qdrant and the process lock are designed for a single owner. Start MongoDB and Ollama first. Check that qwen3:4b is installed with ollama list; pull it only if missing. In another terminal run npm ci and npm run dev from frontend. The API is at http://localhost:8000 and the UI at http://localhost:5173.</w:t>
      </w:r>
    </w:p>
    <w:p>
      <w:r>
        <w:t>For an RTX 3050, embeddings and reranking default to CPU so Ollama has VRAM available. Set OLLAMA_NUM_GPU only after a small stability test. Do not run ingestion and chat simultaneously during the first migration.</w:t>
      </w:r>
    </w:p>
    <w:p>
      <w:pPr>
        <w:pStyle w:val="Heading1"/>
      </w:pPr>
      <w:r>
        <w:t>2. Required knowledge-base migration</w:t>
      </w:r>
    </w:p>
    <w:p>
      <w:r>
        <w:t>The new legal chunk version is legal_chunk_v2. In Knowledge base, inspect each document metadata. For the Constitution, use document_type=constitution and verify title, jurisdiction, issuing authority, source, version and legal status from the actual source. Save metadata, then click Reindex document and wait for the job to become completed/indexed. A processing, failed or OCR-required document is not eligible evidence.</w:t>
      </w:r>
    </w:p>
    <w:p>
      <w:r>
        <w:t>Reindexing can change chunk IDs and structure. Therefore every old gold_chunk_id must be regenerated and human-reviewed. Do not import the previous synthetic dataset into a final experiment without checking the new source fingerprints.</w:t>
      </w:r>
    </w:p>
    <w:p>
      <w:pPr>
        <w:pStyle w:val="Heading1"/>
      </w:pPr>
      <w:r>
        <w:t>3. Multilingual benchmark workflow</w:t>
      </w:r>
    </w:p>
    <w:p>
      <w:r>
        <w:t>Your research unit is one underlying legal question represented in three languages: English, Hindi in Devanagari and Hinglish in natural Roman Hindi mixed with English. The three rows share one group_id and the same legal intent, answerability and reviewed gold chunks. Twenty approved groups produce 60 rows; those are not 60 independent legal questions.</w:t>
      </w:r>
    </w:p>
    <w:p>
      <w:pPr>
        <w:pStyle w:val="NoSpacing"/>
        <w:ind w:left="360"/>
      </w:pPr>
      <w:r>
        <w:rPr>
          <w:rFonts w:ascii="Consolas" w:hAnsi="Consolas"/>
          <w:color w:val="243447"/>
          <w:sz w:val="17"/>
        </w:rPr>
        <w:t>cd backend</w:t>
        <w:br/>
        <w:t>python scripts/synthetic_dataset.py generate --count 3 --languages en --model qwen3:4b --domain constitutional_law --output data/exports/base_01</w:t>
      </w:r>
    </w:p>
    <w:p>
      <w:r>
        <w:t>Open base_01/review.html. Read the complete source passage, every claim and the reference answer. Approve only a complete, legally scoped English base question. Then create translations from approved English bases:</w:t>
      </w:r>
    </w:p>
    <w:p>
      <w:pPr>
        <w:pStyle w:val="NoSpacing"/>
        <w:ind w:left="360"/>
      </w:pPr>
      <w:r>
        <w:rPr>
          <w:rFonts w:ascii="Consolas" w:hAnsi="Consolas"/>
          <w:color w:val="243447"/>
          <w:sz w:val="17"/>
        </w:rPr>
        <w:t>python scripts/synthetic_dataset.py translate --run data/exports/base_01 --decisions data/exports/base_01/decisions.json --output data/exports/triplets_01</w:t>
      </w:r>
    </w:p>
    <w:p>
      <w:r>
        <w:t>Review English, Hindi and Hinglish together. Reject the entire group if any translation changes legal meaning, adds an exception, loses a condition or is not genuinely in the requested language. The machine verifier is an assistant, not legal ground truth. If you edit a question, answer or claims, run a new verification snapshot:</w:t>
      </w:r>
    </w:p>
    <w:p>
      <w:pPr>
        <w:pStyle w:val="NoSpacing"/>
        <w:ind w:left="360"/>
      </w:pPr>
      <w:r>
        <w:rPr>
          <w:rFonts w:ascii="Consolas" w:hAnsi="Consolas"/>
          <w:color w:val="243447"/>
          <w:sz w:val="17"/>
        </w:rPr>
        <w:t>python scripts/synthetic_dataset.py recheck --run data/exports/triplets_01 --decisions data/exports/triplets_01/decisions.json --output data/exports/rechecked_01</w:t>
      </w:r>
    </w:p>
    <w:p>
      <w:r>
        <w:t>Use the NEW decisions file from the rechecked snapshot. Export only after every selected group has all requested languages:</w:t>
      </w:r>
    </w:p>
    <w:p>
      <w:pPr>
        <w:pStyle w:val="NoSpacing"/>
        <w:ind w:left="360"/>
      </w:pPr>
      <w:r>
        <w:rPr>
          <w:rFonts w:ascii="Consolas" w:hAnsi="Consolas"/>
          <w:color w:val="243447"/>
          <w:sz w:val="17"/>
        </w:rPr>
        <w:t>python scripts/synthetic_dataset.py export --run data/exports/triplets_01 --decisions data/exports/triplets_01/decisions.json --output data/exports/approved_01</w:t>
      </w:r>
    </w:p>
    <w:p>
      <w:r>
        <w:t>Import only approved_dataset.json through Datasets. Never put generated questions or answers into the knowledge base. Supporting quotations remain in the source language; reference answers may be in the query language. Keep review_audit.json with the benchmark.</w:t>
      </w:r>
    </w:p>
    <w:p>
      <w:pPr>
        <w:pStyle w:val="Heading1"/>
      </w:pPr>
      <w:r>
        <w:t>4. Retrieval calibration</w:t>
      </w:r>
    </w:p>
    <w:p>
      <w:r>
        <w:t>The configured dense threshold is a starting value, not a proven legal relevance threshold. Use pilot/development questions only. Collect top candidates, read each full chunk and manually mark relevant true/false. Then run the score command to obtain a threshold suggestion. Inspect query-level false acceptance and false abstention before setting DENSE_MIN_SCORE in .env and restarting. Never tune the final benchmark on its own labels.</w:t>
      </w:r>
    </w:p>
    <w:p>
      <w:pPr>
        <w:pStyle w:val="NoSpacing"/>
        <w:ind w:left="360"/>
      </w:pPr>
      <w:r>
        <w:rPr>
          <w:rFonts w:ascii="Consolas" w:hAnsi="Consolas"/>
          <w:color w:val="243447"/>
          <w:sz w:val="17"/>
        </w:rPr>
        <w:t>python scripts/calibrate_retrieval.py collect --input data/exports/approved_01/approved_dataset.json --output data/exports/dev_candidates.json</w:t>
        <w:br/>
        <w:t># Add true/false relevance labels after reading the source</w:t>
        <w:br/>
        <w:t>python scripts/calibrate_retrieval.py score --input data/exports/dev_candidates.json --output data/exports/dev_threshold.json</w:t>
      </w:r>
    </w:p>
    <w:p>
      <w:pPr>
        <w:pStyle w:val="Heading1"/>
      </w:pPr>
      <w:r>
        <w:t>5. Run and evaluate experiments</w:t>
      </w:r>
    </w:p>
    <w:p>
      <w:r>
        <w:t>Import the reviewed dataset in Datasets. In Experiments choose Compare both and Top-K 5. At creation, the platform freezes the dataset hash, complete knowledge-base hash, source text fingerprints, code hash, dependency versions, Ollama model digest and runtime settings. If any of these change, the run is blocked instead of mixing results.</w:t>
      </w:r>
    </w:p>
    <w:p>
      <w:r>
        <w:t>Failed LLM-only and RAG branches are stored separately with error categories and timing. A failed generation is not silently counted as a correct abstention. The RAG trace distinguishes candidates before gating from final evidence after gating. Hit@K uses unique document ranks for document metrics and chunk ranks for chunk metrics; denominators are reported.</w:t>
      </w:r>
    </w:p>
    <w:p>
      <w:r>
        <w:t>Use Evaluate answers. Select a question and system, enter an evaluator name, and save the rubric. Correctness is binary: 1 only when fully correct and complete, otherwise 0. Groundedness is supported substantive claims divided by checked claims. Citation correctness is supported cited links divided by checked links. Hallucination rate is unsupported or contradicted substantive claims divided by checked claims. Leave a non-applicable field blank and record counts and reasons in notes. Multiple evaluators are retained and averaged per question.</w:t>
      </w:r>
    </w:p>
    <w:p>
      <w:r>
        <w:t>Language tables compare matched language rows. The paired group comparison treats English/Hindi/Hinglish translations as one underlying group. The RQ3 view compares retrieval success with reviewed answer quality; it is an association, not proof of causation. Download Full JSON as the authoritative export; CSV is a flattened convenience file.</w:t>
      </w:r>
    </w:p>
    <w:p>
      <w:pPr>
        <w:pStyle w:val="Heading1"/>
      </w:pPr>
      <w:r>
        <w:t>6. Validation and limitations</w:t>
      </w:r>
    </w:p>
    <w:p>
      <w:r>
        <w:t>The release was checked with 62 backend tests, 9 frontend Vitest tests and a successful production build. These are mocked/offline checks. No live Ollama generation, MongoDB migration, GPU run or legal-accuracy experiment was performed during packaging. Final corpus authority, source metadata, translations, threshold, answers and paper results still require your local review.</w:t>
      </w:r>
    </w:p>
    <w:p>
      <w:r>
        <w:t>The paper must use the standalone React/FastAPI architecture for this release, since MERN integration is deferred. Replace illustrative placeholder results only after the final reviewed experiment. Preserve the benchmark, audit, full experiment JSON and environment/model details with the paper submission materials.</w:t>
      </w:r>
    </w:p>
    <w:p>
      <w:pPr>
        <w:pStyle w:val="Heading1"/>
      </w:pPr>
      <w:r>
        <w:t>Quick checklist</w:t>
      </w:r>
    </w:p>
    <w:p>
      <w:pPr>
        <w:pStyle w:val="ListBullet"/>
      </w:pPr>
      <w:r>
        <w:t>Back up data and .env</w:t>
      </w:r>
    </w:p>
    <w:p>
      <w:pPr>
        <w:pStyle w:val="ListBullet"/>
      </w:pPr>
      <w:r>
        <w:t>Start MongoDB and Ollama; verify qwen3:4b</w:t>
      </w:r>
    </w:p>
    <w:p>
      <w:pPr>
        <w:pStyle w:val="ListBullet"/>
      </w:pPr>
      <w:r>
        <w:t>Install and run one backend worker</w:t>
      </w:r>
    </w:p>
    <w:p>
      <w:pPr>
        <w:pStyle w:val="ListBullet"/>
      </w:pPr>
      <w:r>
        <w:t>Reindex PDFs with legal_chunk_v2</w:t>
      </w:r>
    </w:p>
    <w:p>
      <w:pPr>
        <w:pStyle w:val="ListBullet"/>
      </w:pPr>
      <w:r>
        <w:t>Regenerate and review multilingual gold labels</w:t>
      </w:r>
    </w:p>
    <w:p>
      <w:pPr>
        <w:pStyle w:val="ListBullet"/>
      </w:pPr>
      <w:r>
        <w:t>Calibrate threshold on pilot/dev data</w:t>
      </w:r>
    </w:p>
    <w:p>
      <w:pPr>
        <w:pStyle w:val="ListBullet"/>
      </w:pPr>
      <w:r>
        <w:t>Run frozen compare experiment</w:t>
      </w:r>
    </w:p>
    <w:p>
      <w:pPr>
        <w:pStyle w:val="ListBullet"/>
      </w:pPr>
      <w:r>
        <w:t>Manually evaluate both systems</w:t>
      </w:r>
    </w:p>
    <w:p>
      <w:pPr>
        <w:pStyle w:val="ListBullet"/>
      </w:pPr>
      <w:r>
        <w:t>Download Full JSON and update paper tables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6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A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