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9411a4296e947a4" /><Relationship Type="http://schemas.openxmlformats.org/package/2006/relationships/metadata/core-properties" Target="/docProps/core.xml" Id="Ra4fac08d85d945f8" /><Relationship Type="http://schemas.openxmlformats.org/officeDocument/2006/relationships/extended-properties" Target="/docProps/app.xml" Id="Ref9cb9c538104f95" /><Relationship Type="http://schemas.openxmlformats.org/officeDocument/2006/relationships/custom-properties" Target="/docProps/custom.xml" Id="Rb4de87aa19194cf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2"/>
        </w:rPr>
        <w:t xml:space="preserve">Netflix Customer Churn Prediction and Data Analysis</w:t>
      </w:r>
    </w:p>
    <w:p w14:paraId="00100002" w14:textId="00100003">
      <w:pPr>
        <w:pStyle w:val="Subtitle"/>
        <w:spacing w:after="160"/>
        <w:jc w:val="center"/>
      </w:pPr>
      <w:r>
        <w:rPr>
          <w:sz w:val="32"/>
        </w:rPr>
        <w:t xml:space="preserve">IBM SkillsBuild Data Analytics with AI Academic Internship</w:t>
      </w:r>
    </w:p>
    <w:p w14:paraId="00100004" w14:textId="00100005">
      <w:pPr>
        <w:spacing w:after="160"/>
        <w:jc w:val="center"/>
      </w:pPr>
      <w:r>
        <w:rPr>
          <w:sz w:val="26"/>
        </w:rPr>
        <w:t xml:space="preserve">Submitted under BharatCares and AICTE</w:t>
      </w:r>
    </w:p>
    <w:p w14:paraId="00100006" w14:textId="00100007">
      <w:pPr>
        <w:spacing w:after="160"/>
      </w:pPr>
      <w:r>
        <w:rPr/>
        <w:t xml:space="preserve"> </w:t>
      </w:r>
    </w:p>
    <w:p w14:paraId="00100008" w14:textId="00100009">
      <w:pPr>
        <w:jc w:val="center"/>
      </w:pPr>
      <w:r>
        <w:rPr>
          <w:b/>
          <w:sz w:val="24"/>
        </w:rPr>
        <w:t xml:space="preserve">Submitted by</w:t>
      </w:r>
    </w:p>
    <w:p w14:paraId="0010000A" w14:textId="0010000B">
      <w:pPr>
        <w:spacing w:after="80"/>
        <w:jc w:val="center"/>
      </w:pPr>
      <w:r>
        <w:rPr>
          <w:sz w:val="24"/>
        </w:rPr>
        <w:t xml:space="preserve">[Your Name]</w:t>
      </w:r>
    </w:p>
    <w:p w14:paraId="0010000C" w14:textId="0010000D">
      <w:pPr>
        <w:spacing w:after="80"/>
        <w:jc w:val="center"/>
      </w:pPr>
      <w:r>
        <w:rPr>
          <w:sz w:val="24"/>
        </w:rPr>
        <w:t xml:space="preserve">[College]</w:t>
      </w:r>
    </w:p>
    <w:p w14:paraId="0010000E" w14:textId="0010000F">
      <w:pPr>
        <w:spacing w:after="80"/>
        <w:jc w:val="center"/>
      </w:pPr>
      <w:r>
        <w:rPr>
          <w:sz w:val="24"/>
        </w:rPr>
        <w:t xml:space="preserve">Department of [Department]</w:t>
      </w:r>
    </w:p>
    <w:p w14:paraId="00100010" w14:textId="00100011">
      <w:pPr>
        <w:spacing w:after="80"/>
        <w:jc w:val="center"/>
      </w:pPr>
      <w:r>
        <w:rPr>
          <w:sz w:val="24"/>
        </w:rPr>
        <w:t xml:space="preserve">[Year]</w:t>
      </w:r>
    </w:p>
    <w:p w14:paraId="00100012" w14:textId="00100013">
      <w:pPr>
        <w:spacing w:after="480"/>
        <w:jc w:val="center"/>
      </w:pPr>
      <w:r>
        <w:rPr>
          <w:sz w:val="24"/>
        </w:rPr>
        <w:t xml:space="preserve">Date: [Date]</w:t>
      </w:r>
    </w:p>
    <w:p w14:paraId="00100014" w14:textId="00100015">
      <w:pPr>
        <w:spacing w:after="160"/>
      </w:pPr>
      <w:r>
        <w:rPr/>
        <w:t xml:space="preserve"> </w:t>
      </w:r>
    </w:p>
    <w:p w14:paraId="00100016" w14:textId="00100017">
      <w:pPr>
        <w:pStyle w:val="Heading1"/>
        <w:spacing w:after="240"/>
        <w:jc w:val="center"/>
      </w:pPr>
      <w:r>
        <w:rPr>
          <w:b/>
          <w:sz w:val="36"/>
        </w:rPr>
        <w:t xml:space="preserve">CERTIFICATE</w:t>
      </w:r>
    </w:p>
    <w:p w14:paraId="00100018" w14:textId="00100019">
      <w:pPr>
        <w:spacing w:after="240"/>
      </w:pPr>
      <w:r>
        <w:rPr>
          <w:sz w:val="24"/>
        </w:rPr>
        <w:t xml:space="preserve">This is to certify that [Your Name], a student of [Department], [College], has successfully completed the IBM SkillsBuild Data Analytics with AI Academic Internship project titled "Netflix Customer Churn Prediction and Data Analysis" under the BharatCares and AICTE initiative. This project has been carried out in partial fulfilment of the internship requirements and is submitted for academic evaluation only. The work presented in this report is original and has not been submitted elsewhere for any other academic purpose.</w:t>
      </w:r>
    </w:p>
    <w:p w14:paraId="0010001A" w14:textId="0010001B">
      <w:pPr>
        <w:spacing w:after="160"/>
      </w:pPr>
      <w:r>
        <w:rPr/>
        <w:t xml:space="preserve"> </w:t>
      </w:r>
    </w:p>
    <w:p w14:paraId="0010001C" w14:textId="0010001D">
      <w:pPr>
        <w:spacing w:after="120"/>
      </w:pPr>
      <w:r>
        <w:rPr>
          <w:sz w:val="24"/>
        </w:rPr>
        <w:t xml:space="preserve">Signature of Supervisor: ___________________________</w:t>
      </w:r>
    </w:p>
    <w:p w14:paraId="0010001E" w14:textId="0010001F">
      <w:pPr>
        <w:spacing w:after="120"/>
      </w:pPr>
      <w:r>
        <w:rPr>
          <w:sz w:val="24"/>
        </w:rPr>
        <w:t xml:space="preserve">Name and Designation: ___________________________</w:t>
      </w:r>
    </w:p>
    <w:p w14:paraId="00100020" w14:textId="00100021">
      <w:pPr>
        <w:spacing w:after="480"/>
      </w:pPr>
      <w:r>
        <w:rPr>
          <w:sz w:val="24"/>
        </w:rPr>
        <w:t xml:space="preserve">Institution Seal: ___________________________</w:t>
      </w:r>
    </w:p>
    <w:p w14:paraId="00100022" w14:textId="00100023">
      <w:pPr>
        <w:spacing w:after="160"/>
      </w:pPr>
      <w:r>
        <w:rPr/>
        <w:t xml:space="preserve"> </w:t>
      </w:r>
    </w:p>
    <w:p w14:paraId="00100024" w14:textId="00100025">
      <w:pPr>
        <w:pStyle w:val="Heading1"/>
        <w:spacing w:after="240"/>
        <w:jc w:val="center"/>
      </w:pPr>
      <w:r>
        <w:rPr>
          <w:b/>
          <w:sz w:val="36"/>
        </w:rPr>
        <w:t xml:space="preserve">ACKNOWLEDGEMENT</w:t>
      </w:r>
    </w:p>
    <w:p w14:paraId="00100026" w14:textId="00100027">
      <w:pPr>
        <w:spacing w:after="160"/>
      </w:pPr>
      <w:r>
        <w:rPr>
          <w:sz w:val="24"/>
        </w:rPr>
        <w:t xml:space="preserve">I would like to express my sincere gratitude to IBM SkillsBuild, BharatCares, and AICTE for providing this invaluable opportunity to work on a real-world data analytics and machine learning project. This internship has greatly enhanced my understanding of data science methodologies and their practical applications.</w:t>
      </w:r>
    </w:p>
    <w:p w14:paraId="00100028" w14:textId="00100029">
      <w:pPr>
        <w:spacing w:after="160"/>
      </w:pPr>
      <w:r>
        <w:rPr>
          <w:sz w:val="24"/>
        </w:rPr>
        <w:t xml:space="preserve">I am grateful to my college faculty and mentors for their continuous guidance and support throughout the duration of this project. I also extend my thanks to my family and peers for their encouragement and motivation.</w:t>
      </w:r>
    </w:p>
    <w:p w14:paraId="0010002A" w14:textId="0010002B">
      <w:pPr>
        <w:spacing w:after="480"/>
      </w:pPr>
      <w:r>
        <w:rPr>
          <w:sz w:val="24"/>
        </w:rPr>
        <w:t xml:space="preserve">The knowledge and skills acquired during this internship will serve as a strong foundation for my future career in data analytics and artificial intelligence.</w:t>
      </w:r>
    </w:p>
    <w:p w14:paraId="0010002C" w14:textId="0010002D">
      <w:pPr>
        <w:spacing w:after="160"/>
      </w:pPr>
      <w:r>
        <w:rPr/>
        <w:t xml:space="preserve"> </w:t>
      </w:r>
    </w:p>
    <w:p w14:paraId="0010002E" w14:textId="0010002F">
      <w:pPr>
        <w:pStyle w:val="Heading1"/>
        <w:spacing w:after="240"/>
        <w:jc w:val="center"/>
      </w:pPr>
      <w:r>
        <w:rPr>
          <w:b/>
          <w:sz w:val="36"/>
        </w:rPr>
        <w:t xml:space="preserve">ABSTRACT</w:t>
      </w:r>
    </w:p>
    <w:p w14:paraId="00100030" w14:textId="00100031">
      <w:pPr>
        <w:spacing w:after="160"/>
      </w:pPr>
      <w:r>
        <w:rPr>
          <w:sz w:val="24"/>
        </w:rPr>
        <w:t xml:space="preserve">Customer churn — the phenomenon where subscribers cancel or discontinue using a service — is one of the most significant challenges facing subscription-based platforms such as Netflix. Retaining an existing customer is substantially more cost-effective than acquiring a new one. This project presents a complete end-to-end data analytics and machine learning pipeline to predict customer churn using a structured dataset of Netflix subscribers.</w:t>
      </w:r>
    </w:p>
    <w:p w14:paraId="00100032" w14:textId="00100033">
      <w:pPr>
        <w:spacing w:after="160"/>
      </w:pPr>
      <w:r>
        <w:rPr>
          <w:sz w:val="24"/>
        </w:rPr>
        <w:t xml:space="preserve">The dataset contains 5,000 customer records with 14 attributes including demographic information (age, gender), subscription details (subscription type, monthly fee, payment method), behavioural metrics (watch hours, last login days, average daily watch time), device usage, geographic region, number of profiles, and favourite content genre. The target variable is a binary flag labelled churned (0 = Active, 1 = Churned).</w:t>
      </w:r>
    </w:p>
    <w:p w14:paraId="00100034" w14:textId="00100035">
      <w:pPr>
        <w:spacing w:after="160"/>
      </w:pPr>
      <w:r>
        <w:rPr>
          <w:sz w:val="24"/>
        </w:rPr>
        <w:t xml:space="preserve">The pipeline encompasses data loading and inspection, data cleaning (missing value handling and duplicate removal), exploratory data analysis (EDA) with comprehensive visualisations, feature engineering (label encoding and standard scaling), and the training and evaluation of three classification models: Logistic Regression, Decision Tree, and Random Forest. Models are evaluated using Accuracy, Precision, Recall, F1-Score, ROC-AUC, and Confusion Matrices. Cross-validation is performed to assess model robustness. The Random Forest Classifier achieved the highest predictive performance across all metrics. Ten actionable business recommendations are derived from the analysis to assist Netflix in reducing customer churn proactively.</w:t>
      </w:r>
    </w:p>
    <w:p w14:paraId="00100036" w14:textId="00100037">
      <w:pPr>
        <w:spacing w:after="480"/>
      </w:pPr>
      <w:r>
        <w:rPr>
          <w:i/>
          <w:sz w:val="24"/>
        </w:rPr>
        <w:t xml:space="preserve">Keywords: Customer churn, machine learning, classification, Random Forest, Netflix, data analytics, exploratory data analysis, scikit-learn.</w:t>
      </w:r>
    </w:p>
    <w:p w14:paraId="00100038" w14:textId="00100039">
      <w:pPr>
        <w:pStyle w:val="Heading1"/>
        <w:spacing w:after="240"/>
        <w:jc w:val="center"/>
      </w:pPr>
      <w:r>
        <w:rPr>
          <w:b/>
          <w:sz w:val="36"/>
        </w:rPr>
        <w:t xml:space="preserve">TABLE OF CONTENTS</w:t>
      </w:r>
    </w:p>
    <w:p w14:paraId="0010003A" w14:textId="0010003B">
      <w:pPr>
        <w:spacing w:after="80"/>
      </w:pPr>
      <w:r>
        <w:rPr>
          <w:sz w:val="24"/>
        </w:rPr>
        <w:t xml:space="preserve">1. Introduction</w:t>
      </w:r>
    </w:p>
    <w:p w14:paraId="0010003C" w14:textId="0010003D">
      <w:pPr>
        <w:spacing w:after="80"/>
      </w:pPr>
      <w:r>
        <w:rPr>
          <w:sz w:val="24"/>
        </w:rPr>
        <w:t xml:space="preserve">2. Problem Statement</w:t>
      </w:r>
    </w:p>
    <w:p w14:paraId="0010003E" w14:textId="0010003F">
      <w:pPr>
        <w:spacing w:after="80"/>
      </w:pPr>
      <w:r>
        <w:rPr>
          <w:sz w:val="24"/>
        </w:rPr>
        <w:t xml:space="preserve">3. Motivation</w:t>
      </w:r>
    </w:p>
    <w:p w14:paraId="00100040" w14:textId="00100041">
      <w:pPr>
        <w:spacing w:after="80"/>
      </w:pPr>
      <w:r>
        <w:rPr>
          <w:sz w:val="24"/>
        </w:rPr>
        <w:t xml:space="preserve">4. Objectives</w:t>
      </w:r>
    </w:p>
    <w:p w14:paraId="00100042" w14:textId="00100043">
      <w:pPr>
        <w:spacing w:after="80"/>
      </w:pPr>
      <w:r>
        <w:rPr>
          <w:sz w:val="24"/>
        </w:rPr>
        <w:t xml:space="preserve">5. Scope of the Project</w:t>
      </w:r>
    </w:p>
    <w:p w14:paraId="00100044" w14:textId="00100045">
      <w:pPr>
        <w:spacing w:after="80"/>
      </w:pPr>
      <w:r>
        <w:rPr>
          <w:sz w:val="24"/>
        </w:rPr>
        <w:t xml:space="preserve">6. Dataset Description</w:t>
      </w:r>
    </w:p>
    <w:p w14:paraId="00100046" w14:textId="00100047">
      <w:pPr>
        <w:spacing w:after="80"/>
      </w:pPr>
      <w:r>
        <w:rPr>
          <w:sz w:val="24"/>
        </w:rPr>
        <w:t xml:space="preserve">7. Tools and Technologies</w:t>
      </w:r>
    </w:p>
    <w:p w14:paraId="00100048" w14:textId="00100049">
      <w:pPr>
        <w:spacing w:after="80"/>
      </w:pPr>
      <w:r>
        <w:rPr>
          <w:sz w:val="24"/>
        </w:rPr>
        <w:t xml:space="preserve">8. System Requirements</w:t>
      </w:r>
    </w:p>
    <w:p w14:paraId="0010004A" w14:textId="0010004B">
      <w:pPr>
        <w:spacing w:after="80"/>
      </w:pPr>
      <w:r>
        <w:rPr>
          <w:sz w:val="24"/>
        </w:rPr>
        <w:t xml:space="preserve">9. Methodology</w:t>
      </w:r>
    </w:p>
    <w:p w14:paraId="0010004C" w14:textId="0010004D">
      <w:pPr>
        <w:spacing w:after="80"/>
      </w:pPr>
      <w:r>
        <w:rPr>
          <w:sz w:val="24"/>
        </w:rPr>
        <w:t xml:space="preserve">10. Data Preprocessing</w:t>
      </w:r>
    </w:p>
    <w:p w14:paraId="0010004E" w14:textId="0010004F">
      <w:pPr>
        <w:spacing w:after="80"/>
      </w:pPr>
      <w:r>
        <w:rPr>
          <w:sz w:val="24"/>
        </w:rPr>
        <w:t xml:space="preserve">11. Exploratory Data Analysis</w:t>
      </w:r>
    </w:p>
    <w:p w14:paraId="00100050" w14:textId="00100051">
      <w:pPr>
        <w:spacing w:after="80"/>
      </w:pPr>
      <w:r>
        <w:rPr>
          <w:sz w:val="24"/>
        </w:rPr>
        <w:t xml:space="preserve">12. Feature Engineering</w:t>
      </w:r>
    </w:p>
    <w:p w14:paraId="00100052" w14:textId="00100053">
      <w:pPr>
        <w:spacing w:after="80"/>
      </w:pPr>
      <w:r>
        <w:rPr>
          <w:sz w:val="24"/>
        </w:rPr>
        <w:t xml:space="preserve">13. Machine Learning Models</w:t>
      </w:r>
    </w:p>
    <w:p w14:paraId="00100054" w14:textId="00100055">
      <w:pPr>
        <w:spacing w:after="80"/>
      </w:pPr>
      <w:r>
        <w:rPr>
          <w:sz w:val="24"/>
        </w:rPr>
        <w:t xml:space="preserve">14. Evaluation Metrics</w:t>
      </w:r>
    </w:p>
    <w:p w14:paraId="00100056" w14:textId="00100057">
      <w:pPr>
        <w:spacing w:after="80"/>
      </w:pPr>
      <w:r>
        <w:rPr>
          <w:sz w:val="24"/>
        </w:rPr>
        <w:t xml:space="preserve">15. Results and Model Comparison</w:t>
      </w:r>
    </w:p>
    <w:p w14:paraId="00100058" w14:textId="00100059">
      <w:pPr>
        <w:spacing w:after="80"/>
      </w:pPr>
      <w:r>
        <w:rPr>
          <w:sz w:val="24"/>
        </w:rPr>
        <w:t xml:space="preserve">16. Best Model Selection</w:t>
      </w:r>
    </w:p>
    <w:p w14:paraId="0010005A" w14:textId="0010005B">
      <w:pPr>
        <w:spacing w:after="80"/>
      </w:pPr>
      <w:r>
        <w:rPr>
          <w:sz w:val="24"/>
        </w:rPr>
        <w:t xml:space="preserve">17. Feature Importance</w:t>
      </w:r>
    </w:p>
    <w:p w14:paraId="0010005C" w14:textId="0010005D">
      <w:pPr>
        <w:spacing w:after="80"/>
      </w:pPr>
      <w:r>
        <w:rPr>
          <w:sz w:val="24"/>
        </w:rPr>
        <w:t xml:space="preserve">18. Business Insights and Recommendations</w:t>
      </w:r>
    </w:p>
    <w:p w14:paraId="0010005E" w14:textId="0010005F">
      <w:pPr>
        <w:spacing w:after="80"/>
      </w:pPr>
      <w:r>
        <w:rPr>
          <w:sz w:val="24"/>
        </w:rPr>
        <w:t xml:space="preserve">19. Limitations of the Project</w:t>
      </w:r>
    </w:p>
    <w:p w14:paraId="00100060" w14:textId="00100061">
      <w:pPr>
        <w:spacing w:after="80"/>
      </w:pPr>
      <w:r>
        <w:rPr>
          <w:sz w:val="24"/>
        </w:rPr>
        <w:t xml:space="preserve">20. Ethical Considerations</w:t>
      </w:r>
    </w:p>
    <w:p w14:paraId="00100062" w14:textId="00100063">
      <w:pPr>
        <w:spacing w:after="80"/>
      </w:pPr>
      <w:r>
        <w:rPr>
          <w:sz w:val="24"/>
        </w:rPr>
        <w:t xml:space="preserve">21. Future Work</w:t>
      </w:r>
    </w:p>
    <w:p w14:paraId="00100064" w14:textId="00100065">
      <w:pPr>
        <w:spacing w:after="80"/>
      </w:pPr>
      <w:r>
        <w:rPr>
          <w:sz w:val="24"/>
        </w:rPr>
        <w:t xml:space="preserve">22. Conclusion</w:t>
      </w:r>
    </w:p>
    <w:p w14:paraId="00100066" w14:textId="00100067">
      <w:pPr>
        <w:spacing w:after="80"/>
      </w:pPr>
      <w:r>
        <w:rPr>
          <w:sz w:val="24"/>
        </w:rPr>
        <w:t xml:space="preserve">23. References</w:t>
      </w:r>
    </w:p>
    <w:p w14:paraId="00100068" w14:textId="00100069">
      <w:pPr>
        <w:spacing w:after="480"/>
      </w:pPr>
      <w:r>
        <w:rPr>
          <w:sz w:val="24"/>
        </w:rPr>
        <w:t xml:space="preserve">24. Appendix</w:t>
      </w:r>
    </w:p>
    <w:p w14:paraId="0010006A" w14:textId="0010006B">
      <w:pPr>
        <w:pStyle w:val="Heading1"/>
        <w:spacing w:after="200"/>
      </w:pPr>
      <w:r>
        <w:rPr>
          <w:b/>
          <w:sz w:val="36"/>
        </w:rPr>
        <w:t xml:space="preserve">1. Introduction</w:t>
      </w:r>
    </w:p>
    <w:p w14:paraId="0010006C" w14:textId="0010006D">
      <w:pPr>
        <w:spacing w:after="160"/>
      </w:pPr>
      <w:r>
        <w:rPr>
          <w:sz w:val="24"/>
        </w:rPr>
        <w:t xml:space="preserve">The rapid growth of streaming services has transformed the entertainment industry. Netflix, as one of the world's leading subscription-based video streaming platforms, serves over 200 million subscribers globally. Despite its dominance, customer retention remains a critical operational challenge. Subscriber churn — the act of a customer cancelling or discontinuing their subscription — directly impacts revenue and long-term business sustainability.</w:t>
      </w:r>
    </w:p>
    <w:p w14:paraId="0010006E" w14:textId="0010006F">
      <w:pPr>
        <w:spacing w:after="160"/>
      </w:pPr>
      <w:r>
        <w:rPr>
          <w:sz w:val="24"/>
        </w:rPr>
        <w:t xml:space="preserve">Predicting which customers are likely to churn enables a company to take proactive, targeted measures to retain them before they leave. This project leverages data analytics and machine learning techniques to analyse customer behaviour patterns and build predictive models capable of identifying at-risk subscribers.</w:t>
      </w:r>
    </w:p>
    <w:p w14:paraId="00100070" w14:textId="00100071">
      <w:pPr>
        <w:spacing w:after="320"/>
      </w:pPr>
      <w:r>
        <w:rPr>
          <w:sz w:val="24"/>
        </w:rPr>
        <w:t xml:space="preserve">This report documents a complete academic internship project conducted as part of the IBM SkillsBuild Data Analytics with AI programme, submitted under BharatCares and AICTE. The project is implemented in Python using industry-standard libraries including pandas, NumPy, Matplotlib, Seaborn, and scikit-learn.</w:t>
      </w:r>
    </w:p>
    <w:p w14:paraId="00100072" w14:textId="00100073">
      <w:pPr>
        <w:pStyle w:val="Heading1"/>
        <w:spacing w:after="200"/>
      </w:pPr>
      <w:r>
        <w:rPr>
          <w:b/>
          <w:sz w:val="36"/>
        </w:rPr>
        <w:t xml:space="preserve">2. Problem Statement</w:t>
      </w:r>
    </w:p>
    <w:p w14:paraId="00100074" w14:textId="00100075">
      <w:pPr>
        <w:spacing w:after="160"/>
      </w:pPr>
      <w:r>
        <w:rPr>
          <w:sz w:val="24"/>
        </w:rPr>
        <w:t xml:space="preserve">Netflix faces the ongoing challenge of retaining subscribers in a competitive market. The cost of acquiring a new customer far exceeds the cost of retaining an existing one. Without the ability to identify customers likely to churn in advance, Netflix cannot deploy targeted retention strategies efficiently.</w:t>
      </w:r>
    </w:p>
    <w:p w14:paraId="00100076" w14:textId="00100077">
      <w:pPr>
        <w:spacing w:after="160"/>
      </w:pPr>
      <w:r>
        <w:rPr>
          <w:sz w:val="24"/>
        </w:rPr>
        <w:t xml:space="preserve">The core problem addressed in this project is: Given historical customer data including demographics, subscription details, viewing behaviour, payment information, device usage, and regional attributes, can a machine learning model accurately predict whether a customer will churn?</w:t>
      </w:r>
    </w:p>
    <w:p w14:paraId="00100078" w14:textId="00100079">
      <w:pPr>
        <w:spacing w:after="320"/>
      </w:pPr>
      <w:r>
        <w:rPr>
          <w:sz w:val="24"/>
        </w:rPr>
        <w:t xml:space="preserve">Answering this question with a deployable, accurate model enables Netflix to prioritise retention efforts, personalise engagement strategies, and ultimately reduce churn rate.</w:t>
      </w:r>
    </w:p>
    <w:p w14:paraId="0010007A" w14:textId="0010007B">
      <w:pPr>
        <w:pStyle w:val="Heading1"/>
        <w:spacing w:after="200"/>
      </w:pPr>
      <w:r>
        <w:rPr>
          <w:b/>
          <w:sz w:val="36"/>
        </w:rPr>
        <w:t xml:space="preserve">3. Motivation</w:t>
      </w:r>
    </w:p>
    <w:p w14:paraId="0010007C" w14:textId="0010007D">
      <w:pPr>
        <w:spacing w:after="160"/>
      </w:pPr>
      <w:r>
        <w:rPr>
          <w:sz w:val="24"/>
        </w:rPr>
        <w:t xml:space="preserve">The motivation for this project arises from both academic and practical perspectives. From an academic standpoint, this project provides an opportunity to apply the theoretical concepts of data preprocessing, exploratory data analysis, and machine learning classification to a realistic business problem.</w:t>
      </w:r>
    </w:p>
    <w:p w14:paraId="0010007E" w14:textId="0010007F">
      <w:pPr>
        <w:spacing w:after="160"/>
      </w:pPr>
      <w:r>
        <w:rPr>
          <w:sz w:val="24"/>
        </w:rPr>
        <w:t xml:space="preserve">From a business perspective, churn prediction is one of the highest-value applications of machine learning in the subscription economy. A model that can identify churning customers even a few weeks in advance allows a company to intervene with discounts, personalised content recommendations, or loyalty incentives — potentially saving millions in lost revenue.</w:t>
      </w:r>
    </w:p>
    <w:p w14:paraId="00100080" w14:textId="00100081">
      <w:pPr>
        <w:spacing w:after="320"/>
      </w:pPr>
      <w:r>
        <w:rPr>
          <w:sz w:val="24"/>
        </w:rPr>
        <w:t xml:space="preserve">Additionally, this project contributes to the growing field of responsible AI by emphasising transparency in model selection, limitation disclosure, and ethical data usage — all of which are critical competencies for data professionals.</w:t>
      </w:r>
    </w:p>
    <w:p w14:paraId="00100082" w14:textId="00100083">
      <w:pPr>
        <w:pStyle w:val="Heading1"/>
        <w:spacing w:after="200"/>
      </w:pPr>
      <w:r>
        <w:rPr>
          <w:b/>
          <w:sz w:val="36"/>
        </w:rPr>
        <w:t xml:space="preserve">4. Objectives</w:t>
      </w:r>
    </w:p>
    <w:p w14:paraId="00100084" w14:textId="00100085">
      <w:pPr>
        <w:spacing w:after="120"/>
      </w:pPr>
      <w:r>
        <w:rPr>
          <w:sz w:val="24"/>
        </w:rPr>
        <w:t xml:space="preserve">The primary objectives of this project are as follows:</w:t>
      </w:r>
    </w:p>
    <w:p w14:paraId="00100086" w14:textId="00100087">
      <w:pPr>
        <w:numPr>
          <w:ilvl w:val="0"/>
          <w:numId w:val="1"/>
        </w:numPr>
        <w:spacing w:after="80"/>
      </w:pPr>
      <w:r>
        <w:rPr>
          <w:sz w:val="24"/>
        </w:rPr>
        <w:t xml:space="preserve">1. To load, inspect, and understand the structure of the Netflix customer churn dataset.</w:t>
      </w:r>
    </w:p>
    <w:p w14:paraId="00100088" w14:textId="00100089">
      <w:pPr>
        <w:numPr>
          <w:ilvl w:val="0"/>
          <w:numId w:val="1"/>
        </w:numPr>
        <w:spacing w:after="80"/>
      </w:pPr>
      <w:r>
        <w:rPr>
          <w:sz w:val="24"/>
        </w:rPr>
        <w:t xml:space="preserve">2. To perform data cleaning including identification and handling of missing values and duplicate records.</w:t>
      </w:r>
    </w:p>
    <w:p w14:paraId="0010008A" w14:textId="0010008B">
      <w:pPr>
        <w:numPr>
          <w:ilvl w:val="0"/>
          <w:numId w:val="1"/>
        </w:numPr>
        <w:spacing w:after="80"/>
      </w:pPr>
      <w:r>
        <w:rPr>
          <w:sz w:val="24"/>
        </w:rPr>
        <w:t xml:space="preserve">3. To conduct comprehensive exploratory data analysis (EDA) to identify patterns and relationships in the data.</w:t>
      </w:r>
    </w:p>
    <w:p w14:paraId="0010008C" w14:textId="0010008D">
      <w:pPr>
        <w:numPr>
          <w:ilvl w:val="0"/>
          <w:numId w:val="1"/>
        </w:numPr>
        <w:spacing w:after="80"/>
      </w:pPr>
      <w:r>
        <w:rPr>
          <w:sz w:val="24"/>
        </w:rPr>
        <w:t xml:space="preserve">4. To prepare features for machine learning through encoding and scaling.</w:t>
      </w:r>
    </w:p>
    <w:p w14:paraId="0010008E" w14:textId="0010008F">
      <w:pPr>
        <w:numPr>
          <w:ilvl w:val="0"/>
          <w:numId w:val="1"/>
        </w:numPr>
        <w:spacing w:after="80"/>
      </w:pPr>
      <w:r>
        <w:rPr>
          <w:sz w:val="24"/>
        </w:rPr>
        <w:t xml:space="preserve">5. To train three classification models: Logistic Regression, Decision Tree, and Random Forest.</w:t>
      </w:r>
    </w:p>
    <w:p w14:paraId="00100090" w14:textId="00100091">
      <w:pPr>
        <w:numPr>
          <w:ilvl w:val="0"/>
          <w:numId w:val="1"/>
        </w:numPr>
        <w:spacing w:after="80"/>
      </w:pPr>
      <w:r>
        <w:rPr>
          <w:sz w:val="24"/>
        </w:rPr>
        <w:t xml:space="preserve">6. To evaluate and compare models using multiple performance metrics.</w:t>
      </w:r>
    </w:p>
    <w:p w14:paraId="00100092" w14:textId="00100093">
      <w:pPr>
        <w:numPr>
          <w:ilvl w:val="0"/>
          <w:numId w:val="1"/>
        </w:numPr>
        <w:spacing w:after="80"/>
      </w:pPr>
      <w:r>
        <w:rPr>
          <w:sz w:val="24"/>
        </w:rPr>
        <w:t xml:space="preserve">7. To identify the best-performing model and the most important predictive features.</w:t>
      </w:r>
    </w:p>
    <w:p w14:paraId="00100094" w14:textId="00100095">
      <w:pPr>
        <w:numPr>
          <w:ilvl w:val="0"/>
          <w:numId w:val="1"/>
        </w:numPr>
        <w:spacing w:after="80"/>
      </w:pPr>
      <w:r>
        <w:rPr>
          <w:sz w:val="24"/>
        </w:rPr>
        <w:t xml:space="preserve">8. To derive actionable business insights and recommendations for reducing churn.</w:t>
      </w:r>
    </w:p>
    <w:p w14:paraId="00100096" w14:textId="00100097">
      <w:pPr>
        <w:numPr>
          <w:ilvl w:val="0"/>
          <w:numId w:val="1"/>
        </w:numPr>
        <w:spacing w:after="320"/>
      </w:pPr>
      <w:r>
        <w:rPr>
          <w:sz w:val="24"/>
        </w:rPr>
        <w:t xml:space="preserve">9. To document the project formally for academic submission under the IBM SkillsBuild programme.</w:t>
      </w:r>
    </w:p>
    <w:p w14:paraId="00100098" w14:textId="00100099">
      <w:pPr>
        <w:pStyle w:val="Heading1"/>
        <w:spacing w:after="200"/>
      </w:pPr>
      <w:r>
        <w:rPr>
          <w:b/>
          <w:sz w:val="36"/>
        </w:rPr>
        <w:t xml:space="preserve">5. Scope of the Project</w:t>
      </w:r>
    </w:p>
    <w:p w14:paraId="0010009A" w14:textId="0010009B">
      <w:pPr>
        <w:spacing w:after="120"/>
      </w:pPr>
      <w:r>
        <w:rPr>
          <w:sz w:val="24"/>
        </w:rPr>
        <w:t xml:space="preserve">This project focuses on binary classification — predicting whether a Netflix customer will churn or remain active — using a structured tabular dataset. The scope includes:</w:t>
      </w:r>
    </w:p>
    <w:p w14:paraId="0010009C" w14:textId="0010009D">
      <w:pPr>
        <w:numPr>
          <w:ilvl w:val="0"/>
          <w:numId w:val="2"/>
        </w:numPr>
        <w:spacing w:after="80"/>
      </w:pPr>
      <w:r>
        <w:rPr>
          <w:sz w:val="24"/>
        </w:rPr>
        <w:t xml:space="preserve">Descriptive analysis of customer demographics and behaviour patterns.</w:t>
      </w:r>
    </w:p>
    <w:p w14:paraId="0010009E" w14:textId="0010009F">
      <w:pPr>
        <w:numPr>
          <w:ilvl w:val="0"/>
          <w:numId w:val="2"/>
        </w:numPr>
        <w:spacing w:after="80"/>
      </w:pPr>
      <w:r>
        <w:rPr>
          <w:sz w:val="24"/>
        </w:rPr>
        <w:t xml:space="preserve">Statistical and visual exploration of all 13 feature columns.</w:t>
      </w:r>
    </w:p>
    <w:p w14:paraId="001000A0" w14:textId="001000A1">
      <w:pPr>
        <w:numPr>
          <w:ilvl w:val="0"/>
          <w:numId w:val="2"/>
        </w:numPr>
        <w:spacing w:after="80"/>
      </w:pPr>
      <w:r>
        <w:rPr>
          <w:sz w:val="24"/>
        </w:rPr>
        <w:t xml:space="preserve">End-to-end machine learning pipeline from raw data to model evaluation.</w:t>
      </w:r>
    </w:p>
    <w:p w14:paraId="001000A2" w14:textId="001000A3">
      <w:pPr>
        <w:numPr>
          <w:ilvl w:val="0"/>
          <w:numId w:val="2"/>
        </w:numPr>
        <w:spacing w:after="80"/>
      </w:pPr>
      <w:r>
        <w:rPr>
          <w:sz w:val="24"/>
        </w:rPr>
        <w:t xml:space="preserve">Comparison of three classification algorithms with quantitative evaluation.</w:t>
      </w:r>
    </w:p>
    <w:p w14:paraId="001000A4" w14:textId="001000A5">
      <w:pPr>
        <w:numPr>
          <w:ilvl w:val="0"/>
          <w:numId w:val="2"/>
        </w:numPr>
        <w:spacing w:after="160"/>
      </w:pPr>
      <w:r>
        <w:rPr>
          <w:sz w:val="24"/>
        </w:rPr>
        <w:t xml:space="preserve">Derivation of business recommendations based on analytical findings.</w:t>
      </w:r>
    </w:p>
    <w:p w14:paraId="001000A6" w14:textId="001000A7">
      <w:pPr>
        <w:spacing w:after="320"/>
      </w:pPr>
      <w:r>
        <w:rPr>
          <w:sz w:val="24"/>
        </w:rPr>
        <w:t xml:space="preserve">The scope does not include real-time deployment, hyperparameter optimisation via automated search, deep learning models, or integration with live Netflix systems. This project is strictly for academic purposes.</w:t>
      </w:r>
    </w:p>
    <w:p w14:paraId="001000A8" w14:textId="001000A9">
      <w:pPr>
        <w:pStyle w:val="Heading1"/>
        <w:spacing w:after="200"/>
      </w:pPr>
      <w:r>
        <w:rPr>
          <w:b/>
          <w:sz w:val="36"/>
        </w:rPr>
        <w:t xml:space="preserve">6. Dataset Description</w:t>
      </w:r>
    </w:p>
    <w:p w14:paraId="001000AA" w14:textId="001000AB">
      <w:pPr>
        <w:spacing w:after="160"/>
      </w:pPr>
      <w:r>
        <w:rPr>
          <w:sz w:val="24"/>
        </w:rPr>
        <w:t xml:space="preserve">The dataset used in this project is netflix_customer_churn.csv. It contains 5,000 records of Netflix customers with 14 columns. The dataset was inspected programmatically to confirm column names and data types before any processing was performed. No assumptions were made about the dataset structure.</w:t>
      </w:r>
    </w:p>
    <w:p w14:paraId="001000AC" w14:textId="001000AD">
      <w:pPr>
        <w:pStyle w:val="Heading2"/>
        <w:spacing w:after="160"/>
      </w:pPr>
      <w:r>
        <w:rPr>
          <w:b/>
          <w:sz w:val="28"/>
        </w:rPr>
        <w:t xml:space="preserve">6.1 Dataset Summary</w:t>
      </w:r>
    </w:p>
    <w:p w14:paraId="001000AE" w14:textId="001000AF">
      <w:pPr>
        <w:spacing w:after="200"/>
      </w:pPr>
      <w:r>
        <w:rPr>
          <w:sz w:val="24"/>
        </w:rPr>
        <w:t xml:space="preserve">File name: netflix_customer_churn.csv | Total rows: 5,000 | Total columns: 14 | Missing values: None | Duplicate records: None | Target column: churned (0 = Active, 1 = Churned)</w:t>
      </w:r>
    </w:p>
    <w:p w14:paraId="001000B0" w14:textId="001000B1">
      <w:pPr>
        <w:pStyle w:val="Heading2"/>
        <w:spacing w:after="160"/>
      </w:pPr>
      <w:r>
        <w:rPr>
          <w:b/>
          <w:sz w:val="28"/>
        </w:rPr>
        <w:t xml:space="preserve">6.2 Dataset Attributes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c>
          <w:p w14:paraId="001000B2" w14:textId="001000B3"/>
        </w:tc>
        <w:tc>
          <w:p w14:paraId="001000B4" w14:textId="001000B5"/>
        </w:tc>
        <w:tc>
          <w:p w14:paraId="001000B6" w14:textId="001000B7"/>
        </w:tc>
        <w:tc>
          <w:p w14:paraId="001000B8" w14:textId="001000B9"/>
        </w:tc>
      </w:tr>
      <w:tr>
        <w:tc>
          <w:p w14:paraId="001000BA" w14:textId="001000BB"/>
        </w:tc>
        <w:tc>
          <w:p w14:paraId="001000BC" w14:textId="001000BD"/>
        </w:tc>
        <w:tc>
          <w:p w14:paraId="001000BE" w14:textId="001000BF"/>
        </w:tc>
        <w:tc>
          <w:p w14:paraId="001000C0" w14:textId="001000C1"/>
        </w:tc>
      </w:tr>
      <w:tr>
        <w:tc>
          <w:p w14:paraId="001000C2" w14:textId="001000C3"/>
        </w:tc>
        <w:tc>
          <w:p w14:paraId="001000C4" w14:textId="001000C5"/>
        </w:tc>
        <w:tc>
          <w:p w14:paraId="001000C6" w14:textId="001000C7"/>
        </w:tc>
        <w:tc>
          <w:p w14:paraId="001000C8" w14:textId="001000C9"/>
        </w:tc>
      </w:tr>
      <w:tr>
        <w:tc>
          <w:p w14:paraId="001000CA" w14:textId="001000CB"/>
        </w:tc>
        <w:tc>
          <w:p w14:paraId="001000CC" w14:textId="001000CD"/>
        </w:tc>
        <w:tc>
          <w:p w14:paraId="001000CE" w14:textId="001000CF"/>
        </w:tc>
        <w:tc>
          <w:p w14:paraId="001000D0" w14:textId="001000D1"/>
        </w:tc>
      </w:tr>
      <w:tr>
        <w:tc>
          <w:p w14:paraId="001000D2" w14:textId="001000D3"/>
        </w:tc>
        <w:tc>
          <w:p w14:paraId="001000D4" w14:textId="001000D5"/>
        </w:tc>
        <w:tc>
          <w:p w14:paraId="001000D6" w14:textId="001000D7"/>
        </w:tc>
        <w:tc>
          <w:p w14:paraId="001000D8" w14:textId="001000D9"/>
        </w:tc>
      </w:tr>
      <w:tr>
        <w:tc>
          <w:p w14:paraId="001000DA" w14:textId="001000DB"/>
        </w:tc>
        <w:tc>
          <w:p w14:paraId="001000DC" w14:textId="001000DD"/>
        </w:tc>
        <w:tc>
          <w:p w14:paraId="001000DE" w14:textId="001000DF"/>
        </w:tc>
        <w:tc>
          <w:p w14:paraId="001000E0" w14:textId="001000E1"/>
        </w:tc>
      </w:tr>
      <w:tr>
        <w:tc>
          <w:p w14:paraId="001000E2" w14:textId="001000E3"/>
        </w:tc>
        <w:tc>
          <w:p w14:paraId="001000E4" w14:textId="001000E5"/>
        </w:tc>
        <w:tc>
          <w:p w14:paraId="001000E6" w14:textId="001000E7"/>
        </w:tc>
        <w:tc>
          <w:p w14:paraId="001000E8" w14:textId="001000E9"/>
        </w:tc>
      </w:tr>
      <w:tr>
        <w:tc>
          <w:p w14:paraId="001000EA" w14:textId="001000EB"/>
        </w:tc>
        <w:tc>
          <w:p w14:paraId="001000EC" w14:textId="001000ED"/>
        </w:tc>
        <w:tc>
          <w:p w14:paraId="001000EE" w14:textId="001000EF"/>
        </w:tc>
        <w:tc>
          <w:p w14:paraId="001000F0" w14:textId="001000F1"/>
        </w:tc>
      </w:tr>
      <w:tr>
        <w:tc>
          <w:p w14:paraId="001000F2" w14:textId="001000F3"/>
        </w:tc>
        <w:tc>
          <w:p w14:paraId="001000F4" w14:textId="001000F5"/>
        </w:tc>
        <w:tc>
          <w:p w14:paraId="001000F6" w14:textId="001000F7"/>
        </w:tc>
        <w:tc>
          <w:p w14:paraId="001000F8" w14:textId="001000F9"/>
        </w:tc>
      </w:tr>
      <w:tr>
        <w:tc>
          <w:p w14:paraId="001000FA" w14:textId="001000FB"/>
        </w:tc>
        <w:tc>
          <w:p w14:paraId="001000FC" w14:textId="001000FD"/>
        </w:tc>
        <w:tc>
          <w:p w14:paraId="001000FE" w14:textId="001000FF"/>
        </w:tc>
        <w:tc>
          <w:p w14:paraId="00100100" w14:textId="00100101"/>
        </w:tc>
      </w:tr>
      <w:tr>
        <w:tc>
          <w:p w14:paraId="00100102" w14:textId="00100103"/>
        </w:tc>
        <w:tc>
          <w:p w14:paraId="00100104" w14:textId="00100105"/>
        </w:tc>
        <w:tc>
          <w:p w14:paraId="00100106" w14:textId="00100107"/>
        </w:tc>
        <w:tc>
          <w:p w14:paraId="00100108" w14:textId="00100109"/>
        </w:tc>
      </w:tr>
      <w:tr>
        <w:tc>
          <w:p w14:paraId="0010010A" w14:textId="0010010B"/>
        </w:tc>
        <w:tc>
          <w:p w14:paraId="0010010C" w14:textId="0010010D"/>
        </w:tc>
        <w:tc>
          <w:p w14:paraId="0010010E" w14:textId="0010010F"/>
        </w:tc>
        <w:tc>
          <w:p w14:paraId="00100110" w14:textId="00100111"/>
        </w:tc>
      </w:tr>
      <w:tr>
        <w:tc>
          <w:p w14:paraId="00100112" w14:textId="00100113"/>
        </w:tc>
        <w:tc>
          <w:p w14:paraId="00100114" w14:textId="00100115"/>
        </w:tc>
        <w:tc>
          <w:p w14:paraId="00100116" w14:textId="00100117"/>
        </w:tc>
        <w:tc>
          <w:p w14:paraId="00100118" w14:textId="00100119"/>
        </w:tc>
      </w:tr>
      <w:tr>
        <w:tc>
          <w:p w14:paraId="0010011A" w14:textId="0010011B"/>
        </w:tc>
        <w:tc>
          <w:p w14:paraId="0010011C" w14:textId="0010011D"/>
        </w:tc>
        <w:tc>
          <w:p w14:paraId="0010011E" w14:textId="0010011F"/>
        </w:tc>
        <w:tc>
          <w:p w14:paraId="00100120" w14:textId="00100121"/>
        </w:tc>
      </w:tr>
      <w:tr>
        <w:tc>
          <w:p w14:paraId="00100122" w14:textId="00100123"/>
        </w:tc>
        <w:tc>
          <w:p w14:paraId="00100124" w14:textId="00100125"/>
        </w:tc>
        <w:tc>
          <w:p w14:paraId="00100126" w14:textId="00100127"/>
        </w:tc>
        <w:tc>
          <w:p w14:paraId="00100128" w14:textId="00100129"/>
        </w:tc>
      </w:tr>
    </w:tbl>
    <w:p w14:paraId="0010012A" w14:textId="0010012B">
      <w:pPr>
        <w:pStyle w:val="Heading1"/>
        <w:spacing w:after="200"/>
      </w:pPr>
      <w:r>
        <w:rPr>
          <w:b/>
          <w:sz w:val="36"/>
        </w:rPr>
        <w:t xml:space="preserve">7. Tools and Technologies</w:t>
      </w:r>
    </w:p>
    <w:p w14:paraId="0010012C" w14:textId="0010012D">
      <w:pPr>
        <w:spacing w:after="160"/>
      </w:pPr>
      <w:r>
        <w:rPr>
          <w:sz w:val="24"/>
        </w:rPr>
        <w:t xml:space="preserve">The following tools and libraries were used in this project: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c>
          <w:p w14:paraId="0010012E" w14:textId="0010012F"/>
        </w:tc>
        <w:tc>
          <w:p w14:paraId="00100130" w14:textId="00100131"/>
        </w:tc>
        <w:tc>
          <w:p w14:paraId="00100132" w14:textId="00100133"/>
        </w:tc>
      </w:tr>
      <w:tr>
        <w:tc>
          <w:p w14:paraId="00100134" w14:textId="00100135"/>
        </w:tc>
        <w:tc>
          <w:p w14:paraId="00100136" w14:textId="00100137"/>
        </w:tc>
        <w:tc>
          <w:p w14:paraId="00100138" w14:textId="00100139"/>
        </w:tc>
      </w:tr>
      <w:tr>
        <w:tc>
          <w:p w14:paraId="0010013A" w14:textId="0010013B"/>
        </w:tc>
        <w:tc>
          <w:p w14:paraId="0010013C" w14:textId="0010013D"/>
        </w:tc>
        <w:tc>
          <w:p w14:paraId="0010013E" w14:textId="0010013F"/>
        </w:tc>
      </w:tr>
      <w:tr>
        <w:tc>
          <w:p w14:paraId="00100140" w14:textId="00100141"/>
        </w:tc>
        <w:tc>
          <w:p w14:paraId="00100142" w14:textId="00100143"/>
        </w:tc>
        <w:tc>
          <w:p w14:paraId="00100144" w14:textId="00100145"/>
        </w:tc>
      </w:tr>
      <w:tr>
        <w:tc>
          <w:p w14:paraId="00100146" w14:textId="00100147"/>
        </w:tc>
        <w:tc>
          <w:p w14:paraId="00100148" w14:textId="00100149"/>
        </w:tc>
        <w:tc>
          <w:p w14:paraId="0010014A" w14:textId="0010014B"/>
        </w:tc>
      </w:tr>
      <w:tr>
        <w:tc>
          <w:p w14:paraId="0010014C" w14:textId="0010014D"/>
        </w:tc>
        <w:tc>
          <w:p w14:paraId="0010014E" w14:textId="0010014F"/>
        </w:tc>
        <w:tc>
          <w:p w14:paraId="00100150" w14:textId="00100151"/>
        </w:tc>
      </w:tr>
      <w:tr>
        <w:tc>
          <w:p w14:paraId="00100152" w14:textId="00100153"/>
        </w:tc>
        <w:tc>
          <w:p w14:paraId="00100154" w14:textId="00100155"/>
        </w:tc>
        <w:tc>
          <w:p w14:paraId="00100156" w14:textId="00100157"/>
        </w:tc>
      </w:tr>
      <w:tr>
        <w:tc>
          <w:p w14:paraId="00100158" w14:textId="00100159"/>
        </w:tc>
        <w:tc>
          <w:p w14:paraId="0010015A" w14:textId="0010015B"/>
        </w:tc>
        <w:tc>
          <w:p w14:paraId="0010015C" w14:textId="0010015D"/>
        </w:tc>
      </w:tr>
      <w:tr>
        <w:tc>
          <w:p w14:paraId="0010015E" w14:textId="0010015F"/>
        </w:tc>
        <w:tc>
          <w:p w14:paraId="00100160" w14:textId="00100161"/>
        </w:tc>
        <w:tc>
          <w:p w14:paraId="00100162" w14:textId="00100163"/>
        </w:tc>
      </w:tr>
    </w:tbl>
    <w:p w14:paraId="00100164" w14:textId="00100165">
      <w:pPr>
        <w:pStyle w:val="Heading1"/>
        <w:spacing w:after="200"/>
      </w:pPr>
      <w:r>
        <w:rPr>
          <w:b/>
          <w:sz w:val="36"/>
        </w:rPr>
        <w:t xml:space="preserve">8. System Requirements</w:t>
      </w:r>
    </w:p>
    <w:p w14:paraId="00100166" w14:textId="00100167">
      <w:pPr>
        <w:pStyle w:val="Heading2"/>
        <w:spacing w:after="120"/>
      </w:pPr>
      <w:r>
        <w:rPr>
          <w:b/>
          <w:sz w:val="28"/>
        </w:rPr>
        <w:t xml:space="preserve">8.1 Minimum Hardware Requirements</w:t>
      </w:r>
    </w:p>
    <w:p w14:paraId="00100168" w14:textId="00100169">
      <w:pPr>
        <w:spacing w:after="160"/>
      </w:pPr>
      <w:r>
        <w:rPr>
          <w:sz w:val="24"/>
        </w:rPr>
        <w:t xml:space="preserve">Processor: Intel Core i3 or equivalent (i5+ recommended). RAM: 4 GB minimum (8 GB recommended). Storage: 500 MB free disk space. Internet: Required for library installation only.</w:t>
      </w:r>
    </w:p>
    <w:p w14:paraId="0010016A" w14:textId="0010016B">
      <w:pPr>
        <w:pStyle w:val="Heading2"/>
        <w:spacing w:after="120"/>
      </w:pPr>
      <w:r>
        <w:rPr>
          <w:b/>
          <w:sz w:val="28"/>
        </w:rPr>
        <w:t xml:space="preserve">8.2 Software Requirements</w:t>
      </w:r>
    </w:p>
    <w:p w14:paraId="0010016C" w14:textId="0010016D">
      <w:pPr>
        <w:spacing w:after="320"/>
      </w:pPr>
      <w:r>
        <w:rPr>
          <w:sz w:val="24"/>
        </w:rPr>
        <w:t xml:space="preserve">Operating System: Windows 10 / macOS 11 / Ubuntu 20.04 or later. Python: Version 3.8 or higher. Package Manager: pip. Recommended IDE: Jupyter Notebook or JupyterLab. All required packages are listed in the requirements.txt file: pandas&gt;=1.3.0, numpy&gt;=1.21.0, matplotlib&gt;=3.4.0, seaborn&gt;=0.11.0, scikit-learn&gt;=0.24.0, jupyter&gt;=1.0.0, notebook&gt;=6.4.0.</w:t>
      </w:r>
    </w:p>
    <w:p w14:paraId="0010016E" w14:textId="0010016F">
      <w:pPr>
        <w:pStyle w:val="Heading1"/>
        <w:spacing w:after="200"/>
      </w:pPr>
      <w:r>
        <w:rPr>
          <w:b/>
          <w:sz w:val="36"/>
        </w:rPr>
        <w:t xml:space="preserve">9. Methodology</w:t>
      </w:r>
    </w:p>
    <w:p w14:paraId="00100170" w14:textId="00100171">
      <w:pPr>
        <w:spacing w:after="160"/>
      </w:pPr>
      <w:r>
        <w:rPr>
          <w:sz w:val="24"/>
        </w:rPr>
        <w:t xml:space="preserve">This project follows the Cross-Industry Standard Process for Data Mining (CRISP-DM) methodology, adapted for an academic machine learning pipeline. The process consists of the following sequential stages:</w:t>
      </w:r>
    </w:p>
    <w:p w14:paraId="00100172" w14:textId="00100173">
      <w:pPr>
        <w:numPr>
          <w:ilvl w:val="0"/>
          <w:numId w:val="3"/>
        </w:numPr>
        <w:spacing w:after="80"/>
      </w:pPr>
      <w:r>
        <w:rPr>
          <w:sz w:val="24"/>
        </w:rPr>
        <w:t xml:space="preserve">Stage 1 - Business Understanding: Define the churn prediction problem and success criteria.</w:t>
      </w:r>
    </w:p>
    <w:p w14:paraId="00100174" w14:textId="00100175">
      <w:pPr>
        <w:numPr>
          <w:ilvl w:val="0"/>
          <w:numId w:val="3"/>
        </w:numPr>
        <w:spacing w:after="80"/>
      </w:pPr>
      <w:r>
        <w:rPr>
          <w:sz w:val="24"/>
        </w:rPr>
        <w:t xml:space="preserve">Stage 2 - Data Understanding: Load the dataset, inspect columns and data types, and generate descriptive statistics.</w:t>
      </w:r>
    </w:p>
    <w:p w14:paraId="00100176" w14:textId="00100177">
      <w:pPr>
        <w:numPr>
          <w:ilvl w:val="0"/>
          <w:numId w:val="3"/>
        </w:numPr>
        <w:spacing w:after="80"/>
      </w:pPr>
      <w:r>
        <w:rPr>
          <w:sz w:val="24"/>
        </w:rPr>
        <w:t xml:space="preserve">Stage 3 - Data Preparation: Handle missing values, remove duplicates, encode categorical variables, and scale numerical features.</w:t>
      </w:r>
    </w:p>
    <w:p w14:paraId="00100178" w14:textId="00100179">
      <w:pPr>
        <w:numPr>
          <w:ilvl w:val="0"/>
          <w:numId w:val="3"/>
        </w:numPr>
        <w:spacing w:after="80"/>
      </w:pPr>
      <w:r>
        <w:rPr>
          <w:sz w:val="24"/>
        </w:rPr>
        <w:t xml:space="preserve">Stage 4 - Modelling: Train Logistic Regression, Decision Tree, and Random Forest classifiers.</w:t>
      </w:r>
    </w:p>
    <w:p w14:paraId="0010017A" w14:textId="0010017B">
      <w:pPr>
        <w:numPr>
          <w:ilvl w:val="0"/>
          <w:numId w:val="3"/>
        </w:numPr>
        <w:spacing w:after="80"/>
      </w:pPr>
      <w:r>
        <w:rPr>
          <w:sz w:val="24"/>
        </w:rPr>
        <w:t xml:space="preserve">Stage 5 - Evaluation: Assess models using Accuracy, Precision, Recall, F1-Score, ROC-AUC, and Confusion Matrix; perform 5-fold cross-validation.</w:t>
      </w:r>
    </w:p>
    <w:p w14:paraId="0010017C" w14:textId="0010017D">
      <w:pPr>
        <w:numPr>
          <w:ilvl w:val="0"/>
          <w:numId w:val="3"/>
        </w:numPr>
        <w:spacing w:after="320"/>
      </w:pPr>
      <w:r>
        <w:rPr>
          <w:sz w:val="24"/>
        </w:rPr>
        <w:t xml:space="preserve">Stage 6 - Deployment (Academic): Document findings, extract insights, and present conclusions and recommendations.</w:t>
      </w:r>
    </w:p>
    <w:p w14:paraId="0010017E" w14:textId="0010017F">
      <w:pPr>
        <w:pStyle w:val="Heading1"/>
        <w:spacing w:after="200"/>
      </w:pPr>
      <w:r>
        <w:rPr>
          <w:b/>
          <w:sz w:val="36"/>
        </w:rPr>
        <w:t xml:space="preserve">10. Data Preprocessing</w:t>
      </w:r>
    </w:p>
    <w:p w14:paraId="00100180" w14:textId="00100181">
      <w:pPr>
        <w:spacing w:after="160"/>
      </w:pPr>
      <w:r>
        <w:rPr>
          <w:sz w:val="24"/>
        </w:rPr>
        <w:t xml:space="preserve">Data preprocessing ensures the dataset is clean, consistent, and suitable for machine learning. The following steps were applied:</w:t>
      </w:r>
    </w:p>
    <w:p w14:paraId="00100182" w14:textId="00100183">
      <w:pPr>
        <w:pStyle w:val="Heading2"/>
        <w:spacing w:after="120"/>
      </w:pPr>
      <w:r>
        <w:rPr>
          <w:b/>
          <w:sz w:val="28"/>
        </w:rPr>
        <w:t xml:space="preserve">10.1 Missing Value Handling</w:t>
      </w:r>
    </w:p>
    <w:p w14:paraId="00100184" w14:textId="00100185">
      <w:pPr>
        <w:spacing w:after="160"/>
      </w:pPr>
      <w:r>
        <w:rPr>
          <w:sz w:val="24"/>
        </w:rPr>
        <w:t xml:space="preserve">The dataset was inspected using pandas isnull().sum(). No missing values were found across any of the 14 columns. Therefore, no imputation was required. Had missing values been present, numerical columns would have been filled with the column median and categorical columns with the column mode — a standard strategy that preserves the overall data distribution without introducing bias.</w:t>
      </w:r>
    </w:p>
    <w:p w14:paraId="00100186" w14:textId="00100187">
      <w:pPr>
        <w:pStyle w:val="Heading2"/>
        <w:spacing w:after="120"/>
      </w:pPr>
      <w:r>
        <w:rPr>
          <w:b/>
          <w:sz w:val="28"/>
        </w:rPr>
        <w:t xml:space="preserve">10.2 Duplicate Record Removal</w:t>
      </w:r>
    </w:p>
    <w:p w14:paraId="00100188" w14:textId="00100189">
      <w:pPr>
        <w:spacing w:after="160"/>
      </w:pPr>
      <w:r>
        <w:rPr>
          <w:sz w:val="24"/>
        </w:rPr>
        <w:t xml:space="preserve">The dataset was checked for fully duplicate rows using pandas duplicated(). No duplicate records were found. Had duplicates existed, they would have been removed using drop_duplicates() and the index reset to maintain data integrity.</w:t>
      </w:r>
    </w:p>
    <w:p w14:paraId="0010018A" w14:textId="0010018B">
      <w:pPr>
        <w:pStyle w:val="Heading2"/>
        <w:spacing w:after="120"/>
      </w:pPr>
      <w:r>
        <w:rPr>
          <w:b/>
          <w:sz w:val="28"/>
        </w:rPr>
        <w:t xml:space="preserve">10.3 Dropping Non-Predictive Columns</w:t>
      </w:r>
    </w:p>
    <w:p w14:paraId="0010018C" w14:textId="0010018D">
      <w:pPr>
        <w:spacing w:after="160"/>
      </w:pPr>
      <w:r>
        <w:rPr>
          <w:sz w:val="24"/>
        </w:rPr>
        <w:t xml:space="preserve">The column customer_id is a unique alphanumeric identifier and carries no predictive information. It was dropped from the feature matrix before model training to prevent data leakage and avoid artificially inflating model performance.</w:t>
      </w:r>
    </w:p>
    <w:p w14:paraId="0010018E" w14:textId="0010018F">
      <w:pPr>
        <w:pStyle w:val="Heading2"/>
        <w:spacing w:after="120"/>
      </w:pPr>
      <w:r>
        <w:rPr>
          <w:b/>
          <w:sz w:val="28"/>
        </w:rPr>
        <w:t xml:space="preserve">10.4 Target Column Identification</w:t>
      </w:r>
    </w:p>
    <w:p w14:paraId="00100190" w14:textId="00100191">
      <w:pPr>
        <w:spacing w:after="320"/>
      </w:pPr>
      <w:r>
        <w:rPr>
          <w:sz w:val="24"/>
        </w:rPr>
        <w:t xml:space="preserve">The target column was auto-detected by scanning column names for keywords including churn, cancel, status, retain, active, and leave. The column churned was identified as the target. It is a binary integer variable: 0 indicates an active customer and 1 indicates a churned customer.</w:t>
      </w:r>
    </w:p>
    <w:p w14:paraId="00100192" w14:textId="00100193">
      <w:pPr>
        <w:pStyle w:val="Heading1"/>
        <w:spacing w:after="200"/>
      </w:pPr>
      <w:r>
        <w:rPr>
          <w:b/>
          <w:sz w:val="36"/>
        </w:rPr>
        <w:t xml:space="preserve">11. Exploratory Data Analysis</w:t>
      </w:r>
    </w:p>
    <w:p w14:paraId="00100194" w14:textId="00100195">
      <w:pPr>
        <w:spacing w:after="160"/>
      </w:pPr>
      <w:r>
        <w:rPr>
          <w:sz w:val="24"/>
        </w:rPr>
        <w:t xml:space="preserve">Exploratory Data Analysis (EDA) was conducted to understand the distribution of data, relationships between features, and the characteristics of churned versus active customers. A total of 12 visualisations were generated and saved as PNG files.</w:t>
      </w:r>
    </w:p>
    <w:p w14:paraId="00100196" w14:textId="00100197">
      <w:pPr>
        <w:pStyle w:val="Heading2"/>
        <w:spacing w:after="120"/>
      </w:pPr>
      <w:r>
        <w:rPr>
          <w:b/>
          <w:sz w:val="28"/>
        </w:rPr>
        <w:t xml:space="preserve">11.1 Churn Distribution</w:t>
      </w:r>
    </w:p>
    <w:p w14:paraId="00100198" w14:textId="00100199">
      <w:pPr>
        <w:spacing w:after="160"/>
      </w:pPr>
      <w:r>
        <w:rPr>
          <w:sz w:val="24"/>
        </w:rPr>
        <w:t xml:space="preserve">The dataset contains 2,515 churned customers (50.3%) and 2,485 active customers (49.7%). The classes are near-perfectly balanced, making this an ideal dataset for binary classification without requiring aggressive resampling techniques such as SMOTE. A bar chart and pie chart were generated to visualise this distribution. The class_weight='balanced' parameter was still applied to all models as a precautionary measure.</w:t>
      </w:r>
    </w:p>
    <w:p w14:paraId="0010019A" w14:textId="0010019B">
      <w:pPr>
        <w:pStyle w:val="Heading2"/>
        <w:spacing w:after="120"/>
      </w:pPr>
      <w:r>
        <w:rPr>
          <w:b/>
          <w:sz w:val="28"/>
        </w:rPr>
        <w:t xml:space="preserve">11.2 Churn by Gender</w:t>
      </w:r>
    </w:p>
    <w:p w14:paraId="0010019C" w14:textId="0010019D">
      <w:pPr>
        <w:spacing w:after="160"/>
      </w:pPr>
      <w:r>
        <w:rPr>
          <w:sz w:val="24"/>
        </w:rPr>
        <w:t xml:space="preserve">Count plots and churn rate bar charts were generated for the three gender categories (Male, Female, Other). The analysis revealed that churn rates were broadly similar across all three gender groups, indicating that gender alone is not a strong differentiating factor for churn prediction in this dataset.</w:t>
      </w:r>
    </w:p>
    <w:p w14:paraId="0010019E" w14:textId="0010019F">
      <w:pPr>
        <w:pStyle w:val="Heading2"/>
        <w:spacing w:after="120"/>
      </w:pPr>
      <w:r>
        <w:rPr>
          <w:b/>
          <w:sz w:val="28"/>
        </w:rPr>
        <w:t xml:space="preserve">11.3 Churn by Subscription Type</w:t>
      </w:r>
    </w:p>
    <w:p w14:paraId="001001A0" w14:textId="001001A1">
      <w:pPr>
        <w:spacing w:after="160"/>
      </w:pPr>
      <w:r>
        <w:rPr>
          <w:sz w:val="24"/>
        </w:rPr>
        <w:t xml:space="preserve">Among the three subscription tiers (Basic, Standard, and Premium), the Basic tier exhibited the highest churn rate. This is consistent with the hypothesis that customers paying the lowest price have less commitment and access to fewer features, making them more susceptible to cancellation. Premium subscribers showed comparatively lower churn, potentially reflecting greater perceived value.</w:t>
      </w:r>
    </w:p>
    <w:p w14:paraId="001001A2" w14:textId="001001A3">
      <w:pPr>
        <w:pStyle w:val="Heading2"/>
        <w:spacing w:after="120"/>
      </w:pPr>
      <w:r>
        <w:rPr>
          <w:b/>
          <w:sz w:val="28"/>
        </w:rPr>
        <w:t xml:space="preserve">11.4 Age Analysis</w:t>
      </w:r>
    </w:p>
    <w:p w14:paraId="001001A4" w14:textId="001001A5">
      <w:pPr>
        <w:spacing w:after="160"/>
      </w:pPr>
      <w:r>
        <w:rPr>
          <w:sz w:val="24"/>
        </w:rPr>
        <w:t xml:space="preserve">Kernel density estimation (KDE) plots and box plots were used to compare age distributions between churned and active customers. The mean age of churned customers was notably higher than that of active customers, suggesting that older subscribers are more likely to churn. This may reflect lower digital engagement or content preference mismatches.</w:t>
      </w:r>
    </w:p>
    <w:p w14:paraId="001001A6" w14:textId="001001A7">
      <w:pPr>
        <w:pStyle w:val="Heading2"/>
        <w:spacing w:after="120"/>
      </w:pPr>
      <w:r>
        <w:rPr>
          <w:b/>
          <w:sz w:val="28"/>
        </w:rPr>
        <w:t xml:space="preserve">11.5 Inactivity Analysis</w:t>
      </w:r>
    </w:p>
    <w:p w14:paraId="001001A8" w14:textId="001001A9">
      <w:pPr>
        <w:spacing w:after="160"/>
      </w:pPr>
      <w:r>
        <w:rPr>
          <w:sz w:val="24"/>
        </w:rPr>
        <w:t xml:space="preserve">The column last_login_days proved to be one of the most revealing features. Churned customers had a mean of approximately 38 days since their last login, compared to approximately 22 days for active customers. This 16-day gap is a powerful signal: customers who have not engaged with the platform for an extended period are far more likely to cancel their subscription.</w:t>
      </w:r>
    </w:p>
    <w:p w14:paraId="001001AA" w14:textId="001001AB">
      <w:pPr>
        <w:pStyle w:val="Heading2"/>
        <w:spacing w:after="120"/>
      </w:pPr>
      <w:r>
        <w:rPr>
          <w:b/>
          <w:sz w:val="28"/>
        </w:rPr>
        <w:t xml:space="preserve">11.6 Viewing Behaviour</w:t>
      </w:r>
    </w:p>
    <w:p w14:paraId="001001AC" w14:textId="001001AD">
      <w:pPr>
        <w:spacing w:after="160"/>
      </w:pPr>
      <w:r>
        <w:rPr>
          <w:sz w:val="24"/>
        </w:rPr>
        <w:t xml:space="preserve">Churned customers had significantly lower total watch_hours and lower avg_watch_time_per_day compared to active customers. Active customers exhibited higher median watch hours and greater daily engagement, confirming that content consumption is a strong retention indicator.</w:t>
      </w:r>
    </w:p>
    <w:p w14:paraId="001001AE" w14:textId="001001AF">
      <w:pPr>
        <w:pStyle w:val="Heading2"/>
        <w:spacing w:after="120"/>
      </w:pPr>
      <w:r>
        <w:rPr>
          <w:b/>
          <w:sz w:val="28"/>
        </w:rPr>
        <w:t xml:space="preserve">11.7 Regional, Device, Payment Method, Genre, and Profile Analysis</w:t>
      </w:r>
    </w:p>
    <w:p w14:paraId="001001B0" w14:textId="001001B1">
      <w:pPr>
        <w:spacing w:after="320"/>
      </w:pPr>
      <w:r>
        <w:rPr>
          <w:sz w:val="24"/>
        </w:rPr>
        <w:t xml:space="preserve">Additional analyses revealed: (a) Certain geographic regions exhibited higher churn rates, suggesting a need for regional content investment. (b) Laptop users showed the highest churn rate among device types, potentially indicating a less immersive viewing experience compared to TV screens. (c) Churn rates varied modestly across payment methods, with some methods correlating with slightly higher churn — possibly due to payment friction. (d) Genre preferences showed minor differences in churn rates, pointing to potential content gaps. (e) Customers with fewer profiles (single-profile accounts) were more likely to churn, as multi-profile accounts indicate household adoption and stickiness.</w:t>
      </w:r>
    </w:p>
    <w:p w14:paraId="001001B2" w14:textId="001001B3">
      <w:pPr>
        <w:pStyle w:val="Heading1"/>
        <w:spacing w:after="200"/>
      </w:pPr>
      <w:r>
        <w:rPr>
          <w:b/>
          <w:sz w:val="36"/>
        </w:rPr>
        <w:t xml:space="preserve">12. Feature Engineering</w:t>
      </w:r>
    </w:p>
    <w:p w14:paraId="001001B4" w14:textId="001001B5">
      <w:pPr>
        <w:spacing w:after="160"/>
      </w:pPr>
      <w:r>
        <w:rPr>
          <w:sz w:val="24"/>
        </w:rPr>
        <w:t xml:space="preserve">Feature engineering transforms the raw data into a format suitable for machine learning algorithms. Two key transformations were applied: categorical encoding and numerical scaling.</w:t>
      </w:r>
    </w:p>
    <w:p w14:paraId="001001B6" w14:textId="001001B7">
      <w:pPr>
        <w:pStyle w:val="Heading2"/>
        <w:spacing w:after="120"/>
      </w:pPr>
      <w:r>
        <w:rPr>
          <w:b/>
          <w:sz w:val="28"/>
        </w:rPr>
        <w:t xml:space="preserve">12.1 Label Encoding</w:t>
      </w:r>
    </w:p>
    <w:p w14:paraId="001001B8" w14:textId="001001B9">
      <w:pPr>
        <w:spacing w:after="160"/>
      </w:pPr>
      <w:r>
        <w:rPr>
          <w:sz w:val="24"/>
        </w:rPr>
        <w:t xml:space="preserve">Categorical features cannot be directly consumed by scikit-learn models. Label Encoding was applied to convert each categorical column into integer codes. The six categorical features encoded were: gender, subscription_type, region, device, payment_method, and favorite_genre. Each unique category was mapped to a unique integer (e.g., 'Male'=1, 'Female'=0, 'Other'=2). While One-Hot Encoding is theoretically preferable for nominal features with linear models (it avoids implying ordinal relationships), Label Encoding was chosen here to maintain a manageable feature space for this academic demonstration.</w:t>
      </w:r>
    </w:p>
    <w:p w14:paraId="001001BA" w14:textId="001001BB">
      <w:pPr>
        <w:pStyle w:val="Heading2"/>
        <w:spacing w:after="120"/>
      </w:pPr>
      <w:r>
        <w:rPr>
          <w:b/>
          <w:sz w:val="28"/>
        </w:rPr>
        <w:t xml:space="preserve">12.2 Standard Scaling</w:t>
      </w:r>
    </w:p>
    <w:p w14:paraId="001001BC" w14:textId="001001BD">
      <w:pPr>
        <w:spacing w:after="160"/>
      </w:pPr>
      <w:r>
        <w:rPr>
          <w:sz w:val="24"/>
        </w:rPr>
        <w:t xml:space="preserve">StandardScaler was applied to all numerical features for the Logistic Regression model. Standard scaling transforms each feature to have zero mean and unit variance, preventing features with large numerical ranges (e.g., watch_hours with values up to 110) from dominating features with smaller ranges (e.g., number_of_profiles with values 1 to 5). Tree-based models (Decision Tree and Random Forest) are scale-invariant and do not require this transformation; therefore, the encoded-only (unscaled) feature matrix was used for these models.</w:t>
      </w:r>
    </w:p>
    <w:p w14:paraId="001001BE" w14:textId="001001BF">
      <w:pPr>
        <w:pStyle w:val="Heading2"/>
        <w:spacing w:after="120"/>
      </w:pPr>
      <w:r>
        <w:rPr>
          <w:b/>
          <w:sz w:val="28"/>
        </w:rPr>
        <w:t xml:space="preserve">12.3 Train-Test Split</w:t>
      </w:r>
    </w:p>
    <w:p w14:paraId="001001C0" w14:textId="001001C1">
      <w:pPr>
        <w:spacing w:after="320"/>
      </w:pPr>
      <w:r>
        <w:rPr>
          <w:sz w:val="24"/>
        </w:rPr>
        <w:t xml:space="preserve">The dataset was split into 80% training (4,000 samples) and 20% testing (1,000 samples) using sklearn's train_test_split with stratify=y and random_state=42. Stratification ensures that both the training and testing sets maintain the same class distribution as the original dataset, preventing any imbalance during evaluation.</w:t>
      </w:r>
    </w:p>
    <w:p w14:paraId="001001C2" w14:textId="001001C3">
      <w:pPr>
        <w:pStyle w:val="Heading1"/>
        <w:spacing w:after="200"/>
      </w:pPr>
      <w:r>
        <w:rPr>
          <w:b/>
          <w:sz w:val="36"/>
        </w:rPr>
        <w:t xml:space="preserve">13. Machine Learning Models</w:t>
      </w:r>
    </w:p>
    <w:p w14:paraId="001001C4" w14:textId="001001C5">
      <w:pPr>
        <w:spacing w:after="160"/>
      </w:pPr>
      <w:r>
        <w:rPr>
          <w:sz w:val="24"/>
        </w:rPr>
        <w:t xml:space="preserve">Three classification algorithms were selected to represent different levels of complexity and interpretability. All models were trained with class_weight='balanced' and random_state=42.</w:t>
      </w:r>
    </w:p>
    <w:p w14:paraId="001001C6" w14:textId="001001C7">
      <w:pPr>
        <w:pStyle w:val="Heading2"/>
        <w:spacing w:after="120"/>
      </w:pPr>
      <w:r>
        <w:rPr>
          <w:b/>
          <w:sz w:val="28"/>
        </w:rPr>
        <w:t xml:space="preserve">13.1 Logistic Regression</w:t>
      </w:r>
    </w:p>
    <w:p w14:paraId="001001C8" w14:textId="001001C9">
      <w:pPr>
        <w:spacing w:after="160"/>
      </w:pPr>
      <w:r>
        <w:rPr>
          <w:sz w:val="24"/>
        </w:rPr>
        <w:t xml:space="preserve">Logistic Regression is a linear classification algorithm that models the probability of a binary outcome using the logistic (sigmoid) function. It is simple, fast, and highly interpretable. The model learns a weight for each feature; features with larger absolute weights have greater influence on the prediction. Parameters used: max_iter=1000, class_weight='balanced', random_state=42. Logistic Regression was trained on the StandardScaler-transformed feature matrix.</w:t>
      </w:r>
    </w:p>
    <w:p w14:paraId="001001CA" w14:textId="001001CB">
      <w:pPr>
        <w:pStyle w:val="Heading2"/>
        <w:spacing w:after="120"/>
      </w:pPr>
      <w:r>
        <w:rPr>
          <w:b/>
          <w:sz w:val="28"/>
        </w:rPr>
        <w:t xml:space="preserve">13.2 Decision Tree Classifier</w:t>
      </w:r>
    </w:p>
    <w:p w14:paraId="001001CC" w14:textId="001001CD">
      <w:pPr>
        <w:spacing w:after="160"/>
      </w:pPr>
      <w:r>
        <w:rPr>
          <w:sz w:val="24"/>
        </w:rPr>
        <w:t xml:space="preserve">A Decision Tree recursively splits the data based on feature thresholds that maximise information gain (or minimise impurity). It produces a tree of decisions that are human-readable and interpretable. To prevent overfitting, the tree depth was limited: max_depth=6, min_samples_leaf=20, class_weight='balanced', random_state=42. Decision Trees are scale-invariant and were trained on the encoded (unscaled) feature matrix.</w:t>
      </w:r>
    </w:p>
    <w:p w14:paraId="001001CE" w14:textId="001001CF">
      <w:pPr>
        <w:pStyle w:val="Heading2"/>
        <w:spacing w:after="120"/>
      </w:pPr>
      <w:r>
        <w:rPr>
          <w:b/>
          <w:sz w:val="28"/>
        </w:rPr>
        <w:t xml:space="preserve">13.3 Random Forest Classifier</w:t>
      </w:r>
    </w:p>
    <w:p w14:paraId="001001D0" w14:textId="001001D1">
      <w:pPr>
        <w:spacing w:after="320"/>
      </w:pPr>
      <w:r>
        <w:rPr>
          <w:sz w:val="24"/>
        </w:rPr>
        <w:t xml:space="preserve">Random Forest is an ensemble learning method that builds multiple decision trees on random subsets of the data and features, then aggregates their predictions by majority vote. This reduces overfitting and variance compared to a single Decision Tree. Parameters used: n_estimators=200, max_depth=10, min_samples_leaf=10, class_weight='balanced', random_state=42, n_jobs=-1. Random Forest was trained on the encoded (unscaled) feature matrix.</w:t>
      </w:r>
    </w:p>
    <w:p w14:paraId="001001D2" w14:textId="001001D3">
      <w:pPr>
        <w:pStyle w:val="Heading1"/>
        <w:spacing w:after="200"/>
      </w:pPr>
      <w:r>
        <w:rPr>
          <w:b/>
          <w:sz w:val="36"/>
        </w:rPr>
        <w:t xml:space="preserve">14. Evaluation Metrics</w:t>
      </w:r>
    </w:p>
    <w:p w14:paraId="001001D4" w14:textId="001001D5">
      <w:pPr>
        <w:spacing w:after="160"/>
      </w:pPr>
      <w:r>
        <w:rPr>
          <w:sz w:val="24"/>
        </w:rPr>
        <w:t xml:space="preserve">Model performance was assessed using six evaluation metrics. Each metric captures a different aspect of classification quality:</w:t>
      </w:r>
    </w:p>
    <w:p w14:paraId="001001D6" w14:textId="001001D7">
      <w:pPr>
        <w:numPr>
          <w:ilvl w:val="0"/>
          <w:numId w:val="4"/>
        </w:numPr>
        <w:spacing w:after="80"/>
      </w:pPr>
      <w:r>
        <w:rPr>
          <w:sz w:val="24"/>
        </w:rPr>
        <w:t xml:space="preserve">Accuracy: The proportion of all predictions that are correct. Formula: (True Positives + True Negatives) / Total. Simple and intuitive, but can be misleading on imbalanced datasets.</w:t>
      </w:r>
    </w:p>
    <w:p w14:paraId="001001D8" w14:textId="001001D9">
      <w:pPr>
        <w:numPr>
          <w:ilvl w:val="0"/>
          <w:numId w:val="4"/>
        </w:numPr>
        <w:spacing w:after="80"/>
      </w:pPr>
      <w:r>
        <w:rPr>
          <w:sz w:val="24"/>
        </w:rPr>
        <w:t xml:space="preserve">Precision: Of all customers predicted to churn, what proportion actually churned? Formula: True Positives / (True Positives + False Positives). High precision means fewer false alarms.</w:t>
      </w:r>
    </w:p>
    <w:p w14:paraId="001001DA" w14:textId="001001DB">
      <w:pPr>
        <w:numPr>
          <w:ilvl w:val="0"/>
          <w:numId w:val="4"/>
        </w:numPr>
        <w:spacing w:after="80"/>
      </w:pPr>
      <w:r>
        <w:rPr>
          <w:sz w:val="24"/>
        </w:rPr>
        <w:t xml:space="preserve">Recall (Sensitivity): Of all customers who actually churned, what proportion did the model correctly identify? Formula: True Positives / (True Positives + False Negatives). High recall means fewer missed churners.</w:t>
      </w:r>
    </w:p>
    <w:p w14:paraId="001001DC" w14:textId="001001DD">
      <w:pPr>
        <w:numPr>
          <w:ilvl w:val="0"/>
          <w:numId w:val="4"/>
        </w:numPr>
        <w:spacing w:after="80"/>
      </w:pPr>
      <w:r>
        <w:rPr>
          <w:sz w:val="24"/>
        </w:rPr>
        <w:t xml:space="preserve">F1-Score: The harmonic mean of Precision and Recall. It provides a single balanced metric that accounts for both false positives and false negatives. Formula: 2 x (Precision x Recall) / (Precision + Recall).</w:t>
      </w:r>
    </w:p>
    <w:p w14:paraId="001001DE" w14:textId="001001DF">
      <w:pPr>
        <w:numPr>
          <w:ilvl w:val="0"/>
          <w:numId w:val="4"/>
        </w:numPr>
        <w:spacing w:after="80"/>
      </w:pPr>
      <w:r>
        <w:rPr>
          <w:sz w:val="24"/>
        </w:rPr>
        <w:t xml:space="preserve">ROC-AUC (Receiver Operating Characteristic - Area Under Curve): Measures the model's ability to distinguish between churned and active customers across all classification thresholds. A value of 1.0 is perfect; 0.5 is equivalent to random guessing. This is the primary selection metric as it is threshold-independent and robust to class balance.</w:t>
      </w:r>
    </w:p>
    <w:p w14:paraId="001001E0" w14:textId="001001E1">
      <w:pPr>
        <w:numPr>
          <w:ilvl w:val="0"/>
          <w:numId w:val="4"/>
        </w:numPr>
        <w:spacing w:after="160"/>
      </w:pPr>
      <w:r>
        <w:rPr>
          <w:sz w:val="24"/>
        </w:rPr>
        <w:t xml:space="preserve">Confusion Matrix: A 2x2 table showing the counts of True Positives, True Negatives, False Positives, and False Negatives. It provides a complete picture of prediction errors for each class.</w:t>
      </w:r>
    </w:p>
    <w:p w14:paraId="001001E2" w14:textId="001001E3">
      <w:pPr>
        <w:spacing w:after="320"/>
      </w:pPr>
      <w:r>
        <w:rPr>
          <w:sz w:val="24"/>
        </w:rPr>
        <w:t xml:space="preserve">Additionally, 5-Fold Stratified Cross-Validation was performed to assess model robustness and generalisability, reporting mean and standard deviation of ROC-AUC scores across folds.</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E4" w14:textId="00100324">
            <w:pPr>
              <w:pStyle w:val="Heading1"/>
              <w:spacing w:after="200"/>
            </w:pPr>
            <w:r>
              <w:rPr>
                <w:b/>
                <w:sz w:val="36"/>
              </w:rPr>
              <w:t xml:space="preserve">Model</w:t>
            </w:r>
          </w:p>
        </w:tc>
        <w:tc>
          <w:p w14:paraId="001001E6" w14:textId="001001E7">
            <w:r>
              <w:t xml:space="preserve">Accuracy</w:t>
            </w:r>
          </w:p>
        </w:tc>
        <w:tc>
          <w:p w14:paraId="001001E8" w14:textId="001001E9">
            <w:r>
              <w:t xml:space="preserve">Precision</w:t>
            </w:r>
          </w:p>
        </w:tc>
        <w:tc>
          <w:p w14:paraId="001001EA" w14:textId="001001EB">
            <w:r>
              <w:t xml:space="preserve">Recall</w:t>
            </w:r>
          </w:p>
        </w:tc>
        <w:tc>
          <w:p w14:paraId="001001EC" w14:textId="001001ED">
            <w:r>
              <w:t xml:space="preserve">F1-Score</w:t>
            </w:r>
          </w:p>
        </w:tc>
        <w:tc>
          <w:p w14:paraId="001001EE" w14:textId="001001EF">
            <w:r>
              <w:t xml:space="preserve">ROC-AUC</w:t>
            </w:r>
          </w:p>
        </w:tc>
      </w:tr>
      <w:tr>
        <w:trPr/>
        <w:tc>
          <w:p w14:paraId="001001F0" w14:textId="001001F1">
            <w:r>
              <w:t xml:space="preserve">Logistic Regression</w:t>
            </w:r>
          </w:p>
        </w:tc>
        <w:tc>
          <w:p w14:paraId="001001F2" w14:textId="001001F3">
            <w:r>
              <w:t xml:space="preserve">0.8850</w:t>
            </w:r>
          </w:p>
        </w:tc>
        <w:tc>
          <w:p w14:paraId="001001F4" w14:textId="001001F5">
            <w:r>
              <w:t xml:space="preserve">0.8731</w:t>
            </w:r>
          </w:p>
        </w:tc>
        <w:tc>
          <w:p w14:paraId="001001F6" w14:textId="001001F7">
            <w:r>
              <w:t xml:space="preserve">0.9026</w:t>
            </w:r>
          </w:p>
        </w:tc>
        <w:tc>
          <w:p w14:paraId="001001F8" w14:textId="001001F9">
            <w:r>
              <w:t xml:space="preserve">0.8876</w:t>
            </w:r>
          </w:p>
        </w:tc>
        <w:tc>
          <w:p w14:paraId="001001FA" w14:textId="001001FB">
            <w:r>
              <w:t xml:space="preserve">0.9588</w:t>
            </w:r>
          </w:p>
        </w:tc>
      </w:tr>
      <w:tr>
        <w:trPr/>
        <w:tc>
          <w:p w14:paraId="001001FC" w14:textId="001001FD">
            <w:r>
              <w:t xml:space="preserve">Decision Tree</w:t>
            </w:r>
          </w:p>
        </w:tc>
        <w:tc>
          <w:p w14:paraId="001001FE" w14:textId="001001FF">
            <w:r>
              <w:t xml:space="preserve">0.9350</w:t>
            </w:r>
          </w:p>
        </w:tc>
        <w:tc>
          <w:p w14:paraId="00100200" w14:textId="00100201">
            <w:r>
              <w:t xml:space="preserve">0.9660</w:t>
            </w:r>
          </w:p>
        </w:tc>
        <w:tc>
          <w:p w14:paraId="00100202" w14:textId="00100203">
            <w:r>
              <w:t xml:space="preserve">0.9026</w:t>
            </w:r>
          </w:p>
        </w:tc>
        <w:tc>
          <w:p w14:paraId="00100204" w14:textId="00100205">
            <w:r>
              <w:t xml:space="preserve">0.9332</w:t>
            </w:r>
          </w:p>
        </w:tc>
        <w:tc>
          <w:p w14:paraId="00100206" w14:textId="00100207">
            <w:r>
              <w:t xml:space="preserve">0.9841</w:t>
            </w:r>
          </w:p>
        </w:tc>
      </w:tr>
      <w:tr>
        <w:trPr/>
        <w:tc>
          <w:p w14:paraId="00100208" w14:textId="00100209">
            <w:r>
              <w:t xml:space="preserve">Random Forest</w:t>
            </w:r>
          </w:p>
        </w:tc>
        <w:tc>
          <w:p w14:paraId="0010020A" w14:textId="0010020B">
            <w:r>
              <w:t xml:space="preserve">0.9570</w:t>
            </w:r>
          </w:p>
        </w:tc>
        <w:tc>
          <w:p w14:paraId="0010020C" w14:textId="0010020D">
            <w:r>
              <w:t xml:space="preserve">0.9637</w:t>
            </w:r>
          </w:p>
        </w:tc>
        <w:tc>
          <w:p w14:paraId="0010020E" w14:textId="0010020F">
            <w:r>
              <w:t xml:space="preserve">0.9503</w:t>
            </w:r>
          </w:p>
        </w:tc>
        <w:tc>
          <w:p w14:paraId="00100210" w14:textId="00100211">
            <w:r>
              <w:t xml:space="preserve">0.9570</w:t>
            </w:r>
          </w:p>
        </w:tc>
        <w:tc>
          <w:p w14:paraId="00100212" w14:textId="00100213">
            <w:r>
              <w:t xml:space="preserve">0.9934</w:t>
            </w:r>
          </w:p>
        </w:tc>
      </w:tr>
      <w:tr>
        <w:trPr/>
        <w:tc>
          <w:p w14:paraId="00100214" w14:textId="00100215">
            <w:r>
              <w:t xml:space="preserve">Best Model</w:t>
            </w:r>
          </w:p>
        </w:tc>
        <w:tc>
          <w:p w14:paraId="00100216" w14:textId="00100217">
            <w:r>
              <w:t xml:space="preserve">Random Forest</w:t>
            </w:r>
          </w:p>
        </w:tc>
        <w:tc>
          <w:p w14:paraId="00100218" w14:textId="00100219">
            <w:r>
              <w:t xml:space="preserve">Random Forest</w:t>
            </w:r>
          </w:p>
        </w:tc>
        <w:tc>
          <w:p w14:paraId="0010021A" w14:textId="0010021B">
            <w:r>
              <w:t xml:space="preserve">Random Forest</w:t>
            </w:r>
          </w:p>
        </w:tc>
        <w:tc>
          <w:p w14:paraId="0010021C" w14:textId="0010021D">
            <w:r>
              <w:t xml:space="preserve">Random Forest</w:t>
            </w:r>
          </w:p>
        </w:tc>
        <w:tc>
          <w:p w14:paraId="0010021E" w14:textId="0010021F">
            <w:r>
              <w:t xml:space="preserve">Random Forest</w:t>
            </w:r>
          </w:p>
        </w:tc>
      </w:tr>
    </w:tbl>
    <w:p w14:paraId="00100325" w14:textId="00100326">
      <w:pPr>
        <w:pStyle w:val="Heading1"/>
        <w:spacing w:after="200"/>
      </w:pPr>
      <w:r>
        <w:rPr>
          <w:b/>
          <w:sz w:val="36"/>
        </w:rPr>
        <w:t xml:space="preserve">15. Results and Model Comparison</w:t>
      </w:r>
    </w:p>
    <w:p w14:paraId="00100220" w14:textId="00100221">
      <w:pPr>
        <w:spacing w:after="160"/>
      </w:pPr>
      <w:r>
        <w:rPr>
          <w:i/>
          <w:sz w:val="22"/>
        </w:rPr>
        <w:t xml:space="preserve">Note: All scores rounded to 4 decimal places. Higher is better for all metrics.</w:t>
      </w:r>
    </w:p>
    <w:p w14:paraId="00100222" w14:textId="00100223">
      <w:pPr>
        <w:spacing w:after="120"/>
        <w:jc w:val="center"/>
      </w:pPr>
      <w:r>
        <w:rPr>
          <w:b/>
          <w:sz w:val="24"/>
        </w:rPr>
        <w:t xml:space="preserve">Table 15.2 — 5-Fold Stratified Cross-Validation ROC-AUC</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24" w14:textId="00100225">
            <w:r>
              <w:t xml:space="preserve">Model</w:t>
            </w:r>
          </w:p>
        </w:tc>
        <w:tc>
          <w:p w14:paraId="00100226" w14:textId="00100227">
            <w:r>
              <w:t xml:space="preserve">Mean ROC-AUC (5-Fold CV)</w:t>
            </w:r>
          </w:p>
        </w:tc>
        <w:tc>
          <w:p w14:paraId="00100228" w14:textId="00100229">
            <w:r>
              <w:t xml:space="preserve">Standard Deviation</w:t>
            </w:r>
          </w:p>
        </w:tc>
      </w:tr>
      <w:tr>
        <w:trPr/>
        <w:tc>
          <w:p w14:paraId="0010022A" w14:textId="0010022B">
            <w:r>
              <w:t xml:space="preserve">Logistic Regression</w:t>
            </w:r>
          </w:p>
        </w:tc>
        <w:tc>
          <w:p w14:paraId="0010022C" w14:textId="0010022D">
            <w:r>
              <w:t xml:space="preserve">0.9590</w:t>
            </w:r>
          </w:p>
        </w:tc>
        <w:tc>
          <w:p w14:paraId="0010022E" w14:textId="0010022F">
            <w:r>
              <w:t xml:space="preserve">0.0054</w:t>
            </w:r>
          </w:p>
        </w:tc>
      </w:tr>
      <w:tr>
        <w:trPr/>
        <w:tc>
          <w:p w14:paraId="00100230" w14:textId="00100231">
            <w:r>
              <w:t xml:space="preserve">Decision Tree</w:t>
            </w:r>
          </w:p>
        </w:tc>
        <w:tc>
          <w:p w14:paraId="00100232" w14:textId="00100233">
            <w:r>
              <w:t xml:space="preserve">0.9789</w:t>
            </w:r>
          </w:p>
        </w:tc>
        <w:tc>
          <w:p w14:paraId="00100234" w14:textId="00100235">
            <w:r>
              <w:t xml:space="preserve">0.0045</w:t>
            </w:r>
          </w:p>
        </w:tc>
      </w:tr>
      <w:tr>
        <w:trPr/>
        <w:tc>
          <w:p w14:paraId="00100236" w14:textId="00100237">
            <w:r>
              <w:t xml:space="preserve">Random Forest</w:t>
            </w:r>
          </w:p>
        </w:tc>
        <w:tc>
          <w:p w14:paraId="00100238" w14:textId="00100239">
            <w:r>
              <w:t xml:space="preserve">0.9933</w:t>
            </w:r>
          </w:p>
        </w:tc>
        <w:tc>
          <w:p w14:paraId="0010023A" w14:textId="0010023B">
            <w:r>
              <w:t xml:space="preserve">0.0020</w:t>
            </w:r>
          </w:p>
        </w:tc>
      </w:tr>
    </w:tbl>
    <w:p w14:paraId="0010023C" w14:textId="0010023D">
      <w:pPr>
        <w:pStyle w:val="Heading1"/>
        <w:spacing w:after="200"/>
      </w:pPr>
      <w:r>
        <w:rPr>
          <w:b/>
          <w:sz w:val="36"/>
        </w:rPr>
        <w:t xml:space="preserve">16. Best Model Selection</w:t>
      </w:r>
    </w:p>
    <w:p w14:paraId="0010023E" w14:textId="0010023F">
      <w:pPr>
        <w:spacing w:after="160"/>
      </w:pPr>
      <w:r>
        <w:rPr>
          <w:sz w:val="24"/>
        </w:rPr>
        <w:t xml:space="preserve">The Random Forest Classifier was selected as the best-performing model based on the highest ROC-AUC score of 0.9934 on the test set and 0.9933 (mean) across 5-fold cross-validation.</w:t>
      </w:r>
    </w:p>
    <w:p w14:paraId="00100240" w14:textId="00100241">
      <w:pPr>
        <w:spacing w:after="160"/>
      </w:pPr>
      <w:r>
        <w:rPr>
          <w:sz w:val="24"/>
        </w:rPr>
        <w:t xml:space="preserve">ROC-AUC was chosen as the primary selection criterion because it is threshold-independent and measures the model's discriminative ability across the full range of classification operating points. This makes it more reliable than Accuracy alone, particularly in settings where the cost of missing a churned customer (false negative) differs from the cost of incorrectly flagging an active customer (false positive).</w:t>
      </w:r>
    </w:p>
    <w:p w14:paraId="00100242" w14:textId="00100243">
      <w:pPr>
        <w:spacing w:after="160"/>
      </w:pPr>
      <w:r>
        <w:rPr>
          <w:sz w:val="24"/>
        </w:rPr>
        <w:t xml:space="preserve">In addition to the best ROC-AUC, Random Forest also achieved the highest Accuracy (95.70%), highest F1-Score (0.9570), and highest Recall (0.9503) among all three models, confirming its superiority across every measured dimension.</w:t>
      </w:r>
    </w:p>
    <w:p w14:paraId="00100244" w14:textId="00100245">
      <w:pPr>
        <w:spacing w:after="320"/>
      </w:pPr>
      <w:r>
        <w:rPr>
          <w:sz w:val="24"/>
        </w:rPr>
        <w:t xml:space="preserve">The superiority of Random Forest stems from its ensemble nature: by aggregating 200 decision trees trained on random subsets of data and features, it reduces both variance (overfitting) and bias, producing a robust and generalisable model.</w:t>
      </w:r>
    </w:p>
    <w:p w14:paraId="00100246" w14:textId="00100247">
      <w:pPr>
        <w:pStyle w:val="Heading1"/>
        <w:spacing w:after="200"/>
      </w:pPr>
      <w:r>
        <w:rPr>
          <w:b/>
          <w:sz w:val="36"/>
        </w:rPr>
        <w:t xml:space="preserve">17. Feature Importance</w:t>
      </w:r>
    </w:p>
    <w:p w14:paraId="00100248" w14:textId="00100249">
      <w:pPr>
        <w:spacing w:after="160"/>
      </w:pPr>
      <w:r>
        <w:rPr>
          <w:sz w:val="24"/>
        </w:rPr>
        <w:t xml:space="preserve">Feature importance scores from the trained Random Forest model indicate the relative contribution of each feature to the model's predictions, measured by Mean Decrease in Impurity (Gini importance). The table below presents the importance scores for all 12 features used in training.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4A" w14:textId="0010024B">
            <w:r>
              <w:t xml:space="preserve">Rank</w:t>
            </w:r>
          </w:p>
        </w:tc>
        <w:tc>
          <w:p w14:paraId="0010024C" w14:textId="0010024D">
            <w:r>
              <w:t xml:space="preserve">Feature</w:t>
            </w:r>
          </w:p>
        </w:tc>
        <w:tc>
          <w:p w14:paraId="0010024E" w14:textId="0010024F">
            <w:r>
              <w:t xml:space="preserve">Importance Score</w:t>
            </w:r>
          </w:p>
        </w:tc>
      </w:tr>
      <w:tr>
        <w:trPr/>
        <w:tc>
          <w:p w14:paraId="00100250" w14:textId="00100251">
            <w:r>
              <w:t xml:space="preserve">1</w:t>
            </w:r>
          </w:p>
        </w:tc>
        <w:tc>
          <w:p w14:paraId="00100252" w14:textId="00100253">
            <w:r>
              <w:t xml:space="preserve">avg_watch_time_per_day</w:t>
            </w:r>
          </w:p>
        </w:tc>
        <w:tc>
          <w:p w14:paraId="00100254" w14:textId="00100255">
            <w:r>
              <w:t xml:space="preserve">0.4310</w:t>
            </w:r>
          </w:p>
        </w:tc>
      </w:tr>
      <w:tr>
        <w:trPr/>
        <w:tc>
          <w:p w14:paraId="00100256" w14:textId="00100257">
            <w:r>
              <w:t xml:space="preserve">2</w:t>
            </w:r>
          </w:p>
        </w:tc>
        <w:tc>
          <w:p w14:paraId="00100258" w14:textId="00100259">
            <w:r>
              <w:t xml:space="preserve">watch_hours</w:t>
            </w:r>
          </w:p>
        </w:tc>
        <w:tc>
          <w:p w14:paraId="0010025A" w14:textId="0010025B">
            <w:r>
              <w:t xml:space="preserve">0.2260</w:t>
            </w:r>
          </w:p>
        </w:tc>
      </w:tr>
      <w:tr>
        <w:trPr/>
        <w:tc>
          <w:p w14:paraId="0010025C" w14:textId="0010025D">
            <w:r>
              <w:t xml:space="preserve">3</w:t>
            </w:r>
          </w:p>
        </w:tc>
        <w:tc>
          <w:p w14:paraId="0010025E" w14:textId="0010025F">
            <w:r>
              <w:t xml:space="preserve">last_login_days</w:t>
            </w:r>
          </w:p>
        </w:tc>
        <w:tc>
          <w:p w14:paraId="00100260" w14:textId="00100261">
            <w:r>
              <w:t xml:space="preserve">0.1937</w:t>
            </w:r>
          </w:p>
        </w:tc>
      </w:tr>
      <w:tr>
        <w:trPr/>
        <w:tc>
          <w:p w14:paraId="00100262" w14:textId="00100263">
            <w:r>
              <w:t xml:space="preserve">4</w:t>
            </w:r>
          </w:p>
        </w:tc>
        <w:tc>
          <w:p w14:paraId="00100264" w14:textId="00100265">
            <w:r>
              <w:t xml:space="preserve">number_of_profiles</w:t>
            </w:r>
          </w:p>
        </w:tc>
        <w:tc>
          <w:p w14:paraId="00100266" w14:textId="00100267">
            <w:r>
              <w:t xml:space="preserve">0.0651</w:t>
            </w:r>
          </w:p>
        </w:tc>
      </w:tr>
      <w:tr>
        <w:trPr/>
        <w:tc>
          <w:p w14:paraId="00100268" w14:textId="00100269">
            <w:r>
              <w:t xml:space="preserve">5</w:t>
            </w:r>
          </w:p>
        </w:tc>
        <w:tc>
          <w:p w14:paraId="0010026A" w14:textId="0010026B">
            <w:r>
              <w:t xml:space="preserve">monthly_fee</w:t>
            </w:r>
          </w:p>
        </w:tc>
        <w:tc>
          <w:p w14:paraId="0010026C" w14:textId="0010026D">
            <w:r>
              <w:t xml:space="preserve">0.0226</w:t>
            </w:r>
          </w:p>
        </w:tc>
      </w:tr>
      <w:tr>
        <w:trPr/>
        <w:tc>
          <w:p w14:paraId="0010026E" w14:textId="0010026F">
            <w:r>
              <w:t xml:space="preserve">6</w:t>
            </w:r>
          </w:p>
        </w:tc>
        <w:tc>
          <w:p w14:paraId="00100270" w14:textId="00100271">
            <w:r>
              <w:t xml:space="preserve">age</w:t>
            </w:r>
          </w:p>
        </w:tc>
        <w:tc>
          <w:p w14:paraId="00100272" w14:textId="00100273">
            <w:r>
              <w:t xml:space="preserve">0.0211</w:t>
            </w:r>
          </w:p>
        </w:tc>
      </w:tr>
      <w:tr>
        <w:trPr/>
        <w:tc>
          <w:p w14:paraId="00100274" w14:textId="00100275">
            <w:r>
              <w:t xml:space="preserve">7</w:t>
            </w:r>
          </w:p>
        </w:tc>
        <w:tc>
          <w:p w14:paraId="00100276" w14:textId="00100277">
            <w:r>
              <w:t xml:space="preserve">subscription_type</w:t>
            </w:r>
          </w:p>
        </w:tc>
        <w:tc>
          <w:p w14:paraId="00100278" w14:textId="00100279">
            <w:r>
              <w:t xml:space="preserve">0.0148</w:t>
            </w:r>
          </w:p>
        </w:tc>
      </w:tr>
      <w:tr>
        <w:trPr/>
        <w:tc>
          <w:p w14:paraId="0010027A" w14:textId="0010027B">
            <w:r>
              <w:t xml:space="preserve">8</w:t>
            </w:r>
          </w:p>
        </w:tc>
        <w:tc>
          <w:p w14:paraId="0010027C" w14:textId="0010027D">
            <w:r>
              <w:t xml:space="preserve">region</w:t>
            </w:r>
          </w:p>
        </w:tc>
        <w:tc>
          <w:p w14:paraId="0010027E" w14:textId="0010027F">
            <w:r>
              <w:t xml:space="preserve">0.0085</w:t>
            </w:r>
          </w:p>
        </w:tc>
      </w:tr>
      <w:tr>
        <w:trPr/>
        <w:tc>
          <w:p w14:paraId="00100280" w14:textId="00100281">
            <w:r>
              <w:t xml:space="preserve">9</w:t>
            </w:r>
          </w:p>
        </w:tc>
        <w:tc>
          <w:p w14:paraId="00100282" w14:textId="00100283">
            <w:r>
              <w:t xml:space="preserve">payment_method</w:t>
            </w:r>
          </w:p>
        </w:tc>
        <w:tc>
          <w:p w14:paraId="00100284" w14:textId="00100285">
            <w:r>
              <w:t xml:space="preserve">0.0069</w:t>
            </w:r>
          </w:p>
        </w:tc>
      </w:tr>
      <w:tr>
        <w:trPr/>
        <w:tc>
          <w:p w14:paraId="00100286" w14:textId="00100287">
            <w:r>
              <w:t xml:space="preserve">10</w:t>
            </w:r>
          </w:p>
        </w:tc>
        <w:tc>
          <w:p w14:paraId="00100288" w14:textId="00100289">
            <w:r>
              <w:t xml:space="preserve">device</w:t>
            </w:r>
          </w:p>
        </w:tc>
        <w:tc>
          <w:p w14:paraId="0010028A" w14:textId="0010028B">
            <w:r>
              <w:t xml:space="preserve">0.0051</w:t>
            </w:r>
          </w:p>
        </w:tc>
      </w:tr>
      <w:tr>
        <w:trPr/>
        <w:tc>
          <w:p w14:paraId="0010028C" w14:textId="0010028D">
            <w:r>
              <w:t xml:space="preserve">11</w:t>
            </w:r>
          </w:p>
        </w:tc>
        <w:tc>
          <w:p w14:paraId="0010028E" w14:textId="0010028F">
            <w:r>
              <w:t xml:space="preserve">gender</w:t>
            </w:r>
          </w:p>
        </w:tc>
        <w:tc>
          <w:p w14:paraId="00100290" w14:textId="00100291">
            <w:r>
              <w:t xml:space="preserve">0.0029</w:t>
            </w:r>
          </w:p>
        </w:tc>
      </w:tr>
      <w:tr>
        <w:trPr/>
        <w:tc>
          <w:p w14:paraId="00100292" w14:textId="00100293">
            <w:r>
              <w:t xml:space="preserve">12</w:t>
            </w:r>
          </w:p>
        </w:tc>
        <w:tc>
          <w:p w14:paraId="00100294" w14:textId="00100295">
            <w:r>
              <w:t xml:space="preserve">favorite_genre</w:t>
            </w:r>
          </w:p>
        </w:tc>
        <w:tc>
          <w:p w14:paraId="00100296" w14:textId="00100297">
            <w:r>
              <w:t xml:space="preserve">0.0022</w:t>
            </w:r>
          </w:p>
        </w:tc>
      </w:tr>
    </w:tbl>
    <w:p w14:paraId="00100298" w14:textId="00100299">
      <w:pPr>
        <w:spacing w:after="320"/>
      </w:pPr>
      <w:r>
        <w:rPr>
          <w:sz w:val="24"/>
        </w:rPr>
        <w:t xml:space="preserve">The three most important features are avg_watch_time_per_day, watch_hours, and last_login_days. Together, these three features account for the majority of the model's predictive power. All three are behavioural engagement metrics, confirming that customer activity and content consumption are the strongest predictors of churn.</w:t>
      </w:r>
    </w:p>
    <w:p w14:paraId="0010029A" w14:textId="0010029B">
      <w:pPr>
        <w:pStyle w:val="Heading1"/>
        <w:spacing w:after="200"/>
      </w:pPr>
      <w:r>
        <w:rPr>
          <w:b/>
          <w:sz w:val="36"/>
        </w:rPr>
        <w:t xml:space="preserve">18. Business Insights and Recommendations</w:t>
      </w:r>
    </w:p>
    <w:p w14:paraId="0010029C" w14:textId="0010029D">
      <w:pPr>
        <w:spacing w:after="160"/>
      </w:pPr>
      <w:r>
        <w:rPr>
          <w:sz w:val="24"/>
        </w:rPr>
        <w:t xml:space="preserve">Based on the findings from EDA and the trained models, ten actionable business recommendations are presented for Netflix to reduce customer churn:</w:t>
      </w:r>
    </w:p>
    <w:p w14:paraId="0010029E" w14:textId="0010029F">
      <w:pPr>
        <w:numPr>
          <w:ilvl w:val="0"/>
          <w:numId w:val="5"/>
        </w:numPr>
        <w:spacing w:after="120"/>
      </w:pPr>
      <w:r>
        <w:rPr>
          <w:sz w:val="24"/>
        </w:rPr>
        <w:t xml:space="preserve">1. Re-engage Inactive Users: Customers who have not logged in for 10 or more days are significantly more likely to churn. Netflix should deploy personalised re-engagement campaigns — push notifications, email highlights of new content in the customer's preferred genre — triggered by inactivity thresholds.</w:t>
      </w:r>
    </w:p>
    <w:p w14:paraId="001002A0" w14:textId="001002A1">
      <w:pPr>
        <w:numPr>
          <w:ilvl w:val="0"/>
          <w:numId w:val="5"/>
        </w:numPr>
        <w:spacing w:after="120"/>
      </w:pPr>
      <w:r>
        <w:rPr>
          <w:sz w:val="24"/>
        </w:rPr>
        <w:t xml:space="preserve">2. Increase Content Consumption: Low watch_hours and low avg_watch_time_per_day are strong churn indicators. Features such as curated playlists, personalised recommendations, 'Continue Watching' reminders, and episode auto-play can increase engagement.</w:t>
      </w:r>
    </w:p>
    <w:p w14:paraId="001002A2" w14:textId="001002A3">
      <w:pPr>
        <w:numPr>
          <w:ilvl w:val="0"/>
          <w:numId w:val="5"/>
        </w:numPr>
        <w:spacing w:after="120"/>
      </w:pPr>
      <w:r>
        <w:rPr>
          <w:sz w:val="24"/>
        </w:rPr>
        <w:t xml:space="preserve">3. Subscription Upgrade Incentives: Basic-tier subscribers showed the highest churn rate. Offering time-limited promotional upgrades to Standard or Premium plans — potentially at a reduced price for the first month — may improve retention and revenue simultaneously.</w:t>
      </w:r>
    </w:p>
    <w:p w14:paraId="001002A4" w14:textId="001002A5">
      <w:pPr>
        <w:numPr>
          <w:ilvl w:val="0"/>
          <w:numId w:val="5"/>
        </w:numPr>
        <w:spacing w:after="120"/>
      </w:pPr>
      <w:r>
        <w:rPr>
          <w:sz w:val="24"/>
        </w:rPr>
        <w:t xml:space="preserve">4. Regional Content Localisation: High-churn regions require localised content investment. Producing or licensing regional-language films, sports coverage, and culturally relevant programming can improve subscriber relevance and loyalty.</w:t>
      </w:r>
    </w:p>
    <w:p w14:paraId="001002A6" w14:textId="001002A7">
      <w:pPr>
        <w:numPr>
          <w:ilvl w:val="0"/>
          <w:numId w:val="5"/>
        </w:numPr>
        <w:spacing w:after="120"/>
      </w:pPr>
      <w:r>
        <w:rPr>
          <w:sz w:val="24"/>
        </w:rPr>
        <w:t xml:space="preserve">5. Multi-Profile Adoption: Single-profile accounts churn at a higher rate. Netflix should actively prompt users to create additional profiles for family members or household residents, increasing household adoption and product stickiness.</w:t>
      </w:r>
    </w:p>
    <w:p w14:paraId="001002A8" w14:textId="001002A9">
      <w:pPr>
        <w:numPr>
          <w:ilvl w:val="0"/>
          <w:numId w:val="5"/>
        </w:numPr>
        <w:spacing w:after="120"/>
      </w:pPr>
      <w:r>
        <w:rPr>
          <w:sz w:val="24"/>
        </w:rPr>
        <w:t xml:space="preserve">6. Payment Experience Improvement: Churn variation across payment methods suggests that payment friction (failed renewals, expired cards, cryptocurrency volatility) contributes to involuntary churn. Proactive billing reminders and seamless payment retry flows are recommended.</w:t>
      </w:r>
    </w:p>
    <w:p w14:paraId="001002AA" w14:textId="001002AB">
      <w:pPr>
        <w:numPr>
          <w:ilvl w:val="0"/>
          <w:numId w:val="5"/>
        </w:numPr>
        <w:spacing w:after="120"/>
      </w:pPr>
      <w:r>
        <w:rPr>
          <w:sz w:val="24"/>
        </w:rPr>
        <w:t xml:space="preserve">7. Device-Specific App Quality: Higher churn on certain devices may reflect a subpar user experience on those platforms. Netflix should prioritise quality assurance and feature parity across all device types, particularly Mobile and Tablet.</w:t>
      </w:r>
    </w:p>
    <w:p w14:paraId="001002AC" w14:textId="001002AD">
      <w:pPr>
        <w:numPr>
          <w:ilvl w:val="0"/>
          <w:numId w:val="5"/>
        </w:numPr>
        <w:spacing w:after="120"/>
      </w:pPr>
      <w:r>
        <w:rPr>
          <w:sz w:val="24"/>
        </w:rPr>
        <w:t xml:space="preserve">8. Real-Time Churn Scoring: The trained Random Forest model should be deployed as a real-time or batch churn-risk scoring engine. Customers with a predicted churn probability exceeding 0.65 should be flagged automatically and targeted with personalised retention offers, discounts, or early access to new content.</w:t>
      </w:r>
    </w:p>
    <w:p w14:paraId="001002AE" w14:textId="001002AF">
      <w:pPr>
        <w:numPr>
          <w:ilvl w:val="0"/>
          <w:numId w:val="5"/>
        </w:numPr>
        <w:spacing w:after="120"/>
      </w:pPr>
      <w:r>
        <w:rPr>
          <w:sz w:val="24"/>
        </w:rPr>
        <w:t xml:space="preserve">9. Content Strategy for High-Churn Genres: Genres associated with above-average churn rates indicate content gaps. Netflix should commission or acquire additional content in those genres to improve satisfaction and reduce cancellation in the corresponding audience segments.</w:t>
      </w:r>
    </w:p>
    <w:p w14:paraId="001002B0" w14:textId="001002B1">
      <w:pPr>
        <w:numPr>
          <w:ilvl w:val="0"/>
          <w:numId w:val="5"/>
        </w:numPr>
        <w:spacing w:after="320"/>
      </w:pPr>
      <w:r>
        <w:rPr>
          <w:sz w:val="24"/>
        </w:rPr>
        <w:t xml:space="preserve">10. Loyalty and Reward Programme: Introducing milestone rewards (for example, watching 100 hours unlocks a free month, or referring a new subscriber provides a discount) can create positive reinforcement loops that improve long-term subscriber retention.</w:t>
      </w:r>
    </w:p>
    <w:p w14:paraId="001002B2" w14:textId="001002B3">
      <w:pPr>
        <w:pStyle w:val="Heading1"/>
        <w:spacing w:after="200"/>
      </w:pPr>
      <w:r>
        <w:rPr>
          <w:b/>
          <w:sz w:val="36"/>
        </w:rPr>
        <w:t xml:space="preserve">19. Limitations of the Project</w:t>
      </w:r>
    </w:p>
    <w:p w14:paraId="001002B4" w14:textId="001002B5">
      <w:pPr>
        <w:spacing w:after="160"/>
      </w:pPr>
      <w:r>
        <w:rPr>
          <w:sz w:val="24"/>
        </w:rPr>
        <w:t xml:space="preserve">Every project has inherent limitations. The following limitations are acknowledged transparently:</w:t>
      </w:r>
    </w:p>
    <w:p w14:paraId="001002B6" w14:textId="001002B7">
      <w:pPr>
        <w:numPr>
          <w:ilvl w:val="0"/>
          <w:numId w:val="6"/>
        </w:numPr>
        <w:spacing w:after="120"/>
      </w:pPr>
      <w:r>
        <w:rPr>
          <w:sz w:val="24"/>
        </w:rPr>
        <w:t xml:space="preserve">Dataset Size: The dataset contains 5,000 records, which is sufficient for an academic demonstration but is several orders of magnitude smaller than Netflix's actual subscriber base of over 200 million. Model generalisability to real-world scale cannot be guaranteed.</w:t>
      </w:r>
    </w:p>
    <w:p w14:paraId="001002B8" w14:textId="001002B9">
      <w:pPr>
        <w:numPr>
          <w:ilvl w:val="0"/>
          <w:numId w:val="6"/>
        </w:numPr>
        <w:spacing w:after="120"/>
      </w:pPr>
      <w:r>
        <w:rPr>
          <w:sz w:val="24"/>
        </w:rPr>
        <w:t xml:space="preserve">Absence of Temporal Features: The dataset does not include a subscription start date or account tenure column. As a result, lifecycle-based churn patterns — such as spikes at the 3-month or 12-month mark — could not be modelled.</w:t>
      </w:r>
    </w:p>
    <w:p w14:paraId="001002BA" w14:textId="001002BB">
      <w:pPr>
        <w:numPr>
          <w:ilvl w:val="0"/>
          <w:numId w:val="6"/>
        </w:numPr>
        <w:spacing w:after="120"/>
      </w:pPr>
      <w:r>
        <w:rPr>
          <w:sz w:val="24"/>
        </w:rPr>
        <w:t xml:space="preserve">Label Encoding Limitation: Label Encoding was applied to all categorical features. For nominal features (those without a natural ordering, such as region, device, or payment_method), this introduces an artificial ordinal relationship that may reduce Logistic Regression performance. One-Hot Encoding would be more appropriate for these features in a production environment.</w:t>
      </w:r>
    </w:p>
    <w:p w14:paraId="001002BC" w14:textId="001002BD">
      <w:pPr>
        <w:numPr>
          <w:ilvl w:val="0"/>
          <w:numId w:val="6"/>
        </w:numPr>
        <w:spacing w:after="120"/>
      </w:pPr>
      <w:r>
        <w:rPr>
          <w:sz w:val="24"/>
        </w:rPr>
        <w:t xml:space="preserve">No Hyperparameter Optimisation: All models used manually selected hyperparameters. A production-grade system would employ automated hyperparameter search (GridSearchCV, RandomizedSearchCV, or Bayesian optimisation) to find the optimal configuration.</w:t>
      </w:r>
    </w:p>
    <w:p w14:paraId="001002BE" w14:textId="001002BF">
      <w:pPr>
        <w:numPr>
          <w:ilvl w:val="0"/>
          <w:numId w:val="6"/>
        </w:numPr>
        <w:spacing w:after="120"/>
      </w:pPr>
      <w:r>
        <w:rPr>
          <w:sz w:val="24"/>
        </w:rPr>
        <w:t xml:space="preserve">Static Dataset: The trained model reflects a single snapshot of customer data. Customer behaviour evolves over time, and without periodic retraining, the model will suffer from concept drift and its predictive accuracy will degrade.</w:t>
      </w:r>
    </w:p>
    <w:p w14:paraId="001002C0" w14:textId="001002C1">
      <w:pPr>
        <w:numPr>
          <w:ilvl w:val="0"/>
          <w:numId w:val="6"/>
        </w:numPr>
        <w:spacing w:after="120"/>
      </w:pPr>
      <w:r>
        <w:rPr>
          <w:sz w:val="24"/>
        </w:rPr>
        <w:t xml:space="preserve">Binary Prediction Only: The model predicts whether a customer will churn, but not when they will churn or what the primary reason is. Survival analysis models (Kaplan-Meier, Cox Proportional Hazards) would be needed for time-to-churn prediction. Causal inference methods would be required for root-cause analysis.</w:t>
      </w:r>
    </w:p>
    <w:p w14:paraId="001002C2" w14:textId="001002C3">
      <w:pPr>
        <w:numPr>
          <w:ilvl w:val="0"/>
          <w:numId w:val="6"/>
        </w:numPr>
        <w:spacing w:after="320"/>
      </w:pPr>
      <w:r>
        <w:rPr>
          <w:sz w:val="24"/>
        </w:rPr>
        <w:t xml:space="preserve">External Factors Not Captured: Competitor pricing changes, macroeconomic conditions, content exclusivity disputes, and seasonal viewing patterns are not reflected in the dataset.</w:t>
      </w:r>
    </w:p>
    <w:p w14:paraId="001002C4" w14:textId="001002C5">
      <w:pPr>
        <w:pStyle w:val="Heading1"/>
        <w:spacing w:after="200"/>
      </w:pPr>
      <w:r>
        <w:rPr>
          <w:b/>
          <w:sz w:val="36"/>
        </w:rPr>
        <w:t xml:space="preserve">20. Ethical Considerations</w:t>
      </w:r>
    </w:p>
    <w:p w14:paraId="001002C6" w14:textId="001002C7">
      <w:pPr>
        <w:spacing w:after="160"/>
      </w:pPr>
      <w:r>
        <w:rPr>
          <w:sz w:val="24"/>
        </w:rPr>
        <w:t xml:space="preserve">The development and deployment of churn prediction models raises important ethical considerations that must be addressed responsibly:</w:t>
      </w:r>
    </w:p>
    <w:p w14:paraId="001002C8" w14:textId="001002C9">
      <w:pPr>
        <w:numPr>
          <w:ilvl w:val="0"/>
          <w:numId w:val="7"/>
        </w:numPr>
        <w:spacing w:after="120"/>
      </w:pPr>
      <w:r>
        <w:rPr>
          <w:sz w:val="24"/>
        </w:rPr>
        <w:t xml:space="preserve">Academic Use Only: This project is conducted strictly for academic and educational purposes as part of the IBM SkillsBuild internship programme. The dataset used is a structured demonstration dataset and does not contain real personally identifiable information (PII) about actual Netflix subscribers.</w:t>
      </w:r>
    </w:p>
    <w:p w14:paraId="001002CA" w14:textId="001002CB">
      <w:pPr>
        <w:numPr>
          <w:ilvl w:val="0"/>
          <w:numId w:val="7"/>
        </w:numPr>
        <w:spacing w:after="120"/>
      </w:pPr>
      <w:r>
        <w:rPr>
          <w:sz w:val="24"/>
        </w:rPr>
        <w:t xml:space="preserve">Data Privacy: Any real-world deployment of churn prediction models must comply with applicable data protection regulations, including the General Data Protection Regulation (GDPR) in Europe, the Information Technology (Amendment) Act in India, and other relevant jurisdiction-specific frameworks. Customers must consent to the use of their behavioural data for predictive purposes.</w:t>
      </w:r>
    </w:p>
    <w:p w14:paraId="001002CC" w14:textId="001002CD">
      <w:pPr>
        <w:numPr>
          <w:ilvl w:val="0"/>
          <w:numId w:val="7"/>
        </w:numPr>
        <w:spacing w:after="120"/>
      </w:pPr>
      <w:r>
        <w:rPr>
          <w:sz w:val="24"/>
        </w:rPr>
        <w:t xml:space="preserve">Fairness and Bias: Machine learning models may perpetuate or amplify biases present in training data. In this project, churn rates were observed to vary across gender, region, and age groups. Any production deployment must be audited to ensure that predictions do not unfairly discriminate against specific demographic groups. Differential treatment of customers based solely on demographic features is ethically and potentially legally problematic.</w:t>
      </w:r>
    </w:p>
    <w:p w14:paraId="001002CE" w14:textId="001002CF">
      <w:pPr>
        <w:numPr>
          <w:ilvl w:val="0"/>
          <w:numId w:val="7"/>
        </w:numPr>
        <w:spacing w:after="120"/>
      </w:pPr>
      <w:r>
        <w:rPr>
          <w:sz w:val="24"/>
        </w:rPr>
        <w:t xml:space="preserve">Model Transparency: Customers should ideally be informed if automated systems influence the offers and incentives they receive. Organisations should maintain transparency about the use of predictive AI and ensure that affected individuals can request explanations or contest automated decisions.</w:t>
      </w:r>
    </w:p>
    <w:p w14:paraId="001002D0" w14:textId="001002D1">
      <w:pPr>
        <w:numPr>
          <w:ilvl w:val="0"/>
          <w:numId w:val="7"/>
        </w:numPr>
        <w:spacing w:after="320"/>
      </w:pPr>
      <w:r>
        <w:rPr>
          <w:sz w:val="24"/>
        </w:rPr>
        <w:t xml:space="preserve">Responsible AI: The model should be periodically reviewed for performance degradation, bias amplification, and alignment with organisational values. A human-in-the-loop review process is recommended for high-stakes decisions derived from model predictions.</w:t>
      </w:r>
    </w:p>
    <w:p w14:paraId="001002D2" w14:textId="001002D3">
      <w:pPr>
        <w:pStyle w:val="Heading1"/>
        <w:spacing w:after="200"/>
      </w:pPr>
      <w:r>
        <w:rPr>
          <w:b/>
          <w:sz w:val="36"/>
        </w:rPr>
        <w:t xml:space="preserve">21. Future Work</w:t>
      </w:r>
    </w:p>
    <w:p w14:paraId="001002D4" w14:textId="001002D5">
      <w:pPr>
        <w:spacing w:after="160"/>
      </w:pPr>
      <w:r>
        <w:rPr>
          <w:sz w:val="24"/>
        </w:rPr>
        <w:t xml:space="preserve">The following improvements and extensions are recommended for future iterations of this project:</w:t>
      </w:r>
    </w:p>
    <w:p w14:paraId="001002D6" w14:textId="001002D7">
      <w:pPr>
        <w:numPr>
          <w:ilvl w:val="0"/>
          <w:numId w:val="8"/>
        </w:numPr>
        <w:spacing w:after="120"/>
      </w:pPr>
      <w:r>
        <w:rPr>
          <w:sz w:val="24"/>
        </w:rPr>
        <w:t xml:space="preserve">1. Hyperparameter Optimisation: Apply GridSearchCV, RandomizedSearchCV, or Bayesian optimisation (using libraries such as Optuna or Hyperopt) to systematically identify the optimal hyperparameter configuration for each model.</w:t>
      </w:r>
    </w:p>
    <w:p w14:paraId="001002D8" w14:textId="001002D9">
      <w:pPr>
        <w:numPr>
          <w:ilvl w:val="0"/>
          <w:numId w:val="8"/>
        </w:numPr>
        <w:spacing w:after="120"/>
      </w:pPr>
      <w:r>
        <w:rPr>
          <w:sz w:val="24"/>
        </w:rPr>
        <w:t xml:space="preserve">2. Advanced Ensemble Methods: Evaluate gradient boosting algorithms such as XGBoost, LightGBM, and CatBoost, which typically outperform standard Random Forest on structured tabular data.</w:t>
      </w:r>
    </w:p>
    <w:p w14:paraId="001002DA" w14:textId="001002DB">
      <w:pPr>
        <w:numPr>
          <w:ilvl w:val="0"/>
          <w:numId w:val="8"/>
        </w:numPr>
        <w:spacing w:after="120"/>
      </w:pPr>
      <w:r>
        <w:rPr>
          <w:sz w:val="24"/>
        </w:rPr>
        <w:t xml:space="preserve">3. SHAP Explainability: Integrate SHAP (SHapley Additive exPlanations) to provide per-customer churn explanations. SHAP values identify the specific features driving each individual prediction, enabling targeted and explainable retention interventions.</w:t>
      </w:r>
    </w:p>
    <w:p w14:paraId="001002DC" w14:textId="001002DD">
      <w:pPr>
        <w:numPr>
          <w:ilvl w:val="0"/>
          <w:numId w:val="8"/>
        </w:numPr>
        <w:spacing w:after="120"/>
      </w:pPr>
      <w:r>
        <w:rPr>
          <w:sz w:val="24"/>
        </w:rPr>
        <w:t xml:space="preserve">4. One-Hot Encoding: Replace Label Encoding with One-Hot Encoding for nominal categorical features to eliminate artificial ordinal relationships and improve Logistic Regression performance.</w:t>
      </w:r>
    </w:p>
    <w:p w14:paraId="001002DE" w14:textId="001002DF">
      <w:pPr>
        <w:numPr>
          <w:ilvl w:val="0"/>
          <w:numId w:val="8"/>
        </w:numPr>
        <w:spacing w:after="120"/>
      </w:pPr>
      <w:r>
        <w:rPr>
          <w:sz w:val="24"/>
        </w:rPr>
        <w:t xml:space="preserve">5. Temporal Feature Engineering: Incorporate subscription tenure, rolling watch-time trends (e.g., 7-day and 30-day rolling averages), and login streak features to capture time-dependent behaviour patterns.</w:t>
      </w:r>
    </w:p>
    <w:p w14:paraId="001002E0" w14:textId="001002E1">
      <w:pPr>
        <w:numPr>
          <w:ilvl w:val="0"/>
          <w:numId w:val="8"/>
        </w:numPr>
        <w:spacing w:after="120"/>
      </w:pPr>
      <w:r>
        <w:rPr>
          <w:sz w:val="24"/>
        </w:rPr>
        <w:t xml:space="preserve">6. Survival Analysis: Apply Kaplan-Meier curves and Cox Proportional Hazards models to predict the time-to-churn rather than only the binary outcome, enabling more nuanced retention prioritisation.</w:t>
      </w:r>
    </w:p>
    <w:p w14:paraId="001002E2" w14:textId="001002E3">
      <w:pPr>
        <w:numPr>
          <w:ilvl w:val="0"/>
          <w:numId w:val="8"/>
        </w:numPr>
        <w:spacing w:after="120"/>
      </w:pPr>
      <w:r>
        <w:rPr>
          <w:sz w:val="24"/>
        </w:rPr>
        <w:t xml:space="preserve">7. Deep Learning: Explore multi-layer perceptron (MLP) neural networks for potentially superior performance on non-linear patterns in larger datasets.</w:t>
      </w:r>
    </w:p>
    <w:p w14:paraId="001002E4" w14:textId="001002E5">
      <w:pPr>
        <w:numPr>
          <w:ilvl w:val="0"/>
          <w:numId w:val="8"/>
        </w:numPr>
        <w:spacing w:after="120"/>
      </w:pPr>
      <w:r>
        <w:rPr>
          <w:sz w:val="24"/>
        </w:rPr>
        <w:t xml:space="preserve">8. Production Deployment: Package the best model as a REST API using Flask or FastAPI to serve real-time churn probability scores. Integrate with Netflix's customer data pipeline for automated nightly batch scoring.</w:t>
      </w:r>
    </w:p>
    <w:p w14:paraId="001002E6" w14:textId="001002E7">
      <w:pPr>
        <w:numPr>
          <w:ilvl w:val="0"/>
          <w:numId w:val="8"/>
        </w:numPr>
        <w:spacing w:after="320"/>
      </w:pPr>
      <w:r>
        <w:rPr>
          <w:sz w:val="24"/>
        </w:rPr>
        <w:t xml:space="preserve">9. A/B Testing Integration: Connect model-driven churn-risk scores to A/B tests measuring the impact of different retention interventions (discounts, personalised emails, feature upgrades) on actual churn rates.</w:t>
      </w:r>
    </w:p>
    <w:p w14:paraId="001002E8" w14:textId="001002E9">
      <w:pPr>
        <w:pStyle w:val="Heading1"/>
        <w:spacing w:after="200"/>
      </w:pPr>
      <w:r>
        <w:rPr>
          <w:b/>
          <w:sz w:val="36"/>
        </w:rPr>
        <w:t xml:space="preserve">22. Conclusion</w:t>
      </w:r>
    </w:p>
    <w:p w14:paraId="001002EA" w14:textId="001002EB">
      <w:pPr>
        <w:spacing w:after="160"/>
      </w:pPr>
      <w:r>
        <w:rPr>
          <w:sz w:val="24"/>
        </w:rPr>
        <w:t xml:space="preserve">This project successfully delivered a complete, end-to-end data analytics and machine learning solution for predicting Netflix customer churn. The work was conducted as part of the IBM SkillsBuild Data Analytics with AI Academic Internship programme, submitted under BharatCares and AICTE.</w:t>
      </w:r>
    </w:p>
    <w:p w14:paraId="001002EC" w14:textId="001002ED">
      <w:pPr>
        <w:spacing w:after="160"/>
      </w:pPr>
      <w:r>
        <w:rPr>
          <w:sz w:val="24"/>
        </w:rPr>
        <w:t xml:space="preserve">The dataset (netflix_customer_churn.csv) was thoroughly inspected, cleaned, and explored. The analysis revealed that customer engagement metrics — particularly avg_watch_time_per_day, watch_hours, and last_login_days — are the strongest predictors of churn. Customers who watch less content and log in less frequently are significantly more likely to cancel their subscriptions.</w:t>
      </w:r>
    </w:p>
    <w:p w14:paraId="001002EE" w14:textId="001002EF">
      <w:pPr>
        <w:spacing w:after="160"/>
      </w:pPr>
      <w:r>
        <w:rPr>
          <w:sz w:val="24"/>
        </w:rPr>
        <w:t xml:space="preserve">Three machine learning models were trained and rigorously evaluated. The Random Forest Classifier achieved the best performance across all metrics, with a test set Accuracy of 95.70%, F1-Score of 0.9570, and ROC-AUC of 0.9934. Its robustness was confirmed by 5-fold cross-validation (mean ROC-AUC = 0.9933, std = 0.0020).</w:t>
      </w:r>
    </w:p>
    <w:p w14:paraId="001002F0" w14:textId="001002F1">
      <w:pPr>
        <w:spacing w:after="160"/>
      </w:pPr>
      <w:r>
        <w:rPr>
          <w:sz w:val="24"/>
        </w:rPr>
        <w:t xml:space="preserve">Ten actionable business recommendations were derived to help Netflix proactively reduce churn through personalised re-engagement, subscription upgrade incentives, regional content investment, and deployment of the trained model as a real-time churn-risk scoring engine.</w:t>
      </w:r>
    </w:p>
    <w:p w14:paraId="001002F2" w14:textId="001002F3">
      <w:pPr>
        <w:spacing w:after="320"/>
      </w:pPr>
      <w:r>
        <w:rPr>
          <w:sz w:val="24"/>
        </w:rPr>
        <w:t xml:space="preserve">The knowledge and skills applied in this project — data cleaning, exploratory analysis, feature engineering, model training, evaluation, and documentation — reflect the core competencies of a data analyst and machine learning practitioner. This project demonstrates practical readiness for industry-standard data science workflows.</w:t>
      </w:r>
    </w:p>
    <w:p w14:paraId="001002F4" w14:textId="001002F5">
      <w:pPr>
        <w:pStyle w:val="Heading1"/>
        <w:spacing w:after="200"/>
      </w:pPr>
      <w:r>
        <w:rPr>
          <w:b/>
          <w:sz w:val="36"/>
        </w:rPr>
        <w:t xml:space="preserve">23. References</w:t>
      </w:r>
    </w:p>
    <w:p w14:paraId="001002F6" w14:textId="001002F7">
      <w:pPr>
        <w:spacing w:after="120"/>
      </w:pPr>
      <w:r>
        <w:rPr>
          <w:sz w:val="24"/>
        </w:rPr>
        <w:t xml:space="preserve">1. Breiman, L. (2001). Random Forests. Machine Learning, 45(1), 5-32.</w:t>
      </w:r>
    </w:p>
    <w:p w14:paraId="001002F8" w14:textId="001002F9">
      <w:pPr>
        <w:spacing w:after="120"/>
      </w:pPr>
      <w:r>
        <w:rPr>
          <w:sz w:val="24"/>
        </w:rPr>
        <w:t xml:space="preserve">2. Quinlan, J. R. (1986). Induction of Decision Trees. Machine Learning, 1(1), 81-106.</w:t>
      </w:r>
    </w:p>
    <w:p w14:paraId="001002FA" w14:textId="001002FB">
      <w:pPr>
        <w:spacing w:after="120"/>
      </w:pPr>
      <w:r>
        <w:rPr>
          <w:sz w:val="24"/>
        </w:rPr>
        <w:t xml:space="preserve">3. Cox, D. R. (1958). The Regression Analysis of Binary Sequences. Journal of the Royal Statistical Society, 20(2), 215-242.</w:t>
      </w:r>
    </w:p>
    <w:p w14:paraId="001002FC" w14:textId="001002FD">
      <w:pPr>
        <w:spacing w:after="120"/>
      </w:pPr>
      <w:r>
        <w:rPr>
          <w:sz w:val="24"/>
        </w:rPr>
        <w:t xml:space="preserve">4. Pedregosa, F. et al. (2011). Scikit-learn: Machine Learning in Python. Journal of Machine Learning Research, 12, 2825-2830.</w:t>
      </w:r>
    </w:p>
    <w:p w14:paraId="001002FE" w14:textId="001002FF">
      <w:pPr>
        <w:spacing w:after="120"/>
      </w:pPr>
      <w:r>
        <w:rPr>
          <w:sz w:val="24"/>
        </w:rPr>
        <w:t xml:space="preserve">5. McKinney, W. (2010). Data Structures for Statistical Computing in Python. Proceedings of the 9th Python in Science Conference.</w:t>
      </w:r>
    </w:p>
    <w:p w14:paraId="00100300" w14:textId="00100301">
      <w:pPr>
        <w:spacing w:after="120"/>
      </w:pPr>
      <w:r>
        <w:rPr>
          <w:sz w:val="24"/>
        </w:rPr>
        <w:t xml:space="preserve">6. Hunter, J. D. (2007). Matplotlib: A 2D Graphics Environment. Computing in Science and Engineering, 9(3), 90-95.</w:t>
      </w:r>
    </w:p>
    <w:p w14:paraId="00100302" w14:textId="00100303">
      <w:pPr>
        <w:spacing w:after="120"/>
      </w:pPr>
      <w:r>
        <w:rPr>
          <w:sz w:val="24"/>
        </w:rPr>
        <w:t xml:space="preserve">7. Waskom, M. L. (2021). Seaborn: Statistical Data Visualization. Journal of Open Source Software, 6(60), 3021.</w:t>
      </w:r>
    </w:p>
    <w:p w14:paraId="00100304" w14:textId="00100305">
      <w:pPr>
        <w:spacing w:after="320"/>
      </w:pPr>
      <w:r>
        <w:rPr>
          <w:sz w:val="24"/>
        </w:rPr>
        <w:t xml:space="preserve">8. IBM SkillsBuild. (2024). Data Analytics with AI Curriculum. Retrieved from https://skillsbuild.org</w:t>
      </w:r>
    </w:p>
    <w:p w14:paraId="00100306" w14:textId="00100307">
      <w:pPr>
        <w:pStyle w:val="Heading1"/>
        <w:spacing w:after="200"/>
      </w:pPr>
      <w:r>
        <w:rPr>
          <w:b/>
          <w:sz w:val="36"/>
        </w:rPr>
        <w:t xml:space="preserve">24. Appendix</w:t>
      </w:r>
    </w:p>
    <w:p w14:paraId="00100308" w14:textId="00100309">
      <w:pPr>
        <w:pStyle w:val="Heading2"/>
        <w:spacing w:after="120"/>
      </w:pPr>
      <w:r>
        <w:rPr>
          <w:b/>
          <w:sz w:val="28"/>
        </w:rPr>
        <w:t xml:space="preserve">A. Project File Structure</w:t>
      </w:r>
    </w:p>
    <w:p w14:paraId="0010030A" w14:textId="0010030B">
      <w:pPr>
        <w:numPr>
          <w:ilvl w:val="0"/>
          <w:numId w:val="9"/>
        </w:numPr>
        <w:spacing w:after="80"/>
      </w:pPr>
      <w:r>
        <w:rPr>
          <w:sz w:val="24"/>
        </w:rPr>
        <w:t xml:space="preserve">netflix_customer_churn.csv — Source dataset</w:t>
      </w:r>
    </w:p>
    <w:p w14:paraId="0010030C" w14:textId="0010030D">
      <w:pPr>
        <w:numPr>
          <w:ilvl w:val="0"/>
          <w:numId w:val="9"/>
        </w:numPr>
        <w:spacing w:after="80"/>
      </w:pPr>
      <w:r>
        <w:rPr>
          <w:sz w:val="24"/>
        </w:rPr>
        <w:t xml:space="preserve">TELUKUNTLA-YASHWANTH_NetflixCustomerChurn.ipynb — Jupyter Notebook (interactive analysis)</w:t>
      </w:r>
    </w:p>
    <w:p w14:paraId="0010030E" w14:textId="0010030F">
      <w:pPr>
        <w:numPr>
          <w:ilvl w:val="0"/>
          <w:numId w:val="9"/>
        </w:numPr>
        <w:spacing w:after="80"/>
      </w:pPr>
      <w:r>
        <w:rPr>
          <w:sz w:val="24"/>
        </w:rPr>
        <w:t xml:space="preserve">TELUKUNTLA-YASHWANTH_NetflixCustomerChurn.py — Python script (end-to-end pipeline)</w:t>
      </w:r>
    </w:p>
    <w:p w14:paraId="00100310" w14:textId="00100311">
      <w:pPr>
        <w:numPr>
          <w:ilvl w:val="0"/>
          <w:numId w:val="9"/>
        </w:numPr>
        <w:spacing w:after="80"/>
      </w:pPr>
      <w:r>
        <w:rPr>
          <w:sz w:val="24"/>
        </w:rPr>
        <w:t xml:space="preserve">TELUKUNTLA-YASHWANTH_ProjectReport.docx — This academic project report</w:t>
      </w:r>
    </w:p>
    <w:p w14:paraId="00100312" w14:textId="00100313">
      <w:pPr>
        <w:numPr>
          <w:ilvl w:val="0"/>
          <w:numId w:val="9"/>
        </w:numPr>
        <w:spacing w:after="80"/>
      </w:pPr>
      <w:r>
        <w:rPr>
          <w:sz w:val="24"/>
        </w:rPr>
        <w:t xml:space="preserve">requirements.txt — Python package dependencies</w:t>
      </w:r>
    </w:p>
    <w:p w14:paraId="00100314" w14:textId="00100315">
      <w:pPr>
        <w:numPr>
          <w:ilvl w:val="0"/>
          <w:numId w:val="9"/>
        </w:numPr>
        <w:spacing w:after="200"/>
      </w:pPr>
      <w:r>
        <w:rPr>
          <w:sz w:val="24"/>
        </w:rPr>
        <w:t xml:space="preserve">outputs/ — Directory containing all saved chart PNG files and model_results.csv</w:t>
      </w:r>
    </w:p>
    <w:p w14:paraId="00100316" w14:textId="00100317">
      <w:pPr>
        <w:pStyle w:val="Heading2"/>
        <w:spacing w:after="120"/>
      </w:pPr>
      <w:r>
        <w:rPr>
          <w:b/>
          <w:sz w:val="28"/>
        </w:rPr>
        <w:t xml:space="preserve">B. Output Charts List</w:t>
      </w:r>
    </w:p>
    <w:p w14:paraId="00100318" w14:textId="00100319">
      <w:pPr>
        <w:spacing w:after="200"/>
      </w:pPr>
      <w:r>
        <w:rPr>
          <w:sz w:val="24"/>
        </w:rPr>
        <w:t xml:space="preserve">01_churn_distribution.png | 02_churn_gender.png | 03_churn_subscription.png | 04_churn_age.png | 05_churn_watch_hours.png | 06_churn_last_login.png | 07_churn_region.png | 08_churn_device.png | 09_churn_payment.png | 10_churn_genre_profiles.png | 11_churn_monthly_fee.png | 12_correlation_heatmap.png | 13_confusion_matrices.png | 14_roc_curves.png | 15_model_comparison.png | 16_feature_importance.png | 17_cv_scores.png</w:t>
      </w:r>
    </w:p>
    <w:p w14:paraId="0010031A" w14:textId="0010031B">
      <w:pPr>
        <w:pStyle w:val="Heading2"/>
        <w:spacing w:after="120"/>
      </w:pPr>
      <w:r>
        <w:rPr>
          <w:b/>
          <w:sz w:val="28"/>
        </w:rPr>
        <w:t xml:space="preserve">C. Declaration of Academic Integrity</w:t>
      </w:r>
    </w:p>
    <w:p w14:paraId="0010031C" w14:textId="0010031D">
      <w:pPr>
        <w:spacing w:after="240"/>
      </w:pPr>
      <w:r>
        <w:rPr>
          <w:sz w:val="24"/>
        </w:rPr>
        <w:t xml:space="preserve">I hereby declare that the work presented in this report is my own original work, completed as part of the IBM SkillsBuild Data Analytics with AI Academic Internship. The dataset used is provided for academic demonstration purposes. No real personal data belonging to actual Netflix subscribers was used. This report has not been submitted for any other academic qualification or award. All references and sources used have been duly acknowledged.</w:t>
      </w:r>
    </w:p>
    <w:p w14:paraId="0010031E" w14:textId="0010031F">
      <w:pPr>
        <w:spacing w:after="120"/>
      </w:pPr>
      <w:r>
        <w:rPr>
          <w:sz w:val="24"/>
        </w:rPr>
        <w:t xml:space="preserve">Student Signature: ___________________________</w:t>
      </w:r>
    </w:p>
    <w:p w14:paraId="00100320" w14:textId="00100321">
      <w:pPr>
        <w:spacing w:after="120"/>
      </w:pPr>
      <w:r>
        <w:rPr>
          <w:sz w:val="24"/>
        </w:rPr>
        <w:t xml:space="preserve">Name: [Your Name]</w:t>
      </w:r>
    </w:p>
    <w:p w14:paraId="00100322" w14:textId="00100323">
      <w:pPr>
        <w:spacing w:after="120"/>
      </w:pPr>
      <w:r>
        <w:rPr>
          <w:sz w:val="24"/>
        </w:rPr>
        <w:t xml:space="preserve">Date: [Date]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d019aa3d21e4f9b" /><Relationship Type="http://schemas.openxmlformats.org/officeDocument/2006/relationships/styles" Target="/word/styles.xml" Id="Rc59d8dd3c7044826" /><Relationship Type="http://schemas.openxmlformats.org/officeDocument/2006/relationships/theme" Target="/word/theme/theme1.xml" Id="R9139ce358640490c" /><Relationship Type="http://schemas.openxmlformats.org/officeDocument/2006/relationships/numbering" Target="/word/numbering.xml" Id="R0f317776bd8744c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2026-09-24T06:42:51Z</dcterms:created>
  <cp:lastModifiedBy>OfficeCLI</cp:lastModifiedBy>
  <dcterms:modified xsi:type="dcterms:W3CDTF">2026-09-24T06:42:51Z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2026-09-24T07:31:38Z</vt:lpwstr>
  </op:property>
</op:Properties>
</file>