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LAB DAY 1: INCEPTION OF OPEN-SOURCE EDA, OPENLANE AND SKY130 PDK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The observation of day 1: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setup the directory for running synthesis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docker and flow.tcl file in interactive mode to open the bash interface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Perform synthesis of the design picorv32a and analyze the flop ratio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Set up the directory to the OpenLANE flow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cd Desktop/work/tools/openlane_working_dir/openlane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Run docker to open bash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$ docker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Start OpenLANE in interactive mode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./flow.tcl -interactive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Load the required openlane packages with the version 0.9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%package require openlane 0.9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Create the design picorv32a for synthesis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prep -design picorv32a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Run the synthesis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run_synthesis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After completion of the synthesis, navigate to the yosys file to calculate the flop ration. The path of the yosys file is given below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cd Desktop/work/tools/openlane_working_dir/openlane/designs/picorv32a/runs/(date)/reports/synthesis: less 1-yosys_4.stat.rpt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The count of flip-flops is given by 'sky130_fd_sc_hd__dfxtp_2'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Count of flip-flops: 1613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Number of cells: 14876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Flop Ratio = (Number of Flip-Flops) / (Total Number of Cells)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Flop ratio = 1613/14876 = 0.1084 [10.84%]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