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1B2A4A" w:val="clear"/>
            <w:tcMar>
              <w:top w:type="dxa" w:w="2800"/>
              <w:left w:type="dxa" w:w="1440"/>
              <w:bottom w:type="dxa" w:w="2800"/>
              <w:right w:type="dxa" w:w="1440"/>
            </w:tcMar>
            <w:vAlign w:val="center"/>
          </w:tcPr>
          <w:p>
            <w:pPr>
              <w:spacing w:after="120" w:before="0"/>
              <w:jc w:val="center"/>
            </w:pPr>
            <w:r>
              <w:rPr>
                <w:rFonts w:ascii="Arial" w:cs="Arial" w:eastAsia="Arial" w:hAnsi="Arial"/>
                <w:b/>
                <w:bCs/>
                <w:color w:val="FFFFFF"/>
                <w:sz w:val="64"/>
                <w:szCs w:val="64"/>
              </w:rPr>
              <w:t xml:space="preserve">CYBER SECURITY</w:t>
            </w:r>
          </w:p>
          <w:p>
            <w:pPr>
              <w:spacing w:after="120" w:before="0"/>
              <w:jc w:val="center"/>
            </w:pPr>
            <w:r>
              <w:rPr>
                <w:rFonts w:ascii="Arial" w:cs="Arial" w:eastAsia="Arial" w:hAnsi="Arial"/>
                <w:b w:val="false"/>
                <w:bCs w:val="false"/>
                <w:color w:val="A8C8E8"/>
                <w:sz w:val="48"/>
                <w:szCs w:val="48"/>
              </w:rPr>
              <w:t xml:space="preserve">AND ETHICAL HACKING</w:t>
            </w:r>
          </w:p>
          <w:p>
            <w:pPr>
              <w:pBdr>
                <w:top w:val="single" w:color="2E6DA4" w:sz="6" w:space="8"/>
              </w:pBdr>
              <w:spacing w:after="0" w:before="240"/>
              <w:jc w:val="center"/>
            </w:pPr>
            <w:r>
              <w:rPr>
                <w:rFonts w:ascii="Arial" w:cs="Arial" w:eastAsia="Arial" w:hAnsi="Arial"/>
                <w:b/>
                <w:bCs/>
                <w:color w:val="D6E4F0"/>
                <w:sz w:val="36"/>
                <w:szCs w:val="36"/>
              </w:rPr>
              <w:t xml:space="preserve">TASK — 1</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F5F7FA" w:val="clear"/>
            <w:tcMar>
              <w:top w:type="dxa" w:w="1440"/>
              <w:left w:type="dxa" w:w="1440"/>
              <w:bottom w:type="dxa" w:w="1440"/>
              <w:right w:type="dxa" w:w="1440"/>
            </w:tcMar>
          </w:tcPr>
          <w:p>
            <w:pPr>
              <w:spacing w:after="120" w:before="240"/>
              <w:jc w:val="center"/>
            </w:pPr>
            <w:r>
              <w:rPr>
                <w:rFonts w:ascii="Arial" w:cs="Arial" w:eastAsia="Arial" w:hAnsi="Arial"/>
                <w:i/>
                <w:iCs/>
                <w:color w:val="666666"/>
                <w:sz w:val="22"/>
                <w:szCs w:val="22"/>
              </w:rPr>
              <w:t xml:space="preserve">Submitted by</w:t>
            </w:r>
          </w:p>
          <w:p>
            <w:pPr>
              <w:spacing w:after="0" w:before="0"/>
              <w:jc w:val="center"/>
            </w:pPr>
            <w:r>
              <w:rPr>
                <w:rFonts w:ascii="Arial" w:cs="Arial" w:eastAsia="Arial" w:hAnsi="Arial"/>
                <w:b/>
                <w:bCs/>
                <w:color w:val="1B2A4A"/>
                <w:sz w:val="36"/>
                <w:szCs w:val="36"/>
              </w:rPr>
              <w:t xml:space="preserve">B YASHWANTH</w:t>
            </w:r>
          </w:p>
        </w:tc>
      </w:tr>
    </w:tbl>
    <w:p>
      <w:pPr>
        <w:sectPr>
          <w:pgSz w:w="12240" w:h="15840" w:orient="portrait"/>
          <w:pgMar w:top="0" w:right="0" w:bottom="0" w:left="0" w:header="708" w:footer="708" w:gutter="0"/>
          <w:pgNumType/>
          <w:docGrid w:linePitch="360"/>
        </w:sectPr>
      </w:pPr>
    </w:p>
    <w:p>
      <w:pPr>
        <w:pStyle w:val="Heading1"/>
        <w:pBdr>
          <w:bottom w:val="single" w:color="2E6DA4" w:sz="8" w:space="4"/>
        </w:pBdr>
        <w:spacing w:after="120" w:before="360"/>
      </w:pPr>
      <w:r>
        <w:rPr>
          <w:rFonts w:ascii="Arial" w:cs="Arial" w:eastAsia="Arial" w:hAnsi="Arial"/>
          <w:b/>
          <w:bCs/>
          <w:color w:val="1B2A4A"/>
          <w:sz w:val="28"/>
          <w:szCs w:val="28"/>
        </w:rPr>
        <w:t xml:space="preserve">Introduction</w:t>
      </w:r>
    </w:p>
    <w:p>
      <w:pPr>
        <w:spacing w:after="100" w:before="60" w:line="276"/>
        <w:jc w:val="both"/>
      </w:pPr>
      <w:r>
        <w:rPr>
          <w:rFonts w:ascii="Arial" w:cs="Arial" w:eastAsia="Arial" w:hAnsi="Arial"/>
          <w:color w:val="333333"/>
          <w:sz w:val="22"/>
          <w:szCs w:val="22"/>
        </w:rPr>
        <w:t xml:space="preserve">Cybersecurity is the practice of protecting computers, mobile phones, networks, software, and digital information from unauthorized access, theft, damage, or misuse. In simple terms, it is like securing a house with locks, alarms, and security cameras to prevent intruders from entering and stealing valuable belongings.</w:t>
      </w:r>
    </w:p>
    <w:p>
      <w:pPr>
        <w:spacing w:after="60" w:before="0"/>
      </w:pPr>
      <w:r>
        <w:t xml:space="preserve"/>
      </w:r>
    </w:p>
    <w:p>
      <w:pPr>
        <w:spacing w:after="100" w:before="60" w:line="276"/>
        <w:jc w:val="both"/>
      </w:pPr>
      <w:r>
        <w:rPr>
          <w:rFonts w:ascii="Arial" w:cs="Arial" w:eastAsia="Arial" w:hAnsi="Arial"/>
          <w:color w:val="333333"/>
          <w:sz w:val="22"/>
          <w:szCs w:val="22"/>
        </w:rPr>
        <w:t xml:space="preserve">In today's digital world, people use the internet for banking, shopping, communication, education, and entertainment, which involves sharing a large amount of personal and sensitive information online. Cybersecurity helps safeguard this information by using technologies and security measures such as strong passwords, encryption, firewalls, antivirus software, and regular system updates.</w:t>
      </w:r>
    </w:p>
    <w:p>
      <w:pPr>
        <w:spacing w:after="200" w:before="0"/>
      </w:pPr>
      <w:r>
        <w:t xml:space="preserve"/>
      </w:r>
    </w:p>
    <w:p>
      <w:pPr>
        <w:pStyle w:val="Heading1"/>
        <w:pBdr>
          <w:bottom w:val="single" w:color="2E6DA4" w:sz="8" w:space="4"/>
        </w:pBdr>
        <w:spacing w:after="120" w:before="360"/>
      </w:pPr>
      <w:r>
        <w:rPr>
          <w:rFonts w:ascii="Arial" w:cs="Arial" w:eastAsia="Arial" w:hAnsi="Arial"/>
          <w:b/>
          <w:bCs/>
          <w:color w:val="1B2A4A"/>
          <w:sz w:val="28"/>
          <w:szCs w:val="28"/>
        </w:rPr>
        <w:t xml:space="preserve">Threat Analysis</w:t>
      </w:r>
    </w:p>
    <w:p>
      <w:pPr>
        <w:spacing w:after="40" w:before="0"/>
      </w:pPr>
      <w:r>
        <w:t xml:space="preserve"/>
      </w:r>
    </w:p>
    <w:p>
      <w:pPr>
        <w:pStyle w:val="Heading2"/>
        <w:spacing w:after="80" w:before="280"/>
      </w:pPr>
      <w:r>
        <w:rPr>
          <w:rFonts w:ascii="Arial" w:cs="Arial" w:eastAsia="Arial" w:hAnsi="Arial"/>
          <w:b/>
          <w:bCs/>
          <w:color w:val="2E6DA4"/>
          <w:sz w:val="24"/>
          <w:szCs w:val="24"/>
        </w:rPr>
        <w:t xml:space="preserve">1. Ransomware &amp; Extortion Attacks</w:t>
      </w:r>
    </w:p>
    <w:p>
      <w:pPr>
        <w:spacing w:after="100" w:before="60" w:line="276"/>
        <w:jc w:val="both"/>
      </w:pPr>
      <w:r>
        <w:rPr>
          <w:rFonts w:ascii="Arial" w:cs="Arial" w:eastAsia="Arial" w:hAnsi="Arial"/>
          <w:color w:val="333333"/>
          <w:sz w:val="22"/>
          <w:szCs w:val="22"/>
        </w:rPr>
        <w:t xml:space="preserve">Ransomware and extortion attacks are among the most dangerous and costly forms of cybercrime in the modern digital world. These attacks are designed to disrupt individuals, businesses, and government organizations by denying access to critical data or threatening to expose sensitive information unless a ransom is paid.</w:t>
      </w:r>
    </w:p>
    <w:p>
      <w:pPr>
        <w:spacing w:after="60" w:before="0"/>
      </w:pPr>
      <w:r>
        <w:t xml:space="preserve"/>
      </w:r>
    </w:p>
    <w:p>
      <w:pPr>
        <w:spacing w:after="100" w:before="60" w:line="276"/>
        <w:jc w:val="both"/>
      </w:pPr>
      <w:r>
        <w:rPr>
          <w:rFonts w:ascii="Arial" w:cs="Arial" w:eastAsia="Arial" w:hAnsi="Arial"/>
          <w:color w:val="333333"/>
          <w:sz w:val="22"/>
          <w:szCs w:val="22"/>
        </w:rPr>
        <w:t xml:space="preserve">Ransomware is a type of malicious software (malware) that encrypts files, databases, or entire computer systems, making them inaccessible to the victim. Once the encryption process is complete, the attackers demand a payment — usually in cryptocurrency — in exchange for a decryption key that can restore access to the affected data.</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20"/>
          <w:right w:type="dxa" w:w="0"/>
        </w:tblCellMar>
      </w:tblPr>
      <w:tblGrid>
        <w:gridCol w:w="9360"/>
      </w:tblGrid>
      <w:tr>
        <w:tc>
          <w:tcPr>
            <w:tcW w:type="dxa" w:w="9360"/>
            <w:tcBorders>
              <w:top w:val="none" w:color="FFFFFF" w:sz="0"/>
              <w:left w:val="single" w:color="C0392B" w:sz="20"/>
              <w:bottom w:val="none" w:color="FFFFFF" w:sz="0"/>
              <w:right w:val="none" w:color="FFFFFF" w:sz="0"/>
            </w:tcBorders>
            <w:shd w:fill="1B2A4A" w:val="clear"/>
            <w:tcMar>
              <w:top w:type="dxa" w:w="120"/>
              <w:left w:type="dxa" w:w="200"/>
              <w:bottom w:type="dxa" w:w="120"/>
              <w:right w:type="dxa" w:w="200"/>
            </w:tcMar>
          </w:tcPr>
          <w:p>
            <w:pPr>
              <w:spacing w:after="60" w:before="60"/>
            </w:pPr>
            <w:r>
              <w:rPr>
                <w:rFonts w:ascii="Arial" w:cs="Arial" w:eastAsia="Arial" w:hAnsi="Arial"/>
                <w:b/>
                <w:bCs/>
                <w:color w:val="FFFFFF"/>
                <w:sz w:val="22"/>
                <w:szCs w:val="22"/>
              </w:rPr>
              <w:t xml:space="preserve">⚠ Major Threat: ALPHV / BlackCat Ransomware Group</w:t>
            </w:r>
          </w:p>
          <w:p>
            <w:pPr>
              <w:spacing w:after="60" w:before="40" w:line="264"/>
              <w:jc w:val="both"/>
            </w:pPr>
            <w:r>
              <w:rPr>
                <w:rFonts w:ascii="Arial" w:cs="Arial" w:eastAsia="Arial" w:hAnsi="Arial"/>
                <w:color w:val="FFFFFF"/>
                <w:sz w:val="20"/>
                <w:szCs w:val="20"/>
              </w:rPr>
              <w:t xml:space="preserve">ALPHV, also known as Black Cat, is one of the most sophisticated and dangerous ransomware groups, emerging in late 2021. The group operates using the Ransomware-as-a-Service (RaaS) model, where core developers create and maintain the ransomware platform while affiliates carry out attacks against victim organizations. ALPHV quickly gained notoriety for targeting large corporations, healthcare providers, educational institutions, and critical infrastructure organizations worldwide.</w:t>
            </w:r>
          </w:p>
        </w:tc>
      </w:tr>
    </w:tbl>
    <w:p>
      <w:pPr>
        <w:spacing w:after="120" w:before="0"/>
      </w:pPr>
      <w:r>
        <w:t xml:space="preserve"/>
      </w:r>
    </w:p>
    <w:p>
      <w:pPr>
        <w:pStyle w:val="Heading3"/>
        <w:spacing w:after="60" w:before="200"/>
      </w:pPr>
      <w:r>
        <w:rPr>
          <w:rFonts w:ascii="Arial" w:cs="Arial" w:eastAsia="Arial" w:hAnsi="Arial"/>
          <w:b/>
          <w:bCs/>
          <w:color w:val="333333"/>
          <w:sz w:val="22"/>
          <w:szCs w:val="22"/>
        </w:rPr>
        <w:t xml:space="preserve">Prevention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80"/>
          <w:right w:type="dxa" w:w="0"/>
        </w:tblCellMar>
      </w:tblPr>
      <w:tblGrid>
        <w:gridCol w:w="9360"/>
      </w:tblGrid>
      <w:tr>
        <w:tc>
          <w:tcPr>
            <w:tcW w:type="dxa" w:w="9360"/>
            <w:tcBorders>
              <w:top w:val="single" w:color="CCDDEE" w:sz="1"/>
              <w:left w:val="single" w:color="2E6DA4" w:sz="16"/>
              <w:bottom w:val="single" w:color="CCDDEE" w:sz="1"/>
              <w:right w:val="single" w:color="CCDDEE" w:sz="1"/>
            </w:tcBorders>
            <w:shd w:fill="F5F7FA" w:val="clear"/>
            <w:tcMar>
              <w:top w:type="dxa" w:w="100"/>
              <w:left w:type="dxa" w:w="180"/>
              <w:bottom w:type="dxa" w:w="100"/>
              <w:right w:type="dxa" w:w="180"/>
            </w:tcMar>
          </w:tcPr>
          <w:p>
            <w:pPr>
              <w:spacing w:after="60" w:before="40"/>
            </w:pPr>
            <w:r>
              <w:rPr>
                <w:rFonts w:ascii="Arial" w:cs="Arial" w:eastAsia="Arial" w:hAnsi="Arial"/>
                <w:b/>
                <w:bCs/>
                <w:color w:val="1B2A4A"/>
                <w:sz w:val="21"/>
                <w:szCs w:val="21"/>
              </w:rPr>
              <w:t xml:space="preserve">Multi-Factor Authentication (MFA) Enforcement</w:t>
            </w:r>
          </w:p>
          <w:p>
            <w:pPr>
              <w:spacing w:after="40" w:before="0" w:line="264"/>
              <w:jc w:val="both"/>
            </w:pPr>
            <w:r>
              <w:rPr>
                <w:rFonts w:ascii="Arial" w:cs="Arial" w:eastAsia="Arial" w:hAnsi="Arial"/>
                <w:color w:val="333333"/>
                <w:sz w:val="20"/>
                <w:szCs w:val="20"/>
              </w:rPr>
              <w:t xml:space="preserve">MFA is a security mechanism that requires users to verify their identity using two or more authentication factors before accessing a system. These factors typically include something the user knows (password), something the user possesses (mobile phone or security token), or something the user is (fingerprint or facial recognition).</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80"/>
          <w:right w:type="dxa" w:w="0"/>
        </w:tblCellMar>
      </w:tblPr>
      <w:tblGrid>
        <w:gridCol w:w="9360"/>
      </w:tblGrid>
      <w:tr>
        <w:tc>
          <w:tcPr>
            <w:tcW w:type="dxa" w:w="9360"/>
            <w:tcBorders>
              <w:top w:val="single" w:color="CCDDEE" w:sz="1"/>
              <w:left w:val="single" w:color="2E6DA4" w:sz="16"/>
              <w:bottom w:val="single" w:color="CCDDEE" w:sz="1"/>
              <w:right w:val="single" w:color="CCDDEE" w:sz="1"/>
            </w:tcBorders>
            <w:shd w:fill="F5F7FA" w:val="clear"/>
            <w:tcMar>
              <w:top w:type="dxa" w:w="100"/>
              <w:left w:type="dxa" w:w="180"/>
              <w:bottom w:type="dxa" w:w="100"/>
              <w:right w:type="dxa" w:w="180"/>
            </w:tcMar>
          </w:tcPr>
          <w:p>
            <w:pPr>
              <w:spacing w:after="60" w:before="40"/>
            </w:pPr>
            <w:r>
              <w:rPr>
                <w:rFonts w:ascii="Arial" w:cs="Arial" w:eastAsia="Arial" w:hAnsi="Arial"/>
                <w:b/>
                <w:bCs/>
                <w:color w:val="1B2A4A"/>
                <w:sz w:val="21"/>
                <w:szCs w:val="21"/>
              </w:rPr>
              <w:t xml:space="preserve">Immutable Backup Strategy</w:t>
            </w:r>
          </w:p>
          <w:p>
            <w:pPr>
              <w:spacing w:after="40" w:before="0" w:line="264"/>
              <w:jc w:val="both"/>
            </w:pPr>
            <w:r>
              <w:rPr>
                <w:rFonts w:ascii="Arial" w:cs="Arial" w:eastAsia="Arial" w:hAnsi="Arial"/>
                <w:color w:val="333333"/>
                <w:sz w:val="20"/>
                <w:szCs w:val="20"/>
              </w:rPr>
              <w:t xml:space="preserve">An immutable backup cannot be modified, deleted, or encrypted once created. Traditional backups are often connected to the same network as production systems, allowing ransomware to locate and encrypt them. Immutable backups ensure organizations retain a reliable recovery option even during an active attack.</w:t>
            </w:r>
          </w:p>
        </w:tc>
      </w:tr>
    </w:tbl>
    <w:p>
      <w:pPr>
        <w:spacing w:after="200" w:before="0"/>
      </w:pPr>
      <w:r>
        <w:t xml:space="preserve"/>
      </w:r>
    </w:p>
    <w:p>
      <w:pPr>
        <w:pStyle w:val="Heading2"/>
        <w:spacing w:after="80" w:before="280"/>
      </w:pPr>
      <w:r>
        <w:rPr>
          <w:rFonts w:ascii="Arial" w:cs="Arial" w:eastAsia="Arial" w:hAnsi="Arial"/>
          <w:b/>
          <w:bCs/>
          <w:color w:val="2E6DA4"/>
          <w:sz w:val="24"/>
          <w:szCs w:val="24"/>
        </w:rPr>
        <w:t xml:space="preserve">2. Identity Theft &amp; Credential Attacks</w:t>
      </w:r>
    </w:p>
    <w:p>
      <w:pPr>
        <w:spacing w:after="100" w:before="60" w:line="276"/>
        <w:jc w:val="both"/>
      </w:pPr>
      <w:r>
        <w:rPr>
          <w:rFonts w:ascii="Arial" w:cs="Arial" w:eastAsia="Arial" w:hAnsi="Arial"/>
          <w:color w:val="333333"/>
          <w:sz w:val="22"/>
          <w:szCs w:val="22"/>
        </w:rPr>
        <w:t xml:space="preserve">Credential compromise dominated 2024–2025. IBM X-Force observed over 300,000 AI chatbot credentials listed for sale on dark web markets, reflecting a new theft surface as enterprises adopted AI tools. OWASP lists Authentication Failures (A07:2025) as a top-3 web application risk. Attackers use credential stuffing, phishing, and session hijacking.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20"/>
          <w:right w:type="dxa" w:w="0"/>
        </w:tblCellMar>
      </w:tblPr>
      <w:tblGrid>
        <w:gridCol w:w="9360"/>
      </w:tblGrid>
      <w:tr>
        <w:tc>
          <w:tcPr>
            <w:tcW w:type="dxa" w:w="9360"/>
            <w:tcBorders>
              <w:top w:val="none" w:color="FFFFFF" w:sz="0"/>
              <w:left w:val="single" w:color="C0392B" w:sz="20"/>
              <w:bottom w:val="none" w:color="FFFFFF" w:sz="0"/>
              <w:right w:val="none" w:color="FFFFFF" w:sz="0"/>
            </w:tcBorders>
            <w:shd w:fill="1B2A4A" w:val="clear"/>
            <w:tcMar>
              <w:top w:type="dxa" w:w="120"/>
              <w:left w:type="dxa" w:w="200"/>
              <w:bottom w:type="dxa" w:w="120"/>
              <w:right w:type="dxa" w:w="200"/>
            </w:tcMar>
          </w:tcPr>
          <w:p>
            <w:pPr>
              <w:spacing w:after="60" w:before="60"/>
            </w:pPr>
            <w:r>
              <w:rPr>
                <w:rFonts w:ascii="Arial" w:cs="Arial" w:eastAsia="Arial" w:hAnsi="Arial"/>
                <w:b/>
                <w:bCs/>
                <w:color w:val="FFFFFF"/>
                <w:sz w:val="22"/>
                <w:szCs w:val="22"/>
              </w:rPr>
              <w:t xml:space="preserve">⚠ Major Threat: Scattered Spider / Snowflake Breach (May 2024)</w:t>
            </w:r>
          </w:p>
          <w:p>
            <w:pPr>
              <w:spacing w:after="60" w:before="40" w:line="264"/>
              <w:jc w:val="both"/>
            </w:pPr>
            <w:r>
              <w:rPr>
                <w:rFonts w:ascii="Arial" w:cs="Arial" w:eastAsia="Arial" w:hAnsi="Arial"/>
                <w:color w:val="FFFFFF"/>
                <w:sz w:val="20"/>
                <w:szCs w:val="20"/>
              </w:rPr>
              <w:t xml:space="preserve">Attackers associated with Scattered Spider exploited compromised credentials — obtained via infostealers — to access Snowflake cloud environments of over 100 enterprise customers without triggering MFA. Victims included AT&amp;T (billions of call records), Ticketmaster (560M+ customer records), and Santander Bank. This exemplified the infostealer-to-breach pipeline that Verizon DBIR 2026 quantified: 50% of ransomware victims had a credential compromise event in the 95 days prior to the attack.</w:t>
            </w:r>
          </w:p>
        </w:tc>
      </w:tr>
    </w:tbl>
    <w:p>
      <w:pPr>
        <w:spacing w:after="120" w:before="0"/>
      </w:pPr>
      <w:r>
        <w:t xml:space="preserve"/>
      </w:r>
    </w:p>
    <w:p>
      <w:pPr>
        <w:pStyle w:val="Heading3"/>
        <w:spacing w:after="60" w:before="200"/>
      </w:pPr>
      <w:r>
        <w:rPr>
          <w:rFonts w:ascii="Arial" w:cs="Arial" w:eastAsia="Arial" w:hAnsi="Arial"/>
          <w:b/>
          <w:bCs/>
          <w:color w:val="333333"/>
          <w:sz w:val="22"/>
          <w:szCs w:val="22"/>
        </w:rPr>
        <w:t xml:space="preserve">Prevention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80"/>
          <w:right w:type="dxa" w:w="0"/>
        </w:tblCellMar>
      </w:tblPr>
      <w:tblGrid>
        <w:gridCol w:w="9360"/>
      </w:tblGrid>
      <w:tr>
        <w:tc>
          <w:tcPr>
            <w:tcW w:type="dxa" w:w="9360"/>
            <w:tcBorders>
              <w:top w:val="single" w:color="CCDDEE" w:sz="1"/>
              <w:left w:val="single" w:color="2E6DA4" w:sz="16"/>
              <w:bottom w:val="single" w:color="CCDDEE" w:sz="1"/>
              <w:right w:val="single" w:color="CCDDEE" w:sz="1"/>
            </w:tcBorders>
            <w:shd w:fill="F5F7FA" w:val="clear"/>
            <w:tcMar>
              <w:top w:type="dxa" w:w="100"/>
              <w:left w:type="dxa" w:w="180"/>
              <w:bottom w:type="dxa" w:w="100"/>
              <w:right w:type="dxa" w:w="180"/>
            </w:tcMar>
          </w:tcPr>
          <w:p>
            <w:pPr>
              <w:spacing w:after="60" w:before="40"/>
            </w:pPr>
            <w:r>
              <w:rPr>
                <w:rFonts w:ascii="Arial" w:cs="Arial" w:eastAsia="Arial" w:hAnsi="Arial"/>
                <w:b/>
                <w:bCs/>
                <w:color w:val="1B2A4A"/>
                <w:sz w:val="21"/>
                <w:szCs w:val="21"/>
              </w:rPr>
              <w:t xml:space="preserve">Phishing-Resistant FIDO2 Multi-Factor Authentication</w:t>
            </w:r>
          </w:p>
          <w:p>
            <w:pPr>
              <w:spacing w:after="40" w:before="0" w:line="264"/>
              <w:jc w:val="both"/>
            </w:pPr>
            <w:r>
              <w:rPr>
                <w:rFonts w:ascii="Arial" w:cs="Arial" w:eastAsia="Arial" w:hAnsi="Arial"/>
                <w:color w:val="333333"/>
                <w:sz w:val="20"/>
                <w:szCs w:val="20"/>
              </w:rPr>
              <w:t xml:space="preserve">FIDO2 MFA is an advanced authentication method designed to protect users from credential theft and phishing attacks. It is an authentication standard developed by the FIDO Alliance enabling secure passwordless or multi-factor authentication using cryptographic keys rather than relying solely on passwords.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80"/>
          <w:right w:type="dxa" w:w="0"/>
        </w:tblCellMar>
      </w:tblPr>
      <w:tblGrid>
        <w:gridCol w:w="9360"/>
      </w:tblGrid>
      <w:tr>
        <w:tc>
          <w:tcPr>
            <w:tcW w:type="dxa" w:w="9360"/>
            <w:tcBorders>
              <w:top w:val="single" w:color="CCDDEE" w:sz="1"/>
              <w:left w:val="single" w:color="2E6DA4" w:sz="16"/>
              <w:bottom w:val="single" w:color="CCDDEE" w:sz="1"/>
              <w:right w:val="single" w:color="CCDDEE" w:sz="1"/>
            </w:tcBorders>
            <w:shd w:fill="F5F7FA" w:val="clear"/>
            <w:tcMar>
              <w:top w:type="dxa" w:w="100"/>
              <w:left w:type="dxa" w:w="180"/>
              <w:bottom w:type="dxa" w:w="100"/>
              <w:right w:type="dxa" w:w="180"/>
            </w:tcMar>
          </w:tcPr>
          <w:p>
            <w:pPr>
              <w:spacing w:after="60" w:before="40"/>
            </w:pPr>
            <w:r>
              <w:rPr>
                <w:rFonts w:ascii="Arial" w:cs="Arial" w:eastAsia="Arial" w:hAnsi="Arial"/>
                <w:b/>
                <w:bCs/>
                <w:color w:val="1B2A4A"/>
                <w:sz w:val="21"/>
                <w:szCs w:val="21"/>
              </w:rPr>
              <w:t xml:space="preserve">Dark Web Credential Monitoring</w:t>
            </w:r>
          </w:p>
          <w:p>
            <w:pPr>
              <w:spacing w:after="40" w:before="0" w:line="264"/>
              <w:jc w:val="both"/>
            </w:pPr>
            <w:r>
              <w:rPr>
                <w:rFonts w:ascii="Arial" w:cs="Arial" w:eastAsia="Arial" w:hAnsi="Arial"/>
                <w:color w:val="333333"/>
                <w:sz w:val="20"/>
                <w:szCs w:val="20"/>
              </w:rPr>
              <w:t xml:space="preserve">Dark web credential monitoring involves continuously searching underground cybercrime marketplaces, hacker forums, and data leak repositories for stolen usernames, passwords, and other sensitive credentials. The dark web is not indexed by traditional search engines and is frequently used by cybercriminals to buy and sell stolen credentials obtained through data breaches, phishing, and malware infections.</w:t>
            </w:r>
          </w:p>
        </w:tc>
      </w:tr>
    </w:tbl>
    <w:p>
      <w:pPr>
        <w:spacing w:after="200" w:before="0"/>
      </w:pPr>
      <w:r>
        <w:t xml:space="preserve"/>
      </w:r>
    </w:p>
    <w:p>
      <w:pPr>
        <w:pStyle w:val="Heading2"/>
        <w:spacing w:after="80" w:before="280"/>
      </w:pPr>
      <w:r>
        <w:rPr>
          <w:rFonts w:ascii="Arial" w:cs="Arial" w:eastAsia="Arial" w:hAnsi="Arial"/>
          <w:b/>
          <w:bCs/>
          <w:color w:val="2E6DA4"/>
          <w:sz w:val="24"/>
          <w:szCs w:val="24"/>
        </w:rPr>
        <w:t xml:space="preserve">3. Vulnerability Exploitation (Public-Facing Applications)</w:t>
      </w:r>
    </w:p>
    <w:p>
      <w:pPr>
        <w:spacing w:after="100" w:before="60" w:line="276"/>
        <w:jc w:val="both"/>
      </w:pPr>
      <w:r>
        <w:rPr>
          <w:rFonts w:ascii="Arial" w:cs="Arial" w:eastAsia="Arial" w:hAnsi="Arial"/>
          <w:color w:val="333333"/>
          <w:sz w:val="22"/>
          <w:szCs w:val="22"/>
        </w:rPr>
        <w:t xml:space="preserve">IBM X-Force reported a 44% year-over-year rise in exploitation of public-facing applications, with 56% of disclosed vulnerabilities requiring no authentication to exploit. CISA advisories in 2024–2025 covered critical flaws in industrial control systems (Mitsubishi, Schneider Electric, Hitachi), reinforcing that unpatched infrastructure is a primary entry point. OWASP Top 10:2025 lists Broken Access Control (#A01) and Security Misconfiguration (#A02) as the top web risks.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20"/>
          <w:right w:type="dxa" w:w="0"/>
        </w:tblCellMar>
      </w:tblPr>
      <w:tblGrid>
        <w:gridCol w:w="9360"/>
      </w:tblGrid>
      <w:tr>
        <w:tc>
          <w:tcPr>
            <w:tcW w:type="dxa" w:w="9360"/>
            <w:tcBorders>
              <w:top w:val="none" w:color="FFFFFF" w:sz="0"/>
              <w:left w:val="single" w:color="C0392B" w:sz="20"/>
              <w:bottom w:val="none" w:color="FFFFFF" w:sz="0"/>
              <w:right w:val="none" w:color="FFFFFF" w:sz="0"/>
            </w:tcBorders>
            <w:shd w:fill="1B2A4A" w:val="clear"/>
            <w:tcMar>
              <w:top w:type="dxa" w:w="120"/>
              <w:left w:type="dxa" w:w="200"/>
              <w:bottom w:type="dxa" w:w="120"/>
              <w:right w:type="dxa" w:w="200"/>
            </w:tcMar>
          </w:tcPr>
          <w:p>
            <w:pPr>
              <w:spacing w:after="60" w:before="60"/>
            </w:pPr>
            <w:r>
              <w:rPr>
                <w:rFonts w:ascii="Arial" w:cs="Arial" w:eastAsia="Arial" w:hAnsi="Arial"/>
                <w:b/>
                <w:bCs/>
                <w:color w:val="FFFFFF"/>
                <w:sz w:val="22"/>
                <w:szCs w:val="22"/>
              </w:rPr>
              <w:t xml:space="preserve">⚠ Major Threat: NoName057(16) — DDoS Campaigns Against EU (2024)</w:t>
            </w:r>
          </w:p>
          <w:p>
            <w:pPr>
              <w:spacing w:after="60" w:before="40" w:line="264"/>
              <w:jc w:val="both"/>
            </w:pPr>
            <w:r>
              <w:rPr>
                <w:rFonts w:ascii="Arial" w:cs="Arial" w:eastAsia="Arial" w:hAnsi="Arial"/>
                <w:color w:val="FFFFFF"/>
                <w:sz w:val="20"/>
                <w:szCs w:val="20"/>
              </w:rPr>
              <w:t xml:space="preserve">ENISA documented NoName057(16) as responsible for 46% of DDoS attacks against EU public administration in 2024. The group systematically targeted governmental portals across EU member states, with notable spikes timed to geopolitical events — particularly EU support for Ukraine. During Denmark's November 2024 municipal elections, Stark Industries hosting infrastructure was identified as the most-used network in pro-Russian DDoS attacks on Danish government bodies.</w:t>
            </w:r>
          </w:p>
        </w:tc>
      </w:tr>
    </w:tbl>
    <w:p>
      <w:pPr>
        <w:spacing w:after="120" w:before="0"/>
      </w:pPr>
      <w:r>
        <w:t xml:space="preserve"/>
      </w:r>
    </w:p>
    <w:p>
      <w:pPr>
        <w:pStyle w:val="Heading3"/>
        <w:spacing w:after="60" w:before="200"/>
      </w:pPr>
      <w:r>
        <w:rPr>
          <w:rFonts w:ascii="Arial" w:cs="Arial" w:eastAsia="Arial" w:hAnsi="Arial"/>
          <w:b/>
          <w:bCs/>
          <w:color w:val="333333"/>
          <w:sz w:val="22"/>
          <w:szCs w:val="22"/>
        </w:rPr>
        <w:t xml:space="preserve">Prevention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80"/>
          <w:right w:type="dxa" w:w="0"/>
        </w:tblCellMar>
      </w:tblPr>
      <w:tblGrid>
        <w:gridCol w:w="9360"/>
      </w:tblGrid>
      <w:tr>
        <w:tc>
          <w:tcPr>
            <w:tcW w:type="dxa" w:w="9360"/>
            <w:tcBorders>
              <w:top w:val="single" w:color="CCDDEE" w:sz="1"/>
              <w:left w:val="single" w:color="2E6DA4" w:sz="16"/>
              <w:bottom w:val="single" w:color="CCDDEE" w:sz="1"/>
              <w:right w:val="single" w:color="CCDDEE" w:sz="1"/>
            </w:tcBorders>
            <w:shd w:fill="F5F7FA" w:val="clear"/>
            <w:tcMar>
              <w:top w:type="dxa" w:w="100"/>
              <w:left w:type="dxa" w:w="180"/>
              <w:bottom w:type="dxa" w:w="100"/>
              <w:right w:type="dxa" w:w="180"/>
            </w:tcMar>
          </w:tcPr>
          <w:p>
            <w:pPr>
              <w:spacing w:after="60" w:before="40"/>
            </w:pPr>
            <w:r>
              <w:rPr>
                <w:rFonts w:ascii="Arial" w:cs="Arial" w:eastAsia="Arial" w:hAnsi="Arial"/>
                <w:b/>
                <w:bCs/>
                <w:color w:val="1B2A4A"/>
                <w:sz w:val="21"/>
                <w:szCs w:val="21"/>
              </w:rPr>
              <w:t xml:space="preserve">Continuous Attack Surface Management (CASM)</w:t>
            </w:r>
          </w:p>
          <w:p>
            <w:pPr>
              <w:spacing w:after="40" w:before="0" w:line="264"/>
              <w:jc w:val="both"/>
            </w:pPr>
            <w:r>
              <w:rPr>
                <w:rFonts w:ascii="Arial" w:cs="Arial" w:eastAsia="Arial" w:hAnsi="Arial"/>
                <w:color w:val="333333"/>
                <w:sz w:val="20"/>
                <w:szCs w:val="20"/>
              </w:rPr>
              <w:t xml:space="preserve">CASM is a proactive cybersecurity approach that continuously identifies, monitors, analyses, and reduces an organization's attack surface — all digital assets, systems, applications, cloud services, and network resources that could potentially be exploited by cybercriminals.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80"/>
          <w:right w:type="dxa" w:w="0"/>
        </w:tblCellMar>
      </w:tblPr>
      <w:tblGrid>
        <w:gridCol w:w="9360"/>
      </w:tblGrid>
      <w:tr>
        <w:tc>
          <w:tcPr>
            <w:tcW w:type="dxa" w:w="9360"/>
            <w:tcBorders>
              <w:top w:val="single" w:color="CCDDEE" w:sz="1"/>
              <w:left w:val="single" w:color="2E6DA4" w:sz="16"/>
              <w:bottom w:val="single" w:color="CCDDEE" w:sz="1"/>
              <w:right w:val="single" w:color="CCDDEE" w:sz="1"/>
            </w:tcBorders>
            <w:shd w:fill="F5F7FA" w:val="clear"/>
            <w:tcMar>
              <w:top w:type="dxa" w:w="100"/>
              <w:left w:type="dxa" w:w="180"/>
              <w:bottom w:type="dxa" w:w="100"/>
              <w:right w:type="dxa" w:w="180"/>
            </w:tcMar>
          </w:tcPr>
          <w:p>
            <w:pPr>
              <w:spacing w:after="60" w:before="40"/>
            </w:pPr>
            <w:r>
              <w:rPr>
                <w:rFonts w:ascii="Arial" w:cs="Arial" w:eastAsia="Arial" w:hAnsi="Arial"/>
                <w:b/>
                <w:bCs/>
                <w:color w:val="1B2A4A"/>
                <w:sz w:val="21"/>
                <w:szCs w:val="21"/>
              </w:rPr>
              <w:t xml:space="preserve">Zero Trust Network Access (ZTNA)</w:t>
            </w:r>
          </w:p>
          <w:p>
            <w:pPr>
              <w:spacing w:after="40" w:before="0" w:line="264"/>
              <w:jc w:val="both"/>
            </w:pPr>
            <w:r>
              <w:rPr>
                <w:rFonts w:ascii="Arial" w:cs="Arial" w:eastAsia="Arial" w:hAnsi="Arial"/>
                <w:color w:val="333333"/>
                <w:sz w:val="20"/>
                <w:szCs w:val="20"/>
              </w:rPr>
              <w:t xml:space="preserve">ZTNA is a modern security framework based on the principle of "Never Trust, Always Verify." Unlike traditional security models that automatically trust users once inside the corporate network, ZTNA assumes that no user, device, or application should be trusted by default, regardless of their network location.</w:t>
            </w:r>
          </w:p>
        </w:tc>
      </w:tr>
    </w:tbl>
    <w:p>
      <w:pPr>
        <w:spacing w:after="200" w:before="0"/>
      </w:pPr>
      <w:r>
        <w:t xml:space="preserve"/>
      </w:r>
    </w:p>
    <w:p>
      <w:pPr>
        <w:pStyle w:val="Heading2"/>
        <w:spacing w:after="80" w:before="280"/>
      </w:pPr>
      <w:r>
        <w:rPr>
          <w:rFonts w:ascii="Arial" w:cs="Arial" w:eastAsia="Arial" w:hAnsi="Arial"/>
          <w:b/>
          <w:bCs/>
          <w:color w:val="2E6DA4"/>
          <w:sz w:val="24"/>
          <w:szCs w:val="24"/>
        </w:rPr>
        <w:t xml:space="preserve">4. AI-Assisted Attacks &amp; AI Platform Threats</w:t>
      </w:r>
    </w:p>
    <w:p>
      <w:pPr>
        <w:spacing w:after="100" w:before="60" w:line="276"/>
        <w:jc w:val="both"/>
      </w:pPr>
      <w:r>
        <w:rPr>
          <w:rFonts w:ascii="Arial" w:cs="Arial" w:eastAsia="Arial" w:hAnsi="Arial"/>
          <w:color w:val="333333"/>
          <w:sz w:val="22"/>
          <w:szCs w:val="22"/>
        </w:rPr>
        <w:t xml:space="preserve">2024–2025 saw threat actors begin weaponizing AI at scale — generating phishing content, automating reconnaissance, and exploiting AI chatbots as attack vectors. IBM X-Force warns that agentic AI systems introduce amplified old risks and entirely new ones: AI credentials, prompt injection, and model manipulation. OWASP's 2025 list reflects this shift, with Software Supply Chain Failures (#A03) covering AI model integrity risks.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20"/>
          <w:right w:type="dxa" w:w="0"/>
        </w:tblCellMar>
      </w:tblPr>
      <w:tblGrid>
        <w:gridCol w:w="9360"/>
      </w:tblGrid>
      <w:tr>
        <w:tc>
          <w:tcPr>
            <w:tcW w:type="dxa" w:w="9360"/>
            <w:tcBorders>
              <w:top w:val="none" w:color="FFFFFF" w:sz="0"/>
              <w:left w:val="single" w:color="C0392B" w:sz="20"/>
              <w:bottom w:val="none" w:color="FFFFFF" w:sz="0"/>
              <w:right w:val="none" w:color="FFFFFF" w:sz="0"/>
            </w:tcBorders>
            <w:shd w:fill="1B2A4A" w:val="clear"/>
            <w:tcMar>
              <w:top w:type="dxa" w:w="120"/>
              <w:left w:type="dxa" w:w="200"/>
              <w:bottom w:type="dxa" w:w="120"/>
              <w:right w:type="dxa" w:w="200"/>
            </w:tcMar>
          </w:tcPr>
          <w:p>
            <w:pPr>
              <w:spacing w:after="60" w:before="60"/>
            </w:pPr>
            <w:r>
              <w:rPr>
                <w:rFonts w:ascii="Arial" w:cs="Arial" w:eastAsia="Arial" w:hAnsi="Arial"/>
                <w:b/>
                <w:bCs/>
                <w:color w:val="FFFFFF"/>
                <w:sz w:val="22"/>
                <w:szCs w:val="22"/>
              </w:rPr>
              <w:t xml:space="preserve">⚠ Major Threat: Poisoned ML Models &amp; AI Coding Assistant Backdoors (ENISA 2025)</w:t>
            </w:r>
          </w:p>
          <w:p>
            <w:pPr>
              <w:spacing w:after="60" w:before="40" w:line="264"/>
              <w:jc w:val="both"/>
            </w:pPr>
            <w:r>
              <w:rPr>
                <w:rFonts w:ascii="Arial" w:cs="Arial" w:eastAsia="Arial" w:hAnsi="Arial"/>
                <w:color w:val="FFFFFF"/>
                <w:sz w:val="20"/>
                <w:szCs w:val="20"/>
              </w:rPr>
              <w:t xml:space="preserve">ENISA's 2025 Threat Landscape flagged a new supply chain vector: attackers planting poisoned machine learning models on hosting platforms and using a 'Rules File Backdoor' technique to inject malicious instructions into AI coding assistants like GitHub Copilot. Critical remote code execution vulnerabilities were also found in Langflow and Microsoft 365 Copilot. Verizon DBIR 2026 reported that generative AI is now boosting 15 different attack techniques, and that 'Shadow AI' became the third most common non-malicious insider action causing data loss, quadrupling year-over-year.</w:t>
            </w:r>
          </w:p>
        </w:tc>
      </w:tr>
    </w:tbl>
    <w:p>
      <w:pPr>
        <w:spacing w:after="120" w:before="0"/>
      </w:pPr>
      <w:r>
        <w:t xml:space="preserve"/>
      </w:r>
    </w:p>
    <w:p>
      <w:pPr>
        <w:pStyle w:val="Heading3"/>
        <w:spacing w:after="60" w:before="200"/>
      </w:pPr>
      <w:r>
        <w:rPr>
          <w:rFonts w:ascii="Arial" w:cs="Arial" w:eastAsia="Arial" w:hAnsi="Arial"/>
          <w:b/>
          <w:bCs/>
          <w:color w:val="333333"/>
          <w:sz w:val="22"/>
          <w:szCs w:val="22"/>
        </w:rPr>
        <w:t xml:space="preserve">Prevention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80"/>
          <w:right w:type="dxa" w:w="0"/>
        </w:tblCellMar>
      </w:tblPr>
      <w:tblGrid>
        <w:gridCol w:w="9360"/>
      </w:tblGrid>
      <w:tr>
        <w:tc>
          <w:tcPr>
            <w:tcW w:type="dxa" w:w="9360"/>
            <w:tcBorders>
              <w:top w:val="single" w:color="CCDDEE" w:sz="1"/>
              <w:left w:val="single" w:color="2E6DA4" w:sz="16"/>
              <w:bottom w:val="single" w:color="CCDDEE" w:sz="1"/>
              <w:right w:val="single" w:color="CCDDEE" w:sz="1"/>
            </w:tcBorders>
            <w:shd w:fill="F5F7FA" w:val="clear"/>
            <w:tcMar>
              <w:top w:type="dxa" w:w="100"/>
              <w:left w:type="dxa" w:w="180"/>
              <w:bottom w:type="dxa" w:w="100"/>
              <w:right w:type="dxa" w:w="180"/>
            </w:tcMar>
          </w:tcPr>
          <w:p>
            <w:pPr>
              <w:spacing w:after="60" w:before="40"/>
            </w:pPr>
            <w:r>
              <w:rPr>
                <w:rFonts w:ascii="Arial" w:cs="Arial" w:eastAsia="Arial" w:hAnsi="Arial"/>
                <w:b/>
                <w:bCs/>
                <w:color w:val="1B2A4A"/>
                <w:sz w:val="21"/>
                <w:szCs w:val="21"/>
              </w:rPr>
              <w:t xml:space="preserve">Prompt Injection Defences</w:t>
            </w:r>
          </w:p>
          <w:p>
            <w:pPr>
              <w:spacing w:after="40" w:before="0" w:line="264"/>
              <w:jc w:val="both"/>
            </w:pPr>
            <w:r>
              <w:rPr>
                <w:rFonts w:ascii="Arial" w:cs="Arial" w:eastAsia="Arial" w:hAnsi="Arial"/>
                <w:color w:val="333333"/>
                <w:sz w:val="20"/>
                <w:szCs w:val="20"/>
              </w:rPr>
              <w:t xml:space="preserve">Prompt injection defences are security measures designed to protect AI systems, particularly Large Language Models (LLMs), from malicious instructions that attempt to manipulate their behaviour. A prompt injection attack occurs when an attacker provides specially crafted input that causes the AI model to ignore its original instructions and perform unintended actions.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80"/>
          <w:right w:type="dxa" w:w="0"/>
        </w:tblCellMar>
      </w:tblPr>
      <w:tblGrid>
        <w:gridCol w:w="9360"/>
      </w:tblGrid>
      <w:tr>
        <w:tc>
          <w:tcPr>
            <w:tcW w:type="dxa" w:w="9360"/>
            <w:tcBorders>
              <w:top w:val="single" w:color="CCDDEE" w:sz="1"/>
              <w:left w:val="single" w:color="2E6DA4" w:sz="16"/>
              <w:bottom w:val="single" w:color="CCDDEE" w:sz="1"/>
              <w:right w:val="single" w:color="CCDDEE" w:sz="1"/>
            </w:tcBorders>
            <w:shd w:fill="F5F7FA" w:val="clear"/>
            <w:tcMar>
              <w:top w:type="dxa" w:w="100"/>
              <w:left w:type="dxa" w:w="180"/>
              <w:bottom w:type="dxa" w:w="100"/>
              <w:right w:type="dxa" w:w="180"/>
            </w:tcMar>
          </w:tcPr>
          <w:p>
            <w:pPr>
              <w:spacing w:after="60" w:before="40"/>
            </w:pPr>
            <w:r>
              <w:rPr>
                <w:rFonts w:ascii="Arial" w:cs="Arial" w:eastAsia="Arial" w:hAnsi="Arial"/>
                <w:b/>
                <w:bCs/>
                <w:color w:val="1B2A4A"/>
                <w:sz w:val="21"/>
                <w:szCs w:val="21"/>
              </w:rPr>
              <w:t xml:space="preserve">Deepfake &amp; AI-Phishing Awareness Training</w:t>
            </w:r>
          </w:p>
          <w:p>
            <w:pPr>
              <w:spacing w:after="40" w:before="0" w:line="264"/>
              <w:jc w:val="both"/>
            </w:pPr>
            <w:r>
              <w:rPr>
                <w:rFonts w:ascii="Arial" w:cs="Arial" w:eastAsia="Arial" w:hAnsi="Arial"/>
                <w:color w:val="333333"/>
                <w:sz w:val="20"/>
                <w:szCs w:val="20"/>
              </w:rPr>
              <w:t xml:space="preserve">A deepfake is digitally generated or manipulated audio, video, or image content created using AI technologies that can imitate a person's voice, facial expressions, or appearance with remarkable accuracy. AI-phishing involves using artificial intelligence to create highly personalized phishing emails and social engineering attacks that closely resemble legitimate communications — making them significantly harder to detect than traditional phishing attempts.</w:t>
            </w:r>
          </w:p>
        </w:tc>
      </w:tr>
    </w:tbl>
    <w:p>
      <w:pPr>
        <w:spacing w:after="200" w:before="0"/>
      </w:pPr>
      <w:r>
        <w:t xml:space="preserve"/>
      </w:r>
    </w:p>
    <w:p>
      <w:pPr>
        <w:pStyle w:val="Heading2"/>
        <w:spacing w:after="80" w:before="280"/>
      </w:pPr>
      <w:r>
        <w:rPr>
          <w:rFonts w:ascii="Arial" w:cs="Arial" w:eastAsia="Arial" w:hAnsi="Arial"/>
          <w:b/>
          <w:bCs/>
          <w:color w:val="2E6DA4"/>
          <w:sz w:val="24"/>
          <w:szCs w:val="24"/>
        </w:rPr>
        <w:t xml:space="preserve">5. Supply Chain &amp; Software Integrity Failures</w:t>
      </w:r>
    </w:p>
    <w:p>
      <w:pPr>
        <w:spacing w:after="100" w:before="60" w:line="276"/>
        <w:jc w:val="both"/>
      </w:pPr>
      <w:r>
        <w:rPr>
          <w:rFonts w:ascii="Arial" w:cs="Arial" w:eastAsia="Arial" w:hAnsi="Arial"/>
          <w:color w:val="333333"/>
          <w:sz w:val="22"/>
          <w:szCs w:val="22"/>
        </w:rPr>
        <w:t xml:space="preserve">OWASP elevated Software Supply Chain Failures to #A03 in its 2025 list, a new dedicated category reflecting rising third-party compromise incidents. CISA advisories have repeatedly flagged risks from compromised vendor software and insecure update pipelines. State-sponsored actors increasingly use commercial hosting infrastructure to mask operations.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20"/>
          <w:right w:type="dxa" w:w="0"/>
        </w:tblCellMar>
      </w:tblPr>
      <w:tblGrid>
        <w:gridCol w:w="9360"/>
      </w:tblGrid>
      <w:tr>
        <w:tc>
          <w:tcPr>
            <w:tcW w:type="dxa" w:w="9360"/>
            <w:tcBorders>
              <w:top w:val="none" w:color="FFFFFF" w:sz="0"/>
              <w:left w:val="single" w:color="C0392B" w:sz="20"/>
              <w:bottom w:val="none" w:color="FFFFFF" w:sz="0"/>
              <w:right w:val="none" w:color="FFFFFF" w:sz="0"/>
            </w:tcBorders>
            <w:shd w:fill="1B2A4A" w:val="clear"/>
            <w:tcMar>
              <w:top w:type="dxa" w:w="120"/>
              <w:left w:type="dxa" w:w="200"/>
              <w:bottom w:type="dxa" w:w="120"/>
              <w:right w:type="dxa" w:w="200"/>
            </w:tcMar>
          </w:tcPr>
          <w:p>
            <w:pPr>
              <w:spacing w:after="60" w:before="60"/>
            </w:pPr>
            <w:r>
              <w:rPr>
                <w:rFonts w:ascii="Arial" w:cs="Arial" w:eastAsia="Arial" w:hAnsi="Arial"/>
                <w:b/>
                <w:bCs/>
                <w:color w:val="FFFFFF"/>
                <w:sz w:val="22"/>
                <w:szCs w:val="22"/>
              </w:rPr>
              <w:t xml:space="preserve">⚠ Major Threat: XZ Utils Backdoor (March 2024)</w:t>
            </w:r>
          </w:p>
          <w:p>
            <w:pPr>
              <w:spacing w:after="60" w:before="40" w:line="264"/>
              <w:jc w:val="both"/>
            </w:pPr>
            <w:r>
              <w:rPr>
                <w:rFonts w:ascii="Arial" w:cs="Arial" w:eastAsia="Arial" w:hAnsi="Arial"/>
                <w:color w:val="FFFFFF"/>
                <w:sz w:val="20"/>
                <w:szCs w:val="20"/>
              </w:rPr>
              <w:t xml:space="preserve">A researcher discovered a carefully planted backdoor in XZ Utils — a widely used data compression library embedded in Linux distributions worldwide. The attacker had spent over two years building a trusted maintainer identity in the open-source community before inserting malicious code that would have allowed unauthorized SSH access on millions of servers. ENISA highlighted this as a landmark supply chain case, and OWASP Top 10:2025 elevated Software Supply Chain Failures to #A03 in direct response to this pattern.</w:t>
            </w:r>
          </w:p>
        </w:tc>
      </w:tr>
    </w:tbl>
    <w:p>
      <w:pPr>
        <w:spacing w:after="120" w:before="0"/>
      </w:pPr>
      <w:r>
        <w:t xml:space="preserve"/>
      </w:r>
    </w:p>
    <w:p>
      <w:pPr>
        <w:pStyle w:val="Heading3"/>
        <w:spacing w:after="60" w:before="200"/>
      </w:pPr>
      <w:r>
        <w:rPr>
          <w:rFonts w:ascii="Arial" w:cs="Arial" w:eastAsia="Arial" w:hAnsi="Arial"/>
          <w:b/>
          <w:bCs/>
          <w:color w:val="333333"/>
          <w:sz w:val="22"/>
          <w:szCs w:val="22"/>
        </w:rPr>
        <w:t xml:space="preserve">Prevention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80"/>
          <w:right w:type="dxa" w:w="0"/>
        </w:tblCellMar>
      </w:tblPr>
      <w:tblGrid>
        <w:gridCol w:w="9360"/>
      </w:tblGrid>
      <w:tr>
        <w:tc>
          <w:tcPr>
            <w:tcW w:type="dxa" w:w="9360"/>
            <w:tcBorders>
              <w:top w:val="single" w:color="CCDDEE" w:sz="1"/>
              <w:left w:val="single" w:color="2E6DA4" w:sz="16"/>
              <w:bottom w:val="single" w:color="CCDDEE" w:sz="1"/>
              <w:right w:val="single" w:color="CCDDEE" w:sz="1"/>
            </w:tcBorders>
            <w:shd w:fill="F5F7FA" w:val="clear"/>
            <w:tcMar>
              <w:top w:type="dxa" w:w="100"/>
              <w:left w:type="dxa" w:w="180"/>
              <w:bottom w:type="dxa" w:w="100"/>
              <w:right w:type="dxa" w:w="180"/>
            </w:tcMar>
          </w:tcPr>
          <w:p>
            <w:pPr>
              <w:spacing w:after="60" w:before="40"/>
            </w:pPr>
            <w:r>
              <w:rPr>
                <w:rFonts w:ascii="Arial" w:cs="Arial" w:eastAsia="Arial" w:hAnsi="Arial"/>
                <w:b/>
                <w:bCs/>
                <w:color w:val="1B2A4A"/>
                <w:sz w:val="21"/>
                <w:szCs w:val="21"/>
              </w:rPr>
              <w:t xml:space="preserve">Vendor &amp; Third-Party Risk Management (TPRM)</w:t>
            </w:r>
          </w:p>
          <w:p>
            <w:pPr>
              <w:spacing w:after="40" w:before="0" w:line="264"/>
              <w:jc w:val="both"/>
            </w:pPr>
            <w:r>
              <w:rPr>
                <w:rFonts w:ascii="Arial" w:cs="Arial" w:eastAsia="Arial" w:hAnsi="Arial"/>
                <w:color w:val="333333"/>
                <w:sz w:val="20"/>
                <w:szCs w:val="20"/>
              </w:rPr>
              <w:t xml:space="preserve">TPRM is the process of identifying, assessing, monitoring, and reducing cybersecurity risks associated with external organizations that have access to a company's systems, data, or business operations — including software vendors, cloud providers, contractors, consultants, managed service providers, and business partners.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80"/>
          <w:right w:type="dxa" w:w="0"/>
        </w:tblCellMar>
      </w:tblPr>
      <w:tblGrid>
        <w:gridCol w:w="9360"/>
      </w:tblGrid>
      <w:tr>
        <w:tc>
          <w:tcPr>
            <w:tcW w:type="dxa" w:w="9360"/>
            <w:tcBorders>
              <w:top w:val="single" w:color="CCDDEE" w:sz="1"/>
              <w:left w:val="single" w:color="2E6DA4" w:sz="16"/>
              <w:bottom w:val="single" w:color="CCDDEE" w:sz="1"/>
              <w:right w:val="single" w:color="CCDDEE" w:sz="1"/>
            </w:tcBorders>
            <w:shd w:fill="F5F7FA" w:val="clear"/>
            <w:tcMar>
              <w:top w:type="dxa" w:w="100"/>
              <w:left w:type="dxa" w:w="180"/>
              <w:bottom w:type="dxa" w:w="100"/>
              <w:right w:type="dxa" w:w="180"/>
            </w:tcMar>
          </w:tcPr>
          <w:p>
            <w:pPr>
              <w:spacing w:after="60" w:before="40"/>
            </w:pPr>
            <w:r>
              <w:rPr>
                <w:rFonts w:ascii="Arial" w:cs="Arial" w:eastAsia="Arial" w:hAnsi="Arial"/>
                <w:b/>
                <w:bCs/>
                <w:color w:val="1B2A4A"/>
                <w:sz w:val="21"/>
                <w:szCs w:val="21"/>
              </w:rPr>
              <w:t xml:space="preserve">Secure CI/CD Pipeline Controls</w:t>
            </w:r>
          </w:p>
          <w:p>
            <w:pPr>
              <w:spacing w:after="40" w:before="0" w:line="264"/>
              <w:jc w:val="both"/>
            </w:pPr>
            <w:r>
              <w:rPr>
                <w:rFonts w:ascii="Arial" w:cs="Arial" w:eastAsia="Arial" w:hAnsi="Arial"/>
                <w:color w:val="333333"/>
                <w:sz w:val="20"/>
                <w:szCs w:val="20"/>
              </w:rPr>
              <w:t xml:space="preserve">A CI/CD pipeline is an automated workflow that allows developers to build, test, and deploy software quickly. A secure CI/CD pipeline ensures that every stage of software development incorporates security controls — an approach known as DevSecOps, where security is integrated into development and operations processes from the beginning rather than added later.</w:t>
            </w:r>
          </w:p>
        </w:tc>
      </w:tr>
    </w:tbl>
    <w:p>
      <w:pPr>
        <w:spacing w:after="200" w:before="0"/>
      </w:pPr>
      <w:r>
        <w:t xml:space="preserve"/>
      </w:r>
    </w:p>
    <w:p>
      <w:pPr>
        <w:pStyle w:val="Heading1"/>
        <w:pBdr>
          <w:bottom w:val="single" w:color="2E6DA4" w:sz="8" w:space="4"/>
        </w:pBdr>
        <w:spacing w:after="120" w:before="360"/>
      </w:pPr>
      <w:r>
        <w:rPr>
          <w:rFonts w:ascii="Arial" w:cs="Arial" w:eastAsia="Arial" w:hAnsi="Arial"/>
          <w:b/>
          <w:bCs/>
          <w:color w:val="1B2A4A"/>
          <w:sz w:val="28"/>
          <w:szCs w:val="28"/>
        </w:rPr>
        <w:t xml:space="preserve">Conclusion</w:t>
      </w:r>
    </w:p>
    <w:p>
      <w:pPr>
        <w:spacing w:after="100" w:before="60" w:line="276"/>
        <w:jc w:val="both"/>
      </w:pPr>
      <w:r>
        <w:rPr>
          <w:rFonts w:ascii="Arial" w:cs="Arial" w:eastAsia="Arial" w:hAnsi="Arial"/>
          <w:color w:val="333333"/>
          <w:sz w:val="22"/>
          <w:szCs w:val="22"/>
        </w:rPr>
        <w:t xml:space="preserve">In today's rapidly evolving digital landscape, organizations face a wide range of cyber threats, including ransomware attacks, identity theft, credential compromise, supply chain attacks, and emerging AI-driven threats. Incidents such as the Change Healthcare ransomware attack demonstrate how a single security breach can disrupt critical services, expose sensitive data, and cause significant financial and operational damage.</w:t>
      </w:r>
    </w:p>
    <w:p>
      <w:pPr>
        <w:spacing w:after="80" w:before="0"/>
      </w:pPr>
      <w:r>
        <w:t xml:space="preserve"/>
      </w:r>
    </w:p>
    <w:p>
      <w:pPr>
        <w:spacing w:after="100" w:before="60" w:line="276"/>
        <w:jc w:val="both"/>
      </w:pPr>
      <w:r>
        <w:rPr>
          <w:rFonts w:ascii="Arial" w:cs="Arial" w:eastAsia="Arial" w:hAnsi="Arial"/>
          <w:color w:val="333333"/>
          <w:sz w:val="22"/>
          <w:szCs w:val="22"/>
        </w:rPr>
        <w:t xml:space="preserve">To effectively mitigate these risks, organizations must adopt a comprehensive and layered cybersecurity strategy. Key security measures — including phishing-resistant FIDO2 MFA, dark web credential monitoring, Continuous Attack Surface Management (CASM), Zero Trust Network Access (ZTNA), prompt injection defences, deepfake awareness training, vendor and third-party risk management, secure CI/CD pipeline controls, and immutable backup strategies — collectively strengthen an organization's security posture and improve resilience against both traditional and emerging cyber threats.</w:t>
      </w:r>
    </w:p>
    <w:p>
      <w:pPr>
        <w:spacing w:after="200" w:before="0"/>
      </w:pPr>
      <w:r>
        <w:t xml:space="preserve"/>
      </w:r>
    </w:p>
    <w:p>
      <w:pPr>
        <w:pStyle w:val="Heading1"/>
        <w:pBdr>
          <w:bottom w:val="single" w:color="2E6DA4" w:sz="8" w:space="4"/>
        </w:pBdr>
        <w:spacing w:after="120" w:before="360"/>
      </w:pPr>
      <w:r>
        <w:rPr>
          <w:rFonts w:ascii="Arial" w:cs="Arial" w:eastAsia="Arial" w:hAnsi="Arial"/>
          <w:b/>
          <w:bCs/>
          <w:color w:val="1B2A4A"/>
          <w:sz w:val="28"/>
          <w:szCs w:val="28"/>
        </w:rPr>
        <w:t xml:space="preserve">References</w:t>
      </w:r>
    </w:p>
    <w:p>
      <w:pPr>
        <w:pStyle w:val="ListParagraph"/>
        <w:numPr>
          <w:ilvl w:val="0"/>
          <w:numId w:val="2"/>
        </w:numPr>
        <w:spacing w:after="80" w:before="40"/>
      </w:pPr>
      <w:hyperlink w:history="1" r:id="rIdl8igvlygjbz_cjczjwe9y">
        <w:r>
          <w:rPr>
            <w:rFonts w:ascii="Arial" w:cs="Arial" w:eastAsia="Arial" w:hAnsi="Arial"/>
            <w:color w:val="2E6DA4"/>
            <w:sz w:val="20"/>
            <w:szCs w:val="20"/>
            <w:u w:val="single"/>
          </w:rPr>
          <w:t xml:space="preserve">https://www.cybrary.it/free-courses</w:t>
        </w:r>
      </w:hyperlink>
    </w:p>
    <w:p>
      <w:pPr>
        <w:pStyle w:val="ListParagraph"/>
        <w:numPr>
          <w:ilvl w:val="0"/>
          <w:numId w:val="2"/>
        </w:numPr>
        <w:spacing w:after="80" w:before="40"/>
      </w:pPr>
      <w:hyperlink w:history="1" r:id="rIdvkzvrbsedae82h0lzops7">
        <w:r>
          <w:rPr>
            <w:rFonts w:ascii="Arial" w:cs="Arial" w:eastAsia="Arial" w:hAnsi="Arial"/>
            <w:color w:val="2E6DA4"/>
            <w:sz w:val="20"/>
            <w:szCs w:val="20"/>
            <w:u w:val="single"/>
          </w:rPr>
          <w:t xml:space="preserve">https://www.netacad.com/courses/introduction-to-cybersecurity</w:t>
        </w:r>
      </w:hyperlink>
    </w:p>
    <w:p>
      <w:pPr>
        <w:pStyle w:val="ListParagraph"/>
        <w:numPr>
          <w:ilvl w:val="0"/>
          <w:numId w:val="2"/>
        </w:numPr>
        <w:spacing w:after="80" w:before="40"/>
      </w:pPr>
      <w:hyperlink w:history="1" r:id="rId7hbwwkelw7e7q9pdofouw">
        <w:r>
          <w:rPr>
            <w:rFonts w:ascii="Arial" w:cs="Arial" w:eastAsia="Arial" w:hAnsi="Arial"/>
            <w:color w:val="2E6DA4"/>
            <w:sz w:val="20"/>
            <w:szCs w:val="20"/>
            <w:u w:val="single"/>
          </w:rPr>
          <w:t xml:space="preserve">https://www.coursera.org/learn/cybersecurity-for-everyone</w:t>
        </w:r>
      </w:hyperlink>
    </w:p>
    <w:p>
      <w:pPr>
        <w:pStyle w:val="ListParagraph"/>
        <w:numPr>
          <w:ilvl w:val="0"/>
          <w:numId w:val="2"/>
        </w:numPr>
        <w:spacing w:after="80" w:before="40"/>
      </w:pPr>
      <w:hyperlink w:history="1" r:id="rIdvpp9c_qsxgk3musotgt-i">
        <w:r>
          <w:rPr>
            <w:rFonts w:ascii="Arial" w:cs="Arial" w:eastAsia="Arial" w:hAnsi="Arial"/>
            <w:color w:val="2E6DA4"/>
            <w:sz w:val="20"/>
            <w:szCs w:val="20"/>
            <w:u w:val="single"/>
          </w:rPr>
          <w:t xml:space="preserve">https://owasp.org/www-project-top-ten/</w:t>
        </w:r>
      </w:hyperlink>
    </w:p>
    <w:p>
      <w:pPr>
        <w:pStyle w:val="ListParagraph"/>
        <w:numPr>
          <w:ilvl w:val="0"/>
          <w:numId w:val="2"/>
        </w:numPr>
        <w:spacing w:after="80" w:before="40"/>
      </w:pPr>
      <w:hyperlink w:history="1" r:id="rIdzj2gfyfk_xisydwtdfdvk">
        <w:r>
          <w:rPr>
            <w:rFonts w:ascii="Arial" w:cs="Arial" w:eastAsia="Arial" w:hAnsi="Arial"/>
            <w:color w:val="2E6DA4"/>
            <w:sz w:val="20"/>
            <w:szCs w:val="20"/>
            <w:u w:val="single"/>
          </w:rPr>
          <w:t xml:space="preserve">https://www.ibm.com/think/security</w:t>
        </w:r>
      </w:hyperlink>
    </w:p>
    <w:p>
      <w:pPr>
        <w:pStyle w:val="ListParagraph"/>
        <w:numPr>
          <w:ilvl w:val="0"/>
          <w:numId w:val="2"/>
        </w:numPr>
        <w:spacing w:after="80" w:before="40"/>
      </w:pPr>
      <w:hyperlink w:history="1" r:id="rIdardvag-8wpwypcoa6nv6f">
        <w:r>
          <w:rPr>
            <w:rFonts w:ascii="Arial" w:cs="Arial" w:eastAsia="Arial" w:hAnsi="Arial"/>
            <w:color w:val="2E6DA4"/>
            <w:sz w:val="20"/>
            <w:szCs w:val="20"/>
            <w:u w:val="single"/>
          </w:rPr>
          <w:t xml:space="preserve">https://krebsonsecurity.com/</w:t>
        </w:r>
      </w:hyperlink>
    </w:p>
    <w:p>
      <w:pPr>
        <w:pStyle w:val="ListParagraph"/>
        <w:numPr>
          <w:ilvl w:val="0"/>
          <w:numId w:val="2"/>
        </w:numPr>
        <w:spacing w:after="80" w:before="40"/>
      </w:pPr>
      <w:hyperlink w:history="1" r:id="rIddvflgve2qsvo_wtqbqg4h">
        <w:r>
          <w:rPr>
            <w:rFonts w:ascii="Arial" w:cs="Arial" w:eastAsia="Arial" w:hAnsi="Arial"/>
            <w:color w:val="2E6DA4"/>
            <w:sz w:val="20"/>
            <w:szCs w:val="20"/>
            <w:u w:val="single"/>
          </w:rPr>
          <w:t xml:space="preserve">https://www.verizon.com/business/resources/reports/dbir/</w:t>
        </w:r>
      </w:hyperlink>
    </w:p>
    <w:p>
      <w:pPr>
        <w:pStyle w:val="ListParagraph"/>
        <w:numPr>
          <w:ilvl w:val="0"/>
          <w:numId w:val="2"/>
        </w:numPr>
        <w:spacing w:after="80" w:before="40"/>
      </w:pPr>
      <w:hyperlink w:history="1" r:id="rIdv7qgmo006y1ub09_l9css">
        <w:r>
          <w:rPr>
            <w:rFonts w:ascii="Arial" w:cs="Arial" w:eastAsia="Arial" w:hAnsi="Arial"/>
            <w:color w:val="2E6DA4"/>
            <w:sz w:val="20"/>
            <w:szCs w:val="20"/>
            <w:u w:val="single"/>
          </w:rPr>
          <w:t xml:space="preserve">https://www.enisa.europa.eu/topics/threat-risk-management/threats-and-trends</w:t>
        </w:r>
      </w:hyperlink>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4"/>
      </w:pBdr>
      <w:tabs>
        <w:tab w:val="right" w:pos="9026"/>
      </w:tabs>
      <w:spacing w:after="0" w:before="80"/>
    </w:pPr>
    <w:r>
      <w:rPr>
        <w:rFonts w:ascii="Arial" w:cs="Arial" w:eastAsia="Arial" w:hAnsi="Arial"/>
        <w:color w:val="666666"/>
        <w:sz w:val="16"/>
        <w:szCs w:val="16"/>
      </w:rPr>
      <w:t xml:space="preserve">Confidential — Academic Submission</w:t>
    </w:r>
    <w:r>
      <w:rPr>
        <w:rFonts w:ascii="Arial" w:cs="Arial" w:eastAsia="Arial" w:hAnsi="Arial"/>
        <w:color w:val="666666"/>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6" w:space="4"/>
      </w:pBdr>
      <w:tabs>
        <w:tab w:val="right" w:pos="9026"/>
      </w:tabs>
      <w:spacing w:after="120" w:before="0"/>
    </w:pPr>
    <w:r>
      <w:rPr>
        <w:rFonts w:ascii="Arial" w:cs="Arial" w:eastAsia="Arial" w:hAnsi="Arial"/>
        <w:i/>
        <w:iCs/>
        <w:color w:val="666666"/>
        <w:sz w:val="18"/>
        <w:szCs w:val="18"/>
      </w:rPr>
      <w:t xml:space="preserve">Cyber Security &amp; Ethical Hacking — Task 1</w:t>
    </w:r>
    <w:r>
      <w:rPr>
        <w:rFonts w:ascii="Arial" w:cs="Arial" w:eastAsia="Arial" w:hAnsi="Arial"/>
        <w:i/>
        <w:iCs/>
        <w:color w:val="666666"/>
        <w:sz w:val="18"/>
        <w:szCs w:val="18"/>
      </w:rPr>
      <w:t xml:space="preserve">	B Yashwanth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28"/>
      <w:szCs w:val="28"/>
    </w:rPr>
  </w:style>
  <w:style w:type="paragraph" w:styleId="Heading2">
    <w:name w:val="Heading 2"/>
    <w:basedOn w:val="Normal"/>
    <w:next w:val="Normal"/>
    <w:qFormat/>
    <w:pPr>
      <w:spacing w:after="80" w:before="280"/>
      <w:outlineLvl w:val="1"/>
    </w:pPr>
    <w:rPr>
      <w:rFonts w:ascii="Arial" w:cs="Arial" w:eastAsia="Arial" w:hAnsi="Arial"/>
      <w:b/>
      <w:bCs/>
      <w:color w:val="2E6DA4"/>
      <w:sz w:val="24"/>
      <w:szCs w:val="24"/>
    </w:rPr>
  </w:style>
  <w:style w:type="paragraph" w:styleId="Heading3">
    <w:name w:val="Heading 3"/>
    <w:basedOn w:val="Normal"/>
    <w:next w:val="Normal"/>
    <w:qFormat/>
    <w:pPr>
      <w:spacing w:after="6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l8igvlygjbz_cjczjwe9y" Type="http://schemas.openxmlformats.org/officeDocument/2006/relationships/hyperlink" Target="https://www.cybrary.it/free-courses" TargetMode="External"/><Relationship Id="rIdvkzvrbsedae82h0lzops7" Type="http://schemas.openxmlformats.org/officeDocument/2006/relationships/hyperlink" Target="https://www.netacad.com/courses/introduction-to-cybersecurity" TargetMode="External"/><Relationship Id="rId7hbwwkelw7e7q9pdofouw" Type="http://schemas.openxmlformats.org/officeDocument/2006/relationships/hyperlink" Target="https://www.coursera.org/learn/cybersecurity-for-everyone" TargetMode="External"/><Relationship Id="rIdvpp9c_qsxgk3musotgt-i" Type="http://schemas.openxmlformats.org/officeDocument/2006/relationships/hyperlink" Target="https://owasp.org/www-project-top-ten/" TargetMode="External"/><Relationship Id="rIdzj2gfyfk_xisydwtdfdvk" Type="http://schemas.openxmlformats.org/officeDocument/2006/relationships/hyperlink" Target="https://www.ibm.com/think/security" TargetMode="External"/><Relationship Id="rIdardvag-8wpwypcoa6nv6f" Type="http://schemas.openxmlformats.org/officeDocument/2006/relationships/hyperlink" Target="https://krebsonsecurity.com/" TargetMode="External"/><Relationship Id="rIddvflgve2qsvo_wtqbqg4h" Type="http://schemas.openxmlformats.org/officeDocument/2006/relationships/hyperlink" Target="https://www.verizon.com/business/resources/reports/dbir/" TargetMode="External"/><Relationship Id="rIdv7qgmo006y1ub09_l9css" Type="http://schemas.openxmlformats.org/officeDocument/2006/relationships/hyperlink" Target="https://www.enisa.europa.eu/topics/threat-risk-management/threats-and-trends"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2026-06-13T09:58:49.549Z</dcterms:created>
  <dcterms:modified xsi:type="dcterms:W3CDTF">2026-06-13T09:58:49.549Z</dcterms:modified>
</cp:coreProperties>
</file>

<file path=docProps/custom.xml><?xml version="1.0" encoding="utf-8"?>
<Properties xmlns="http://schemas.openxmlformats.org/officeDocument/2006/custom-properties" xmlns:vt="http://schemas.openxmlformats.org/officeDocument/2006/docPropsVTypes"/>
</file>