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0F2A4A"/>
          <w:sz w:val="44"/>
        </w:rPr>
        <w:t>BUSINESS REQUIREMENTS DOCUMENT (BRD)</w:t>
        <w:br/>
        <w:t>&amp; COMPREHENSIVE BUSINESS USE CASES</w:t>
      </w:r>
    </w:p>
    <w:p>
      <w:pPr>
        <w:spacing w:before="40" w:after="320"/>
      </w:pPr>
      <w:r>
        <w:rPr>
          <w:rFonts w:ascii="Calibri" w:hAnsi="Calibri"/>
          <w:b/>
          <w:color w:val="1B6CA8"/>
          <w:sz w:val="26"/>
        </w:rPr>
        <w:t>PromptShield: Explainable Generative AI for Scam Detection &amp; Citizen Digital Safety</w:t>
      </w:r>
    </w:p>
    <w:tbl>
      <w:tblPr>
        <w:tblW w:type="auto" w:w="0"/>
        <w:jc w:val="center"/>
        <w:tblLook w:firstColumn="1" w:firstRow="1" w:lastColumn="0" w:lastRow="0" w:noHBand="0" w:noVBand="1" w:val="04A0"/>
      </w:tblPr>
      <w:tblGrid>
        <w:gridCol w:w="4680"/>
        <w:gridCol w:w="4680"/>
      </w:tblGrid>
      <w:tr>
        <w:tc>
          <w:tcPr>
            <w:tcW w:type="dxa" w:w="3600"/>
            <w:shd w:fill="0F2A4A"/>
            <w:tcMar>
              <w:top w:w="140" w:type="dxa"/>
              <w:bottom w:w="140" w:type="dxa"/>
              <w:left w:w="150" w:type="dxa"/>
              <w:right w:w="150" w:type="dxa"/>
            </w:tcMar>
          </w:tcPr>
          <w:p>
            <w:pPr>
              <w:jc w:val="left"/>
            </w:pPr>
            <w:r>
              <w:rPr>
                <w:rFonts w:ascii="Calibri" w:hAnsi="Calibri"/>
                <w:b/>
                <w:color w:val="FFFFFF"/>
                <w:sz w:val="19"/>
              </w:rPr>
              <w:t>Project &amp; Governance Parameter</w:t>
            </w:r>
          </w:p>
        </w:tc>
        <w:tc>
          <w:tcPr>
            <w:tcW w:type="dxa" w:w="5760"/>
            <w:shd w:fill="0F2A4A"/>
            <w:tcMar>
              <w:top w:w="140" w:type="dxa"/>
              <w:bottom w:w="140" w:type="dxa"/>
              <w:left w:w="150" w:type="dxa"/>
              <w:right w:w="150" w:type="dxa"/>
            </w:tcMar>
          </w:tcPr>
          <w:p>
            <w:pPr>
              <w:jc w:val="left"/>
            </w:pPr>
            <w:r>
              <w:rPr>
                <w:rFonts w:ascii="Calibri" w:hAnsi="Calibri"/>
                <w:b/>
                <w:color w:val="FFFFFF"/>
                <w:sz w:val="19"/>
              </w:rPr>
              <w:t>Specification Details</w:t>
            </w:r>
          </w:p>
        </w:tc>
      </w:tr>
      <w:tr>
        <w:tc>
          <w:tcPr>
            <w:tcW w:type="dxa" w:w="3600"/>
            <w:shd w:fill="FFFFFF"/>
            <w:tcMar>
              <w:top w:w="100" w:type="dxa"/>
              <w:bottom w:w="100" w:type="dxa"/>
              <w:left w:w="140" w:type="dxa"/>
              <w:right w:w="140" w:type="dxa"/>
            </w:tcMar>
          </w:tcPr>
          <w:p>
            <w:pPr>
              <w:spacing w:line="276" w:lineRule="auto"/>
              <w:jc w:val="left"/>
            </w:pPr>
            <w:r>
              <w:rPr>
                <w:rFonts w:ascii="Calibri" w:hAnsi="Calibri"/>
                <w:color w:val="2D3748"/>
                <w:sz w:val="18"/>
              </w:rPr>
              <w:t>Project Title</w:t>
            </w:r>
          </w:p>
        </w:tc>
        <w:tc>
          <w:tcPr>
            <w:tcW w:type="dxa" w:w="5760"/>
            <w:shd w:fill="FFFFFF"/>
            <w:tcMar>
              <w:top w:w="100" w:type="dxa"/>
              <w:bottom w:w="100" w:type="dxa"/>
              <w:left w:w="140" w:type="dxa"/>
              <w:right w:w="140" w:type="dxa"/>
            </w:tcMar>
          </w:tcPr>
          <w:p>
            <w:pPr>
              <w:spacing w:line="276" w:lineRule="auto"/>
              <w:jc w:val="left"/>
            </w:pPr>
            <w:r>
              <w:rPr>
                <w:rFonts w:ascii="Calibri" w:hAnsi="Calibri"/>
                <w:color w:val="2D3748"/>
                <w:sz w:val="18"/>
              </w:rPr>
              <w:t>PromptShield (Explainable AI Cyber Defense Framework)</w:t>
            </w:r>
          </w:p>
        </w:tc>
      </w:tr>
      <w:tr>
        <w:tc>
          <w:tcPr>
            <w:tcW w:type="dxa" w:w="3600"/>
            <w:shd w:fill="F7FAFC"/>
            <w:tcMar>
              <w:top w:w="100" w:type="dxa"/>
              <w:bottom w:w="100" w:type="dxa"/>
              <w:left w:w="140" w:type="dxa"/>
              <w:right w:w="140" w:type="dxa"/>
            </w:tcMar>
          </w:tcPr>
          <w:p>
            <w:pPr>
              <w:spacing w:line="276" w:lineRule="auto"/>
              <w:jc w:val="left"/>
            </w:pPr>
            <w:r>
              <w:rPr>
                <w:rFonts w:ascii="Calibri" w:hAnsi="Calibri"/>
                <w:color w:val="2D3748"/>
                <w:sz w:val="18"/>
              </w:rPr>
              <w:t>Presented By</w:t>
            </w:r>
          </w:p>
        </w:tc>
        <w:tc>
          <w:tcPr>
            <w:tcW w:type="dxa" w:w="5760"/>
            <w:shd w:fill="F7FAFC"/>
            <w:tcMar>
              <w:top w:w="100" w:type="dxa"/>
              <w:bottom w:w="100" w:type="dxa"/>
              <w:left w:w="140" w:type="dxa"/>
              <w:right w:w="140" w:type="dxa"/>
            </w:tcMar>
          </w:tcPr>
          <w:p>
            <w:pPr>
              <w:spacing w:line="276" w:lineRule="auto"/>
              <w:jc w:val="left"/>
            </w:pPr>
            <w:r>
              <w:rPr>
                <w:rFonts w:ascii="Calibri" w:hAnsi="Calibri"/>
                <w:color w:val="2D3748"/>
                <w:sz w:val="18"/>
              </w:rPr>
              <w:t>Team ByteBusters</w:t>
            </w:r>
          </w:p>
        </w:tc>
      </w:tr>
      <w:tr>
        <w:tc>
          <w:tcPr>
            <w:tcW w:type="dxa" w:w="3600"/>
            <w:shd w:fill="FFFFFF"/>
            <w:tcMar>
              <w:top w:w="100" w:type="dxa"/>
              <w:bottom w:w="100" w:type="dxa"/>
              <w:left w:w="140" w:type="dxa"/>
              <w:right w:w="140" w:type="dxa"/>
            </w:tcMar>
          </w:tcPr>
          <w:p>
            <w:pPr>
              <w:spacing w:line="276" w:lineRule="auto"/>
              <w:jc w:val="left"/>
            </w:pPr>
            <w:r>
              <w:rPr>
                <w:rFonts w:ascii="Calibri" w:hAnsi="Calibri"/>
                <w:color w:val="2D3748"/>
                <w:sz w:val="18"/>
              </w:rPr>
              <w:t>Lead Developer / Architect</w:t>
            </w:r>
          </w:p>
        </w:tc>
        <w:tc>
          <w:tcPr>
            <w:tcW w:type="dxa" w:w="5760"/>
            <w:shd w:fill="FFFFFF"/>
            <w:tcMar>
              <w:top w:w="100" w:type="dxa"/>
              <w:bottom w:w="100" w:type="dxa"/>
              <w:left w:w="140" w:type="dxa"/>
              <w:right w:w="140" w:type="dxa"/>
            </w:tcMar>
          </w:tcPr>
          <w:p>
            <w:pPr>
              <w:spacing w:line="276" w:lineRule="auto"/>
              <w:jc w:val="left"/>
            </w:pPr>
            <w:r>
              <w:rPr>
                <w:rFonts w:ascii="Calibri" w:hAnsi="Calibri"/>
                <w:color w:val="2D3748"/>
                <w:sz w:val="18"/>
              </w:rPr>
              <w:t>Yashwanth Pathiwada (pathiwadayash@gmail.com)</w:t>
            </w:r>
          </w:p>
        </w:tc>
      </w:tr>
      <w:tr>
        <w:tc>
          <w:tcPr>
            <w:tcW w:type="dxa" w:w="3600"/>
            <w:shd w:fill="F7FAFC"/>
            <w:tcMar>
              <w:top w:w="100" w:type="dxa"/>
              <w:bottom w:w="100" w:type="dxa"/>
              <w:left w:w="140" w:type="dxa"/>
              <w:right w:w="140" w:type="dxa"/>
            </w:tcMar>
          </w:tcPr>
          <w:p>
            <w:pPr>
              <w:spacing w:line="276" w:lineRule="auto"/>
              <w:jc w:val="left"/>
            </w:pPr>
            <w:r>
              <w:rPr>
                <w:rFonts w:ascii="Calibri" w:hAnsi="Calibri"/>
                <w:color w:val="2D3748"/>
                <w:sz w:val="18"/>
              </w:rPr>
              <w:t>Document Type</w:t>
            </w:r>
          </w:p>
        </w:tc>
        <w:tc>
          <w:tcPr>
            <w:tcW w:type="dxa" w:w="5760"/>
            <w:shd w:fill="F7FAFC"/>
            <w:tcMar>
              <w:top w:w="100" w:type="dxa"/>
              <w:bottom w:w="100" w:type="dxa"/>
              <w:left w:w="140" w:type="dxa"/>
              <w:right w:w="140" w:type="dxa"/>
            </w:tcMar>
          </w:tcPr>
          <w:p>
            <w:pPr>
              <w:spacing w:line="276" w:lineRule="auto"/>
              <w:jc w:val="left"/>
            </w:pPr>
            <w:r>
              <w:rPr>
                <w:rFonts w:ascii="Calibri" w:hAnsi="Calibri"/>
                <w:color w:val="2D3748"/>
                <w:sz w:val="18"/>
              </w:rPr>
              <w:t>Business Requirements Document (BRD) &amp; Enterprise Business Use Cases</w:t>
            </w:r>
          </w:p>
        </w:tc>
      </w:tr>
      <w:tr>
        <w:tc>
          <w:tcPr>
            <w:tcW w:type="dxa" w:w="3600"/>
            <w:shd w:fill="FFFFFF"/>
            <w:tcMar>
              <w:top w:w="100" w:type="dxa"/>
              <w:bottom w:w="100" w:type="dxa"/>
              <w:left w:w="140" w:type="dxa"/>
              <w:right w:w="140" w:type="dxa"/>
            </w:tcMar>
          </w:tcPr>
          <w:p>
            <w:pPr>
              <w:spacing w:line="276" w:lineRule="auto"/>
              <w:jc w:val="left"/>
            </w:pPr>
            <w:r>
              <w:rPr>
                <w:rFonts w:ascii="Calibri" w:hAnsi="Calibri"/>
                <w:color w:val="2D3748"/>
                <w:sz w:val="18"/>
              </w:rPr>
              <w:t>Document Version</w:t>
            </w:r>
          </w:p>
        </w:tc>
        <w:tc>
          <w:tcPr>
            <w:tcW w:type="dxa" w:w="5760"/>
            <w:shd w:fill="FFFFFF"/>
            <w:tcMar>
              <w:top w:w="100" w:type="dxa"/>
              <w:bottom w:w="100" w:type="dxa"/>
              <w:left w:w="140" w:type="dxa"/>
              <w:right w:w="140" w:type="dxa"/>
            </w:tcMar>
          </w:tcPr>
          <w:p>
            <w:pPr>
              <w:spacing w:line="276" w:lineRule="auto"/>
              <w:jc w:val="left"/>
            </w:pPr>
            <w:r>
              <w:rPr>
                <w:rFonts w:ascii="Calibri" w:hAnsi="Calibri"/>
                <w:color w:val="2D3748"/>
                <w:sz w:val="18"/>
              </w:rPr>
              <w:t>v1.0 (Final Evaluator Release Candidate)</w:t>
            </w:r>
          </w:p>
        </w:tc>
      </w:tr>
      <w:tr>
        <w:tc>
          <w:tcPr>
            <w:tcW w:type="dxa" w:w="3600"/>
            <w:shd w:fill="F7FAFC"/>
            <w:tcMar>
              <w:top w:w="100" w:type="dxa"/>
              <w:bottom w:w="100" w:type="dxa"/>
              <w:left w:w="140" w:type="dxa"/>
              <w:right w:w="140" w:type="dxa"/>
            </w:tcMar>
          </w:tcPr>
          <w:p>
            <w:pPr>
              <w:spacing w:line="276" w:lineRule="auto"/>
              <w:jc w:val="left"/>
            </w:pPr>
            <w:r>
              <w:rPr>
                <w:rFonts w:ascii="Calibri" w:hAnsi="Calibri"/>
                <w:color w:val="2D3748"/>
                <w:sz w:val="18"/>
              </w:rPr>
              <w:t>Target Evaluation Audience</w:t>
            </w:r>
          </w:p>
        </w:tc>
        <w:tc>
          <w:tcPr>
            <w:tcW w:type="dxa" w:w="5760"/>
            <w:shd w:fill="F7FAFC"/>
            <w:tcMar>
              <w:top w:w="100" w:type="dxa"/>
              <w:bottom w:w="100" w:type="dxa"/>
              <w:left w:w="140" w:type="dxa"/>
              <w:right w:w="140" w:type="dxa"/>
            </w:tcMar>
          </w:tcPr>
          <w:p>
            <w:pPr>
              <w:spacing w:line="276" w:lineRule="auto"/>
              <w:jc w:val="left"/>
            </w:pPr>
            <w:r>
              <w:rPr>
                <w:rFonts w:ascii="Calibri" w:hAnsi="Calibri"/>
                <w:color w:val="2D3748"/>
                <w:sz w:val="18"/>
              </w:rPr>
              <w:t>Academic Evaluation Committee, Technical Jury, Hackathon Evaluators</w:t>
            </w:r>
          </w:p>
        </w:tc>
      </w:tr>
      <w:tr>
        <w:tc>
          <w:tcPr>
            <w:tcW w:type="dxa" w:w="3600"/>
            <w:shd w:fill="FFFFFF"/>
            <w:tcMar>
              <w:top w:w="100" w:type="dxa"/>
              <w:bottom w:w="100" w:type="dxa"/>
              <w:left w:w="140" w:type="dxa"/>
              <w:right w:w="140" w:type="dxa"/>
            </w:tcMar>
          </w:tcPr>
          <w:p>
            <w:pPr>
              <w:spacing w:line="276" w:lineRule="auto"/>
              <w:jc w:val="left"/>
            </w:pPr>
            <w:r>
              <w:rPr>
                <w:rFonts w:ascii="Calibri" w:hAnsi="Calibri"/>
                <w:color w:val="2D3748"/>
                <w:sz w:val="18"/>
              </w:rPr>
              <w:t>Repository URL</w:t>
            </w:r>
          </w:p>
        </w:tc>
        <w:tc>
          <w:tcPr>
            <w:tcW w:type="dxa" w:w="5760"/>
            <w:shd w:fill="FFFFFF"/>
            <w:tcMar>
              <w:top w:w="100" w:type="dxa"/>
              <w:bottom w:w="100" w:type="dxa"/>
              <w:left w:w="140" w:type="dxa"/>
              <w:right w:w="140" w:type="dxa"/>
            </w:tcMar>
          </w:tcPr>
          <w:p>
            <w:pPr>
              <w:spacing w:line="276" w:lineRule="auto"/>
              <w:jc w:val="left"/>
            </w:pPr>
            <w:r>
              <w:rPr>
                <w:rFonts w:ascii="Calibri" w:hAnsi="Calibri"/>
                <w:color w:val="2D3748"/>
                <w:sz w:val="18"/>
              </w:rPr>
              <w:t>https://github.com/yashwanthPathiwada/promptshield-ai</w:t>
            </w:r>
          </w:p>
        </w:tc>
      </w:tr>
      <w:tr>
        <w:tc>
          <w:tcPr>
            <w:tcW w:type="dxa" w:w="3600"/>
            <w:shd w:fill="F7FAFC"/>
            <w:tcMar>
              <w:top w:w="100" w:type="dxa"/>
              <w:bottom w:w="100" w:type="dxa"/>
              <w:left w:w="140" w:type="dxa"/>
              <w:right w:w="140" w:type="dxa"/>
            </w:tcMar>
          </w:tcPr>
          <w:p>
            <w:pPr>
              <w:spacing w:line="276" w:lineRule="auto"/>
              <w:jc w:val="left"/>
            </w:pPr>
            <w:r>
              <w:rPr>
                <w:rFonts w:ascii="Calibri" w:hAnsi="Calibri"/>
                <w:color w:val="2D3748"/>
                <w:sz w:val="18"/>
              </w:rPr>
              <w:t>Implementation Stack</w:t>
            </w:r>
          </w:p>
        </w:tc>
        <w:tc>
          <w:tcPr>
            <w:tcW w:type="dxa" w:w="5760"/>
            <w:shd w:fill="F7FAFC"/>
            <w:tcMar>
              <w:top w:w="100" w:type="dxa"/>
              <w:bottom w:w="100" w:type="dxa"/>
              <w:left w:w="140" w:type="dxa"/>
              <w:right w:w="140" w:type="dxa"/>
            </w:tcMar>
          </w:tcPr>
          <w:p>
            <w:pPr>
              <w:spacing w:line="276" w:lineRule="auto"/>
              <w:jc w:val="left"/>
            </w:pPr>
            <w:r>
              <w:rPr>
                <w:rFonts w:ascii="Calibri" w:hAnsi="Calibri"/>
                <w:color w:val="2D3748"/>
                <w:sz w:val="18"/>
              </w:rPr>
              <w:t>FastAPI, Python 3.11, React 18, Tailwind CSS, Docker, Uvicorn, GenAI</w:t>
            </w:r>
          </w:p>
        </w:tc>
      </w:tr>
      <w:tr>
        <w:tc>
          <w:tcPr>
            <w:tcW w:type="dxa" w:w="3600"/>
            <w:shd w:fill="FFFFFF"/>
            <w:tcMar>
              <w:top w:w="100" w:type="dxa"/>
              <w:bottom w:w="100" w:type="dxa"/>
              <w:left w:w="140" w:type="dxa"/>
              <w:right w:w="140" w:type="dxa"/>
            </w:tcMar>
          </w:tcPr>
          <w:p>
            <w:pPr>
              <w:spacing w:line="276" w:lineRule="auto"/>
              <w:jc w:val="left"/>
            </w:pPr>
            <w:r>
              <w:rPr>
                <w:rFonts w:ascii="Calibri" w:hAnsi="Calibri"/>
                <w:color w:val="2D3748"/>
                <w:sz w:val="18"/>
              </w:rPr>
              <w:t>Release Date</w:t>
            </w:r>
          </w:p>
        </w:tc>
        <w:tc>
          <w:tcPr>
            <w:tcW w:type="dxa" w:w="5760"/>
            <w:shd w:fill="FFFFFF"/>
            <w:tcMar>
              <w:top w:w="100" w:type="dxa"/>
              <w:bottom w:w="100" w:type="dxa"/>
              <w:left w:w="140" w:type="dxa"/>
              <w:right w:w="140" w:type="dxa"/>
            </w:tcMar>
          </w:tcPr>
          <w:p>
            <w:pPr>
              <w:spacing w:line="276" w:lineRule="auto"/>
              <w:jc w:val="left"/>
            </w:pPr>
            <w:r>
              <w:rPr>
                <w:rFonts w:ascii="Calibri" w:hAnsi="Calibri"/>
                <w:color w:val="2D3748"/>
                <w:sz w:val="18"/>
              </w:rPr>
              <w:t>October 2026</w:t>
            </w:r>
          </w:p>
        </w:tc>
      </w:tr>
      <w:tr>
        <w:tc>
          <w:tcPr>
            <w:tcW w:type="dxa" w:w="3600"/>
            <w:shd w:fill="F7FAFC"/>
            <w:tcMar>
              <w:top w:w="100" w:type="dxa"/>
              <w:bottom w:w="100" w:type="dxa"/>
              <w:left w:w="140" w:type="dxa"/>
              <w:right w:w="140" w:type="dxa"/>
            </w:tcMar>
          </w:tcPr>
          <w:p>
            <w:pPr>
              <w:spacing w:line="276" w:lineRule="auto"/>
              <w:jc w:val="left"/>
            </w:pPr>
            <w:r>
              <w:rPr>
                <w:rFonts w:ascii="Calibri" w:hAnsi="Calibri"/>
                <w:color w:val="2D3748"/>
                <w:sz w:val="18"/>
              </w:rPr>
              <w:t>Security &amp; Compliance</w:t>
            </w:r>
          </w:p>
        </w:tc>
        <w:tc>
          <w:tcPr>
            <w:tcW w:type="dxa" w:w="5760"/>
            <w:shd w:fill="F7FAFC"/>
            <w:tcMar>
              <w:top w:w="100" w:type="dxa"/>
              <w:bottom w:w="100" w:type="dxa"/>
              <w:left w:w="140" w:type="dxa"/>
              <w:right w:w="140" w:type="dxa"/>
            </w:tcMar>
          </w:tcPr>
          <w:p>
            <w:pPr>
              <w:spacing w:line="276" w:lineRule="auto"/>
              <w:jc w:val="left"/>
            </w:pPr>
            <w:r>
              <w:rPr>
                <w:rFonts w:ascii="Calibri" w:hAnsi="Calibri"/>
                <w:color w:val="2D3748"/>
                <w:sz w:val="18"/>
              </w:rPr>
              <w:t>Zero Server-Side Storage, DPDP Act 2023 Compliant, Local-First Architecture</w:t>
            </w:r>
          </w:p>
        </w:tc>
      </w:tr>
    </w:tbl>
    <w:p>
      <w:r>
        <w:br w:type="page"/>
      </w:r>
    </w:p>
    <w:p>
      <w:pPr>
        <w:keepNext/>
        <w:spacing w:before="360" w:after="120"/>
      </w:pPr>
      <w:r>
        <w:rPr>
          <w:rFonts w:ascii="Calibri" w:hAnsi="Calibri"/>
          <w:b/>
          <w:color w:val="0F2A4A"/>
          <w:sz w:val="32"/>
        </w:rPr>
        <w:t>1. Document Control &amp; Governance</w:t>
      </w:r>
    </w:p>
    <w:p>
      <w:pPr>
        <w:spacing w:before="40" w:after="80" w:line="276" w:lineRule="auto"/>
      </w:pPr>
      <w:r>
        <w:rPr>
          <w:rFonts w:ascii="Calibri" w:hAnsi="Calibri"/>
          <w:color w:val="2D3748"/>
          <w:sz w:val="20"/>
        </w:rPr>
        <w:t>This section maintains formal auditability, stakeholder accountability, and version progression for the PromptShield project in accordance with standard software engineering practices.</w:t>
      </w:r>
    </w:p>
    <w:p>
      <w:pPr>
        <w:keepNext/>
        <w:spacing w:before="240" w:after="80"/>
      </w:pPr>
      <w:r>
        <w:rPr>
          <w:rFonts w:ascii="Calibri" w:hAnsi="Calibri"/>
          <w:b/>
          <w:color w:val="1B6CA8"/>
          <w:sz w:val="26"/>
        </w:rPr>
        <w:t>1.1 Document Revision History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0F2A4A"/>
            <w:tcMar>
              <w:top w:w="140" w:type="dxa"/>
              <w:bottom w:w="140" w:type="dxa"/>
              <w:left w:w="150" w:type="dxa"/>
              <w:right w:w="150" w:type="dxa"/>
            </w:tcMar>
          </w:tcPr>
          <w:p>
            <w:pPr>
              <w:jc w:val="left"/>
            </w:pPr>
            <w:r>
              <w:rPr>
                <w:rFonts w:ascii="Calibri" w:hAnsi="Calibri"/>
                <w:b/>
                <w:color w:val="FFFFFF"/>
                <w:sz w:val="19"/>
              </w:rPr>
              <w:t>Version</w:t>
            </w:r>
          </w:p>
        </w:tc>
        <w:tc>
          <w:tcPr>
            <w:tcW w:type="dxa" w:w="1584"/>
            <w:shd w:fill="0F2A4A"/>
            <w:tcMar>
              <w:top w:w="140" w:type="dxa"/>
              <w:bottom w:w="140" w:type="dxa"/>
              <w:left w:w="150" w:type="dxa"/>
              <w:right w:w="150" w:type="dxa"/>
            </w:tcMar>
          </w:tcPr>
          <w:p>
            <w:pPr>
              <w:jc w:val="left"/>
            </w:pPr>
            <w:r>
              <w:rPr>
                <w:rFonts w:ascii="Calibri" w:hAnsi="Calibri"/>
                <w:b/>
                <w:color w:val="FFFFFF"/>
                <w:sz w:val="19"/>
              </w:rPr>
              <w:t>Release Date</w:t>
            </w:r>
          </w:p>
        </w:tc>
        <w:tc>
          <w:tcPr>
            <w:tcW w:type="dxa" w:w="2016"/>
            <w:shd w:fill="0F2A4A"/>
            <w:tcMar>
              <w:top w:w="140" w:type="dxa"/>
              <w:bottom w:w="140" w:type="dxa"/>
              <w:left w:w="150" w:type="dxa"/>
              <w:right w:w="150" w:type="dxa"/>
            </w:tcMar>
          </w:tcPr>
          <w:p>
            <w:pPr>
              <w:jc w:val="left"/>
            </w:pPr>
            <w:r>
              <w:rPr>
                <w:rFonts w:ascii="Calibri" w:hAnsi="Calibri"/>
                <w:b/>
                <w:color w:val="FFFFFF"/>
                <w:sz w:val="19"/>
              </w:rPr>
              <w:t>Primary Author</w:t>
            </w:r>
          </w:p>
        </w:tc>
        <w:tc>
          <w:tcPr>
            <w:tcW w:type="dxa" w:w="3312"/>
            <w:shd w:fill="0F2A4A"/>
            <w:tcMar>
              <w:top w:w="140" w:type="dxa"/>
              <w:bottom w:w="140" w:type="dxa"/>
              <w:left w:w="150" w:type="dxa"/>
              <w:right w:w="150" w:type="dxa"/>
            </w:tcMar>
          </w:tcPr>
          <w:p>
            <w:pPr>
              <w:jc w:val="left"/>
            </w:pPr>
            <w:r>
              <w:rPr>
                <w:rFonts w:ascii="Calibri" w:hAnsi="Calibri"/>
                <w:b/>
                <w:color w:val="FFFFFF"/>
                <w:sz w:val="19"/>
              </w:rPr>
              <w:t>Summary of Revisions</w:t>
            </w:r>
          </w:p>
        </w:tc>
        <w:tc>
          <w:tcPr>
            <w:tcW w:type="dxa" w:w="1296"/>
            <w:shd w:fill="0F2A4A"/>
            <w:tcMar>
              <w:top w:w="140" w:type="dxa"/>
              <w:bottom w:w="140" w:type="dxa"/>
              <w:left w:w="150" w:type="dxa"/>
              <w:right w:w="150" w:type="dxa"/>
            </w:tcMar>
          </w:tcPr>
          <w:p>
            <w:pPr>
              <w:jc w:val="left"/>
            </w:pPr>
            <w:r>
              <w:rPr>
                <w:rFonts w:ascii="Calibri" w:hAnsi="Calibri"/>
                <w:b/>
                <w:color w:val="FFFFFF"/>
                <w:sz w:val="19"/>
              </w:rPr>
              <w:t>Status</w:t>
            </w:r>
          </w:p>
        </w:tc>
      </w:tr>
      <w:tr>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0.1</w:t>
            </w:r>
          </w:p>
        </w:tc>
        <w:tc>
          <w:tcPr>
            <w:tcW w:type="dxa" w:w="1584"/>
            <w:shd w:fill="FFFFFF"/>
            <w:tcMar>
              <w:top w:w="100" w:type="dxa"/>
              <w:bottom w:w="100" w:type="dxa"/>
              <w:left w:w="140" w:type="dxa"/>
              <w:right w:w="140" w:type="dxa"/>
            </w:tcMar>
          </w:tcPr>
          <w:p>
            <w:pPr>
              <w:spacing w:line="276" w:lineRule="auto"/>
              <w:jc w:val="left"/>
            </w:pPr>
            <w:r>
              <w:rPr>
                <w:rFonts w:ascii="Calibri" w:hAnsi="Calibri"/>
                <w:color w:val="2D3748"/>
                <w:sz w:val="18"/>
              </w:rPr>
              <w:t>24-Oct-2026</w:t>
            </w:r>
          </w:p>
        </w:tc>
        <w:tc>
          <w:tcPr>
            <w:tcW w:type="dxa" w:w="2016"/>
            <w:shd w:fill="FFFFFF"/>
            <w:tcMar>
              <w:top w:w="100" w:type="dxa"/>
              <w:bottom w:w="100" w:type="dxa"/>
              <w:left w:w="140" w:type="dxa"/>
              <w:right w:w="140" w:type="dxa"/>
            </w:tcMar>
          </w:tcPr>
          <w:p>
            <w:pPr>
              <w:spacing w:line="276" w:lineRule="auto"/>
              <w:jc w:val="left"/>
            </w:pPr>
            <w:r>
              <w:rPr>
                <w:rFonts w:ascii="Calibri" w:hAnsi="Calibri"/>
                <w:color w:val="2D3748"/>
                <w:sz w:val="18"/>
              </w:rPr>
              <w:t>Team ByteBusters</w:t>
            </w:r>
          </w:p>
        </w:tc>
        <w:tc>
          <w:tcPr>
            <w:tcW w:type="dxa" w:w="3312"/>
            <w:shd w:fill="FFFFFF"/>
            <w:tcMar>
              <w:top w:w="100" w:type="dxa"/>
              <w:bottom w:w="100" w:type="dxa"/>
              <w:left w:w="140" w:type="dxa"/>
              <w:right w:w="140" w:type="dxa"/>
            </w:tcMar>
          </w:tcPr>
          <w:p>
            <w:pPr>
              <w:spacing w:line="276" w:lineRule="auto"/>
              <w:jc w:val="left"/>
            </w:pPr>
            <w:r>
              <w:rPr>
                <w:rFonts w:ascii="Calibri" w:hAnsi="Calibri"/>
                <w:color w:val="2D3748"/>
                <w:sz w:val="18"/>
              </w:rPr>
              <w:t>Initial architectural drafting &amp; heuristic requirements</w:t>
            </w:r>
          </w:p>
        </w:tc>
        <w:tc>
          <w:tcPr>
            <w:tcW w:type="dxa" w:w="1296"/>
            <w:shd w:fill="FFFFFF"/>
            <w:tcMar>
              <w:top w:w="100" w:type="dxa"/>
              <w:bottom w:w="100" w:type="dxa"/>
              <w:left w:w="140" w:type="dxa"/>
              <w:right w:w="140" w:type="dxa"/>
            </w:tcMar>
          </w:tcPr>
          <w:p>
            <w:pPr>
              <w:spacing w:line="276" w:lineRule="auto"/>
              <w:jc w:val="left"/>
            </w:pPr>
            <w:r>
              <w:rPr>
                <w:rFonts w:ascii="Calibri" w:hAnsi="Calibri"/>
                <w:color w:val="2D3748"/>
                <w:sz w:val="18"/>
              </w:rPr>
              <w:t>Superceded</w:t>
            </w:r>
          </w:p>
        </w:tc>
      </w:tr>
      <w:tr>
        <w:tc>
          <w:tcPr>
            <w:tcW w:type="dxa" w:w="1152"/>
            <w:shd w:fill="F7FAFC"/>
            <w:tcMar>
              <w:top w:w="100" w:type="dxa"/>
              <w:bottom w:w="100" w:type="dxa"/>
              <w:left w:w="140" w:type="dxa"/>
              <w:right w:w="140" w:type="dxa"/>
            </w:tcMar>
          </w:tcPr>
          <w:p>
            <w:pPr>
              <w:spacing w:line="276" w:lineRule="auto"/>
              <w:jc w:val="left"/>
            </w:pPr>
            <w:r>
              <w:rPr>
                <w:rFonts w:ascii="Calibri" w:hAnsi="Calibri"/>
                <w:color w:val="2D3748"/>
                <w:sz w:val="18"/>
              </w:rPr>
              <w:t>0.5</w:t>
            </w:r>
          </w:p>
        </w:tc>
        <w:tc>
          <w:tcPr>
            <w:tcW w:type="dxa" w:w="1584"/>
            <w:shd w:fill="F7FAFC"/>
            <w:tcMar>
              <w:top w:w="100" w:type="dxa"/>
              <w:bottom w:w="100" w:type="dxa"/>
              <w:left w:w="140" w:type="dxa"/>
              <w:right w:w="140" w:type="dxa"/>
            </w:tcMar>
          </w:tcPr>
          <w:p>
            <w:pPr>
              <w:spacing w:line="276" w:lineRule="auto"/>
              <w:jc w:val="left"/>
            </w:pPr>
            <w:r>
              <w:rPr>
                <w:rFonts w:ascii="Calibri" w:hAnsi="Calibri"/>
                <w:color w:val="2D3748"/>
                <w:sz w:val="18"/>
              </w:rPr>
              <w:t>26-Oct-2026</w:t>
            </w:r>
          </w:p>
        </w:tc>
        <w:tc>
          <w:tcPr>
            <w:tcW w:type="dxa" w:w="2016"/>
            <w:shd w:fill="F7FAFC"/>
            <w:tcMar>
              <w:top w:w="100" w:type="dxa"/>
              <w:bottom w:w="100" w:type="dxa"/>
              <w:left w:w="140" w:type="dxa"/>
              <w:right w:w="140" w:type="dxa"/>
            </w:tcMar>
          </w:tcPr>
          <w:p>
            <w:pPr>
              <w:spacing w:line="276" w:lineRule="auto"/>
              <w:jc w:val="left"/>
            </w:pPr>
            <w:r>
              <w:rPr>
                <w:rFonts w:ascii="Calibri" w:hAnsi="Calibri"/>
                <w:color w:val="2D3748"/>
                <w:sz w:val="18"/>
              </w:rPr>
              <w:t>Yashwanth Pathiwada</w:t>
            </w:r>
          </w:p>
        </w:tc>
        <w:tc>
          <w:tcPr>
            <w:tcW w:type="dxa" w:w="3312"/>
            <w:shd w:fill="F7FAFC"/>
            <w:tcMar>
              <w:top w:w="100" w:type="dxa"/>
              <w:bottom w:w="100" w:type="dxa"/>
              <w:left w:w="140" w:type="dxa"/>
              <w:right w:w="140" w:type="dxa"/>
            </w:tcMar>
          </w:tcPr>
          <w:p>
            <w:pPr>
              <w:spacing w:line="276" w:lineRule="auto"/>
              <w:jc w:val="left"/>
            </w:pPr>
            <w:r>
              <w:rPr>
                <w:rFonts w:ascii="Calibri" w:hAnsi="Calibri"/>
                <w:color w:val="2D3748"/>
                <w:sz w:val="18"/>
              </w:rPr>
              <w:t>Integration of LLM schema specifications &amp; hybrid engine</w:t>
            </w:r>
          </w:p>
        </w:tc>
        <w:tc>
          <w:tcPr>
            <w:tcW w:type="dxa" w:w="1296"/>
            <w:shd w:fill="F7FAFC"/>
            <w:tcMar>
              <w:top w:w="100" w:type="dxa"/>
              <w:bottom w:w="100" w:type="dxa"/>
              <w:left w:w="140" w:type="dxa"/>
              <w:right w:w="140" w:type="dxa"/>
            </w:tcMar>
          </w:tcPr>
          <w:p>
            <w:pPr>
              <w:spacing w:line="276" w:lineRule="auto"/>
              <w:jc w:val="left"/>
            </w:pPr>
            <w:r>
              <w:rPr>
                <w:rFonts w:ascii="Calibri" w:hAnsi="Calibri"/>
                <w:color w:val="2D3748"/>
                <w:sz w:val="18"/>
              </w:rPr>
              <w:t>Superceded</w:t>
            </w:r>
          </w:p>
        </w:tc>
      </w:tr>
      <w:tr>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0.9</w:t>
            </w:r>
          </w:p>
        </w:tc>
        <w:tc>
          <w:tcPr>
            <w:tcW w:type="dxa" w:w="1584"/>
            <w:shd w:fill="FFFFFF"/>
            <w:tcMar>
              <w:top w:w="100" w:type="dxa"/>
              <w:bottom w:w="100" w:type="dxa"/>
              <w:left w:w="140" w:type="dxa"/>
              <w:right w:w="140" w:type="dxa"/>
            </w:tcMar>
          </w:tcPr>
          <w:p>
            <w:pPr>
              <w:spacing w:line="276" w:lineRule="auto"/>
              <w:jc w:val="left"/>
            </w:pPr>
            <w:r>
              <w:rPr>
                <w:rFonts w:ascii="Calibri" w:hAnsi="Calibri"/>
                <w:color w:val="2D3748"/>
                <w:sz w:val="18"/>
              </w:rPr>
              <w:t>27-Oct-2026</w:t>
            </w:r>
          </w:p>
        </w:tc>
        <w:tc>
          <w:tcPr>
            <w:tcW w:type="dxa" w:w="2016"/>
            <w:shd w:fill="FFFFFF"/>
            <w:tcMar>
              <w:top w:w="100" w:type="dxa"/>
              <w:bottom w:w="100" w:type="dxa"/>
              <w:left w:w="140" w:type="dxa"/>
              <w:right w:w="140" w:type="dxa"/>
            </w:tcMar>
          </w:tcPr>
          <w:p>
            <w:pPr>
              <w:spacing w:line="276" w:lineRule="auto"/>
              <w:jc w:val="left"/>
            </w:pPr>
            <w:r>
              <w:rPr>
                <w:rFonts w:ascii="Calibri" w:hAnsi="Calibri"/>
                <w:color w:val="2D3748"/>
                <w:sz w:val="18"/>
              </w:rPr>
              <w:t>Team ByteBusters</w:t>
            </w:r>
          </w:p>
        </w:tc>
        <w:tc>
          <w:tcPr>
            <w:tcW w:type="dxa" w:w="3312"/>
            <w:shd w:fill="FFFFFF"/>
            <w:tcMar>
              <w:top w:w="100" w:type="dxa"/>
              <w:bottom w:w="100" w:type="dxa"/>
              <w:left w:w="140" w:type="dxa"/>
              <w:right w:w="140" w:type="dxa"/>
            </w:tcMar>
          </w:tcPr>
          <w:p>
            <w:pPr>
              <w:spacing w:line="276" w:lineRule="auto"/>
              <w:jc w:val="left"/>
            </w:pPr>
            <w:r>
              <w:rPr>
                <w:rFonts w:ascii="Calibri" w:hAnsi="Calibri"/>
                <w:color w:val="2D3748"/>
                <w:sz w:val="18"/>
              </w:rPr>
              <w:t>Addition of 1930 incident complaint workflow &amp; UI specs</w:t>
            </w:r>
          </w:p>
        </w:tc>
        <w:tc>
          <w:tcPr>
            <w:tcW w:type="dxa" w:w="1296"/>
            <w:shd w:fill="FFFFFF"/>
            <w:tcMar>
              <w:top w:w="100" w:type="dxa"/>
              <w:bottom w:w="100" w:type="dxa"/>
              <w:left w:w="140" w:type="dxa"/>
              <w:right w:w="140" w:type="dxa"/>
            </w:tcMar>
          </w:tcPr>
          <w:p>
            <w:pPr>
              <w:spacing w:line="276" w:lineRule="auto"/>
              <w:jc w:val="left"/>
            </w:pPr>
            <w:r>
              <w:rPr>
                <w:rFonts w:ascii="Calibri" w:hAnsi="Calibri"/>
                <w:color w:val="2D3748"/>
                <w:sz w:val="18"/>
              </w:rPr>
              <w:t>Under Review</w:t>
            </w:r>
          </w:p>
        </w:tc>
      </w:tr>
      <w:tr>
        <w:tc>
          <w:tcPr>
            <w:tcW w:type="dxa" w:w="1152"/>
            <w:shd w:fill="F7FAFC"/>
            <w:tcMar>
              <w:top w:w="100" w:type="dxa"/>
              <w:bottom w:w="100" w:type="dxa"/>
              <w:left w:w="140" w:type="dxa"/>
              <w:right w:w="140" w:type="dxa"/>
            </w:tcMar>
          </w:tcPr>
          <w:p>
            <w:pPr>
              <w:spacing w:line="276" w:lineRule="auto"/>
              <w:jc w:val="left"/>
            </w:pPr>
            <w:r>
              <w:rPr>
                <w:rFonts w:ascii="Calibri" w:hAnsi="Calibri"/>
                <w:color w:val="2D3748"/>
                <w:sz w:val="18"/>
              </w:rPr>
              <w:t>1.0</w:t>
            </w:r>
          </w:p>
        </w:tc>
        <w:tc>
          <w:tcPr>
            <w:tcW w:type="dxa" w:w="1584"/>
            <w:shd w:fill="F7FAFC"/>
            <w:tcMar>
              <w:top w:w="100" w:type="dxa"/>
              <w:bottom w:w="100" w:type="dxa"/>
              <w:left w:w="140" w:type="dxa"/>
              <w:right w:w="140" w:type="dxa"/>
            </w:tcMar>
          </w:tcPr>
          <w:p>
            <w:pPr>
              <w:spacing w:line="276" w:lineRule="auto"/>
              <w:jc w:val="left"/>
            </w:pPr>
            <w:r>
              <w:rPr>
                <w:rFonts w:ascii="Calibri" w:hAnsi="Calibri"/>
                <w:color w:val="2D3748"/>
                <w:sz w:val="18"/>
              </w:rPr>
              <w:t>29-Oct-2026</w:t>
            </w:r>
          </w:p>
        </w:tc>
        <w:tc>
          <w:tcPr>
            <w:tcW w:type="dxa" w:w="2016"/>
            <w:shd w:fill="F7FAFC"/>
            <w:tcMar>
              <w:top w:w="100" w:type="dxa"/>
              <w:bottom w:w="100" w:type="dxa"/>
              <w:left w:w="140" w:type="dxa"/>
              <w:right w:w="140" w:type="dxa"/>
            </w:tcMar>
          </w:tcPr>
          <w:p>
            <w:pPr>
              <w:spacing w:line="276" w:lineRule="auto"/>
              <w:jc w:val="left"/>
            </w:pPr>
            <w:r>
              <w:rPr>
                <w:rFonts w:ascii="Calibri" w:hAnsi="Calibri"/>
                <w:color w:val="2D3748"/>
                <w:sz w:val="18"/>
              </w:rPr>
              <w:t>Yashwanth Pathiwada</w:t>
            </w:r>
          </w:p>
        </w:tc>
        <w:tc>
          <w:tcPr>
            <w:tcW w:type="dxa" w:w="3312"/>
            <w:shd w:fill="F7FAFC"/>
            <w:tcMar>
              <w:top w:w="100" w:type="dxa"/>
              <w:bottom w:w="100" w:type="dxa"/>
              <w:left w:w="140" w:type="dxa"/>
              <w:right w:w="140" w:type="dxa"/>
            </w:tcMar>
          </w:tcPr>
          <w:p>
            <w:pPr>
              <w:spacing w:line="276" w:lineRule="auto"/>
              <w:jc w:val="left"/>
            </w:pPr>
            <w:r>
              <w:rPr>
                <w:rFonts w:ascii="Calibri" w:hAnsi="Calibri"/>
                <w:color w:val="2D3748"/>
                <w:sz w:val="18"/>
              </w:rPr>
              <w:t>Final Evaluator Edition: Full BRD &amp; 6 Detailed Use Cases</w:t>
            </w:r>
          </w:p>
        </w:tc>
        <w:tc>
          <w:tcPr>
            <w:tcW w:type="dxa" w:w="1296"/>
            <w:shd w:fill="F7FAFC"/>
            <w:tcMar>
              <w:top w:w="100" w:type="dxa"/>
              <w:bottom w:w="100" w:type="dxa"/>
              <w:left w:w="140" w:type="dxa"/>
              <w:right w:w="140" w:type="dxa"/>
            </w:tcMar>
          </w:tcPr>
          <w:p>
            <w:pPr>
              <w:spacing w:line="276" w:lineRule="auto"/>
              <w:jc w:val="left"/>
            </w:pPr>
            <w:r>
              <w:rPr>
                <w:rFonts w:ascii="Calibri" w:hAnsi="Calibri"/>
                <w:color w:val="2D3748"/>
                <w:sz w:val="18"/>
              </w:rPr>
              <w:t>Approved / Ready</w:t>
            </w:r>
          </w:p>
        </w:tc>
      </w:tr>
    </w:tbl>
    <w:p>
      <w:pPr>
        <w:keepNext/>
        <w:spacing w:before="240" w:after="80"/>
      </w:pPr>
      <w:r>
        <w:rPr>
          <w:rFonts w:ascii="Calibri" w:hAnsi="Calibri"/>
          <w:b/>
          <w:color w:val="1B6CA8"/>
          <w:sz w:val="26"/>
        </w:rPr>
        <w:t>1.2 Stakeholder Review &amp; Sign-Off Matrix</w:t>
      </w:r>
    </w:p>
    <w:tbl>
      <w:tblPr>
        <w:tblW w:type="auto" w:w="0"/>
        <w:jc w:val="center"/>
        <w:tblLook w:firstColumn="1" w:firstRow="1" w:lastColumn="0" w:lastRow="0" w:noHBand="0" w:noVBand="1" w:val="04A0"/>
      </w:tblPr>
      <w:tblGrid>
        <w:gridCol w:w="2340"/>
        <w:gridCol w:w="2340"/>
        <w:gridCol w:w="2340"/>
        <w:gridCol w:w="2340"/>
      </w:tblGrid>
      <w:tr>
        <w:tc>
          <w:tcPr>
            <w:tcW w:type="dxa" w:w="2592"/>
            <w:shd w:fill="0F2A4A"/>
            <w:tcMar>
              <w:top w:w="140" w:type="dxa"/>
              <w:bottom w:w="140" w:type="dxa"/>
              <w:left w:w="150" w:type="dxa"/>
              <w:right w:w="150" w:type="dxa"/>
            </w:tcMar>
          </w:tcPr>
          <w:p>
            <w:pPr>
              <w:jc w:val="left"/>
            </w:pPr>
            <w:r>
              <w:rPr>
                <w:rFonts w:ascii="Calibri" w:hAnsi="Calibri"/>
                <w:b/>
                <w:color w:val="FFFFFF"/>
                <w:sz w:val="19"/>
              </w:rPr>
              <w:t>Stakeholder Role</w:t>
            </w:r>
          </w:p>
        </w:tc>
        <w:tc>
          <w:tcPr>
            <w:tcW w:type="dxa" w:w="2160"/>
            <w:shd w:fill="0F2A4A"/>
            <w:tcMar>
              <w:top w:w="140" w:type="dxa"/>
              <w:bottom w:w="140" w:type="dxa"/>
              <w:left w:w="150" w:type="dxa"/>
              <w:right w:w="150" w:type="dxa"/>
            </w:tcMar>
          </w:tcPr>
          <w:p>
            <w:pPr>
              <w:jc w:val="left"/>
            </w:pPr>
            <w:r>
              <w:rPr>
                <w:rFonts w:ascii="Calibri" w:hAnsi="Calibri"/>
                <w:b/>
                <w:color w:val="FFFFFF"/>
                <w:sz w:val="19"/>
              </w:rPr>
              <w:t>Name / Team</w:t>
            </w:r>
          </w:p>
        </w:tc>
        <w:tc>
          <w:tcPr>
            <w:tcW w:type="dxa" w:w="3168"/>
            <w:shd w:fill="0F2A4A"/>
            <w:tcMar>
              <w:top w:w="140" w:type="dxa"/>
              <w:bottom w:w="140" w:type="dxa"/>
              <w:left w:w="150" w:type="dxa"/>
              <w:right w:w="150" w:type="dxa"/>
            </w:tcMar>
          </w:tcPr>
          <w:p>
            <w:pPr>
              <w:jc w:val="left"/>
            </w:pPr>
            <w:r>
              <w:rPr>
                <w:rFonts w:ascii="Calibri" w:hAnsi="Calibri"/>
                <w:b/>
                <w:color w:val="FFFFFF"/>
                <w:sz w:val="19"/>
              </w:rPr>
              <w:t>Review Responsibility</w:t>
            </w:r>
          </w:p>
        </w:tc>
        <w:tc>
          <w:tcPr>
            <w:tcW w:type="dxa" w:w="1440"/>
            <w:shd w:fill="0F2A4A"/>
            <w:tcMar>
              <w:top w:w="140" w:type="dxa"/>
              <w:bottom w:w="140" w:type="dxa"/>
              <w:left w:w="150" w:type="dxa"/>
              <w:right w:w="150" w:type="dxa"/>
            </w:tcMar>
          </w:tcPr>
          <w:p>
            <w:pPr>
              <w:jc w:val="left"/>
            </w:pPr>
            <w:r>
              <w:rPr>
                <w:rFonts w:ascii="Calibri" w:hAnsi="Calibri"/>
                <w:b/>
                <w:color w:val="FFFFFF"/>
                <w:sz w:val="19"/>
              </w:rPr>
              <w:t>Sign-Off Status</w:t>
            </w:r>
          </w:p>
        </w:tc>
      </w:tr>
      <w:tr>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Project Lead &amp; Architecture</w:t>
            </w:r>
          </w:p>
        </w:tc>
        <w:tc>
          <w:tcPr>
            <w:tcW w:type="dxa" w:w="2160"/>
            <w:shd w:fill="FFFFFF"/>
            <w:tcMar>
              <w:top w:w="100" w:type="dxa"/>
              <w:bottom w:w="100" w:type="dxa"/>
              <w:left w:w="140" w:type="dxa"/>
              <w:right w:w="140" w:type="dxa"/>
            </w:tcMar>
          </w:tcPr>
          <w:p>
            <w:pPr>
              <w:spacing w:line="276" w:lineRule="auto"/>
              <w:jc w:val="left"/>
            </w:pPr>
            <w:r>
              <w:rPr>
                <w:rFonts w:ascii="Calibri" w:hAnsi="Calibri"/>
                <w:color w:val="2D3748"/>
                <w:sz w:val="18"/>
              </w:rPr>
              <w:t>Yashwanth Pathiwada</w:t>
            </w:r>
          </w:p>
        </w:tc>
        <w:tc>
          <w:tcPr>
            <w:tcW w:type="dxa" w:w="3168"/>
            <w:shd w:fill="FFFFFF"/>
            <w:tcMar>
              <w:top w:w="100" w:type="dxa"/>
              <w:bottom w:w="100" w:type="dxa"/>
              <w:left w:w="140" w:type="dxa"/>
              <w:right w:w="140" w:type="dxa"/>
            </w:tcMar>
          </w:tcPr>
          <w:p>
            <w:pPr>
              <w:spacing w:line="276" w:lineRule="auto"/>
              <w:jc w:val="left"/>
            </w:pPr>
            <w:r>
              <w:rPr>
                <w:rFonts w:ascii="Calibri" w:hAnsi="Calibri"/>
                <w:color w:val="2D3748"/>
                <w:sz w:val="18"/>
              </w:rPr>
              <w:t>Core algorithmic logic, FastAPI pipeline &amp; deployment</w:t>
            </w:r>
          </w:p>
        </w:tc>
        <w:tc>
          <w:tcPr>
            <w:tcW w:type="dxa" w:w="1440"/>
            <w:shd w:fill="FFFFFF"/>
            <w:tcMar>
              <w:top w:w="100" w:type="dxa"/>
              <w:bottom w:w="100" w:type="dxa"/>
              <w:left w:w="140" w:type="dxa"/>
              <w:right w:w="140" w:type="dxa"/>
            </w:tcMar>
          </w:tcPr>
          <w:p>
            <w:pPr>
              <w:spacing w:line="276" w:lineRule="auto"/>
              <w:jc w:val="left"/>
            </w:pPr>
            <w:r>
              <w:rPr>
                <w:rFonts w:ascii="Calibri" w:hAnsi="Calibri"/>
                <w:color w:val="2D3748"/>
                <w:sz w:val="18"/>
              </w:rPr>
              <w:t>APPROVED (29-Oct-2026)</w:t>
            </w:r>
          </w:p>
        </w:tc>
      </w:tr>
      <w:tr>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Engineering Team</w:t>
            </w:r>
          </w:p>
        </w:tc>
        <w:tc>
          <w:tcPr>
            <w:tcW w:type="dxa" w:w="2160"/>
            <w:shd w:fill="F7FAFC"/>
            <w:tcMar>
              <w:top w:w="100" w:type="dxa"/>
              <w:bottom w:w="100" w:type="dxa"/>
              <w:left w:w="140" w:type="dxa"/>
              <w:right w:w="140" w:type="dxa"/>
            </w:tcMar>
          </w:tcPr>
          <w:p>
            <w:pPr>
              <w:spacing w:line="276" w:lineRule="auto"/>
              <w:jc w:val="left"/>
            </w:pPr>
            <w:r>
              <w:rPr>
                <w:rFonts w:ascii="Calibri" w:hAnsi="Calibri"/>
                <w:color w:val="2D3748"/>
                <w:sz w:val="18"/>
              </w:rPr>
              <w:t>Team ByteBusters</w:t>
            </w:r>
          </w:p>
        </w:tc>
        <w:tc>
          <w:tcPr>
            <w:tcW w:type="dxa" w:w="3168"/>
            <w:shd w:fill="F7FAFC"/>
            <w:tcMar>
              <w:top w:w="100" w:type="dxa"/>
              <w:bottom w:w="100" w:type="dxa"/>
              <w:left w:w="140" w:type="dxa"/>
              <w:right w:w="140" w:type="dxa"/>
            </w:tcMar>
          </w:tcPr>
          <w:p>
            <w:pPr>
              <w:spacing w:line="276" w:lineRule="auto"/>
              <w:jc w:val="left"/>
            </w:pPr>
            <w:r>
              <w:rPr>
                <w:rFonts w:ascii="Calibri" w:hAnsi="Calibri"/>
                <w:color w:val="2D3748"/>
                <w:sz w:val="18"/>
              </w:rPr>
              <w:t>Frontend UI/UX, heuristic rulesets, component testing</w:t>
            </w:r>
          </w:p>
        </w:tc>
        <w:tc>
          <w:tcPr>
            <w:tcW w:type="dxa" w:w="1440"/>
            <w:shd w:fill="F7FAFC"/>
            <w:tcMar>
              <w:top w:w="100" w:type="dxa"/>
              <w:bottom w:w="100" w:type="dxa"/>
              <w:left w:w="140" w:type="dxa"/>
              <w:right w:w="140" w:type="dxa"/>
            </w:tcMar>
          </w:tcPr>
          <w:p>
            <w:pPr>
              <w:spacing w:line="276" w:lineRule="auto"/>
              <w:jc w:val="left"/>
            </w:pPr>
            <w:r>
              <w:rPr>
                <w:rFonts w:ascii="Calibri" w:hAnsi="Calibri"/>
                <w:color w:val="2D3748"/>
                <w:sz w:val="18"/>
              </w:rPr>
              <w:t>APPROVED (29-Oct-2026)</w:t>
            </w:r>
          </w:p>
        </w:tc>
      </w:tr>
      <w:tr>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Technical Evaluation Jury</w:t>
            </w:r>
          </w:p>
        </w:tc>
        <w:tc>
          <w:tcPr>
            <w:tcW w:type="dxa" w:w="2160"/>
            <w:shd w:fill="FFFFFF"/>
            <w:tcMar>
              <w:top w:w="100" w:type="dxa"/>
              <w:bottom w:w="100" w:type="dxa"/>
              <w:left w:w="140" w:type="dxa"/>
              <w:right w:w="140" w:type="dxa"/>
            </w:tcMar>
          </w:tcPr>
          <w:p>
            <w:pPr>
              <w:spacing w:line="276" w:lineRule="auto"/>
              <w:jc w:val="left"/>
            </w:pPr>
            <w:r>
              <w:rPr>
                <w:rFonts w:ascii="Calibri" w:hAnsi="Calibri"/>
                <w:color w:val="2D3748"/>
                <w:sz w:val="18"/>
              </w:rPr>
              <w:t>Academic / Hackathon Jury</w:t>
            </w:r>
          </w:p>
        </w:tc>
        <w:tc>
          <w:tcPr>
            <w:tcW w:type="dxa" w:w="3168"/>
            <w:shd w:fill="FFFFFF"/>
            <w:tcMar>
              <w:top w:w="100" w:type="dxa"/>
              <w:bottom w:w="100" w:type="dxa"/>
              <w:left w:w="140" w:type="dxa"/>
              <w:right w:w="140" w:type="dxa"/>
            </w:tcMar>
          </w:tcPr>
          <w:p>
            <w:pPr>
              <w:spacing w:line="276" w:lineRule="auto"/>
              <w:jc w:val="left"/>
            </w:pPr>
            <w:r>
              <w:rPr>
                <w:rFonts w:ascii="Calibri" w:hAnsi="Calibri"/>
                <w:color w:val="2D3748"/>
                <w:sz w:val="18"/>
              </w:rPr>
              <w:t>System completeness, novelty, explainability, compliance</w:t>
            </w:r>
          </w:p>
        </w:tc>
        <w:tc>
          <w:tcPr>
            <w:tcW w:type="dxa" w:w="1440"/>
            <w:shd w:fill="FFFFFF"/>
            <w:tcMar>
              <w:top w:w="100" w:type="dxa"/>
              <w:bottom w:w="100" w:type="dxa"/>
              <w:left w:w="140" w:type="dxa"/>
              <w:right w:w="140" w:type="dxa"/>
            </w:tcMar>
          </w:tcPr>
          <w:p>
            <w:pPr>
              <w:spacing w:line="276" w:lineRule="auto"/>
              <w:jc w:val="left"/>
            </w:pPr>
            <w:r>
              <w:rPr>
                <w:rFonts w:ascii="Calibri" w:hAnsi="Calibri"/>
                <w:color w:val="2D3748"/>
                <w:sz w:val="18"/>
              </w:rPr>
              <w:t>PENDING EVALUATION</w:t>
            </w:r>
          </w:p>
        </w:tc>
      </w:tr>
      <w:tr>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Cybersecurity Advisor</w:t>
            </w:r>
          </w:p>
        </w:tc>
        <w:tc>
          <w:tcPr>
            <w:tcW w:type="dxa" w:w="2160"/>
            <w:shd w:fill="F7FAFC"/>
            <w:tcMar>
              <w:top w:w="100" w:type="dxa"/>
              <w:bottom w:w="100" w:type="dxa"/>
              <w:left w:w="140" w:type="dxa"/>
              <w:right w:w="140" w:type="dxa"/>
            </w:tcMar>
          </w:tcPr>
          <w:p>
            <w:pPr>
              <w:spacing w:line="276" w:lineRule="auto"/>
              <w:jc w:val="left"/>
            </w:pPr>
            <w:r>
              <w:rPr>
                <w:rFonts w:ascii="Calibri" w:hAnsi="Calibri"/>
                <w:color w:val="2D3748"/>
                <w:sz w:val="18"/>
              </w:rPr>
              <w:t>Industry Panel</w:t>
            </w:r>
          </w:p>
        </w:tc>
        <w:tc>
          <w:tcPr>
            <w:tcW w:type="dxa" w:w="3168"/>
            <w:shd w:fill="F7FAFC"/>
            <w:tcMar>
              <w:top w:w="100" w:type="dxa"/>
              <w:bottom w:w="100" w:type="dxa"/>
              <w:left w:w="140" w:type="dxa"/>
              <w:right w:w="140" w:type="dxa"/>
            </w:tcMar>
          </w:tcPr>
          <w:p>
            <w:pPr>
              <w:spacing w:line="276" w:lineRule="auto"/>
              <w:jc w:val="left"/>
            </w:pPr>
            <w:r>
              <w:rPr>
                <w:rFonts w:ascii="Calibri" w:hAnsi="Calibri"/>
                <w:color w:val="2D3748"/>
                <w:sz w:val="18"/>
              </w:rPr>
              <w:t>Threat classification alignment &amp; 1930 reporting schema</w:t>
            </w:r>
          </w:p>
        </w:tc>
        <w:tc>
          <w:tcPr>
            <w:tcW w:type="dxa" w:w="1440"/>
            <w:shd w:fill="F7FAFC"/>
            <w:tcMar>
              <w:top w:w="100" w:type="dxa"/>
              <w:bottom w:w="100" w:type="dxa"/>
              <w:left w:w="140" w:type="dxa"/>
              <w:right w:w="140" w:type="dxa"/>
            </w:tcMar>
          </w:tcPr>
          <w:p>
            <w:pPr>
              <w:spacing w:line="276" w:lineRule="auto"/>
              <w:jc w:val="left"/>
            </w:pPr>
            <w:r>
              <w:rPr>
                <w:rFonts w:ascii="Calibri" w:hAnsi="Calibri"/>
                <w:color w:val="2D3748"/>
                <w:sz w:val="18"/>
              </w:rPr>
              <w:t>VERIFIED ACCURATE</w:t>
            </w:r>
          </w:p>
        </w:tc>
      </w:tr>
    </w:tbl>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180" w:type="dxa"/>
              <w:right w:w="180" w:type="dxa"/>
            </w:tcMar>
            <w:tcBorders>
              <w:left w:val="single" w:sz="24" w:space="0" w:color="0F2A4A"/>
              <w:top w:val="none"/>
              <w:right w:val="none"/>
              <w:bottom w:val="none"/>
            </w:tcBorders>
          </w:tcPr>
          <w:p>
            <w:pPr>
              <w:spacing w:before="40" w:after="40"/>
            </w:pPr>
            <w:r>
              <w:rPr>
                <w:rFonts w:ascii="Calibri" w:hAnsi="Calibri"/>
                <w:b/>
                <w:color w:val="0F2A4A"/>
                <w:sz w:val="20"/>
              </w:rPr>
              <w:t>📌 DOCUMENT PURPOSE FOR EVALUATION</w:t>
              <w:br/>
            </w:r>
            <w:r>
              <w:rPr>
                <w:rFonts w:ascii="Calibri" w:hAnsi="Calibri"/>
                <w:color w:val="2D3748"/>
                <w:sz w:val="19"/>
              </w:rPr>
              <w:t>This document defines the functional, non-functional, and operational requirements for PromptShield. It serves as the definitive reference for academic evaluators, software engineers, and domain experts to assess the completeness, architectural rigor, and real-world societal impact of the solution.</w:t>
            </w:r>
          </w:p>
        </w:tc>
      </w:tr>
    </w:tbl>
    <w:p/>
    <w:p>
      <w:pPr>
        <w:keepNext/>
        <w:spacing w:before="360" w:after="120"/>
      </w:pPr>
      <w:r>
        <w:rPr>
          <w:rFonts w:ascii="Calibri" w:hAnsi="Calibri"/>
          <w:b/>
          <w:color w:val="0F2A4A"/>
          <w:sz w:val="32"/>
        </w:rPr>
        <w:t>2. Executive Summary &amp; Market Problem</w:t>
      </w:r>
    </w:p>
    <w:p>
      <w:pPr>
        <w:keepNext/>
        <w:spacing w:before="240" w:after="80"/>
      </w:pPr>
      <w:r>
        <w:rPr>
          <w:rFonts w:ascii="Calibri" w:hAnsi="Calibri"/>
          <w:b/>
          <w:color w:val="1B6CA8"/>
          <w:sz w:val="26"/>
        </w:rPr>
        <w:t>2.1 Executive Overview</w:t>
      </w:r>
    </w:p>
    <w:p>
      <w:pPr>
        <w:spacing w:before="40" w:after="80" w:line="276" w:lineRule="auto"/>
      </w:pPr>
      <w:r>
        <w:rPr>
          <w:rFonts w:ascii="Calibri" w:hAnsi="Calibri"/>
          <w:color w:val="2D3748"/>
          <w:sz w:val="20"/>
        </w:rPr>
        <w:t>PromptShield is a specialized, production-ready, full-stack cybersecurity application engineered to protect digital citizens, students, corporate personnel, and senior citizens from escalating social engineering threats. Unlike conventional spam filters that assign an opaque, uninformative binary label ('Spam' vs. 'Not Spam'), PromptShield bridges the critical 'Explainability Gap' by breaking down exactly why, where, and how a communication attempts to deceive the recipient. It combines an ultra-fast deterministic heuristic engine with cognitive Generative AI to provide color-coded threat scoring, in-context red-flag phrase highlighting, actionable mitigation checklists, and 1-click legal cybercrime reporting.</w:t>
      </w:r>
    </w:p>
    <w:p>
      <w:pPr>
        <w:keepNext/>
        <w:spacing w:before="240" w:after="80"/>
      </w:pPr>
      <w:r>
        <w:rPr>
          <w:rFonts w:ascii="Calibri" w:hAnsi="Calibri"/>
          <w:b/>
          <w:color w:val="1B6CA8"/>
          <w:sz w:val="26"/>
        </w:rPr>
        <w:t>2.2 The Threat Landscape &amp; The Explainability Gap</w:t>
      </w:r>
    </w:p>
    <w:p>
      <w:pPr>
        <w:pStyle w:val="ListBullet"/>
        <w:spacing w:before="20" w:after="40" w:line="276" w:lineRule="auto"/>
      </w:pPr>
      <w:r>
        <w:rPr>
          <w:rFonts w:ascii="Calibri" w:hAnsi="Calibri"/>
          <w:b/>
          <w:color w:val="2D3748"/>
          <w:sz w:val="20"/>
        </w:rPr>
        <w:t xml:space="preserve">Explosive Fraud Surge: </w:t>
      </w:r>
      <w:r>
        <w:rPr>
          <w:rFonts w:ascii="Calibri" w:hAnsi="Calibri"/>
          <w:color w:val="2D3748"/>
          <w:sz w:val="20"/>
        </w:rPr>
        <w:t>According to the Indian Cyber Crime Coordination Centre (I4C), financial cyber fraud exceeded ₹10,000 Crores in recent fiscal cycles, with over 70% initiated via spoofed SMS (smishing), WhatsApp deception, fake job notifications, and urgency-driven bank KYC threats.</w:t>
      </w:r>
    </w:p>
    <w:p>
      <w:pPr>
        <w:pStyle w:val="ListBullet"/>
        <w:spacing w:before="20" w:after="40" w:line="276" w:lineRule="auto"/>
      </w:pPr>
      <w:r>
        <w:rPr>
          <w:rFonts w:ascii="Calibri" w:hAnsi="Calibri"/>
          <w:b/>
          <w:color w:val="2D3748"/>
          <w:sz w:val="20"/>
        </w:rPr>
        <w:t xml:space="preserve">The Explainability Failure: </w:t>
      </w:r>
      <w:r>
        <w:rPr>
          <w:rFonts w:ascii="Calibri" w:hAnsi="Calibri"/>
          <w:color w:val="2D3748"/>
          <w:sz w:val="20"/>
        </w:rPr>
        <w:t>Traditional email/SMS spam filters act as opaque black boxes. When a message is flagged, users are rarely told why. Consequently, when scammers modify phrasing to bypass basic keyword filters, uninformed citizens fall prey to psychological triggers such as artificial panic, fear of arrest, or greed.</w:t>
      </w:r>
    </w:p>
    <w:p>
      <w:pPr>
        <w:pStyle w:val="ListBullet"/>
        <w:spacing w:before="20" w:after="40" w:line="276" w:lineRule="auto"/>
      </w:pPr>
      <w:r>
        <w:rPr>
          <w:rFonts w:ascii="Calibri" w:hAnsi="Calibri"/>
          <w:b/>
          <w:color w:val="2D3748"/>
          <w:sz w:val="20"/>
        </w:rPr>
        <w:t xml:space="preserve">Social Engineering Predominance: </w:t>
      </w:r>
      <w:r>
        <w:rPr>
          <w:rFonts w:ascii="Calibri" w:hAnsi="Calibri"/>
          <w:color w:val="2D3748"/>
          <w:sz w:val="20"/>
        </w:rPr>
        <w:t>The modern scam vector exploits cognitive human biases (Fear, Urgency, Authority Spoofing, and Scarcity) rather than technical software bugs. Therefore, technical tools must educate the user at the exact moment of exposure to build long-term digital immunity.</w:t>
      </w:r>
    </w:p>
    <w:p>
      <w:pPr>
        <w:keepNext/>
        <w:spacing w:before="240" w:after="80"/>
      </w:pPr>
      <w:r>
        <w:rPr>
          <w:rFonts w:ascii="Calibri" w:hAnsi="Calibri"/>
          <w:b/>
          <w:color w:val="1B6CA8"/>
          <w:sz w:val="26"/>
        </w:rPr>
        <w:t>2.3 Value Proposition</w:t>
      </w:r>
    </w:p>
    <w:p>
      <w:pPr>
        <w:pStyle w:val="ListBullet"/>
        <w:spacing w:before="20" w:after="40" w:line="276" w:lineRule="auto"/>
      </w:pPr>
      <w:r>
        <w:rPr>
          <w:rFonts w:ascii="Calibri" w:hAnsi="Calibri"/>
          <w:b/>
          <w:color w:val="2D3748"/>
          <w:sz w:val="20"/>
        </w:rPr>
        <w:t xml:space="preserve">Instant Cognitive Triage: </w:t>
      </w:r>
      <w:r>
        <w:rPr>
          <w:rFonts w:ascii="Calibri" w:hAnsi="Calibri"/>
          <w:color w:val="2D3748"/>
          <w:sz w:val="20"/>
        </w:rPr>
        <w:t>Evaluates threats via a dual-engine architecture: an instant, zero-cost, regex heuristic engine working in tandem with advanced cognitive LLMs (Gemini, Claude, or GPT).</w:t>
      </w:r>
    </w:p>
    <w:p>
      <w:pPr>
        <w:pStyle w:val="ListBullet"/>
        <w:spacing w:before="20" w:after="40" w:line="276" w:lineRule="auto"/>
      </w:pPr>
      <w:r>
        <w:rPr>
          <w:rFonts w:ascii="Calibri" w:hAnsi="Calibri"/>
          <w:b/>
          <w:color w:val="2D3748"/>
          <w:sz w:val="20"/>
        </w:rPr>
        <w:t xml:space="preserve">Deep Transparency: </w:t>
      </w:r>
      <w:r>
        <w:rPr>
          <w:rFonts w:ascii="Calibri" w:hAnsi="Calibri"/>
          <w:color w:val="2D3748"/>
          <w:sz w:val="20"/>
        </w:rPr>
        <w:t>Renders the original message with suspect clauses visually highlighted in context, pairing each flag with an plain-English explanation of the manipulator's intent.</w:t>
      </w:r>
    </w:p>
    <w:p>
      <w:pPr>
        <w:pStyle w:val="ListBullet"/>
        <w:spacing w:before="20" w:after="40" w:line="276" w:lineRule="auto"/>
      </w:pPr>
      <w:r>
        <w:rPr>
          <w:rFonts w:ascii="Calibri" w:hAnsi="Calibri"/>
          <w:b/>
          <w:color w:val="2D3748"/>
          <w:sz w:val="20"/>
        </w:rPr>
        <w:t xml:space="preserve">Actionable Defense: </w:t>
      </w:r>
      <w:r>
        <w:rPr>
          <w:rFonts w:ascii="Calibri" w:hAnsi="Calibri"/>
          <w:color w:val="2D3748"/>
          <w:sz w:val="20"/>
        </w:rPr>
        <w:t>Empowers citizens with immediate counter-measures ('Do's &amp; Don'ts') and formats a pre-filled legal complaint ready for submission to the National Cybercrime Portal (cybercrime.gov.in / Helpline 1930).</w:t>
      </w:r>
    </w:p>
    <w:p>
      <w:pPr>
        <w:pStyle w:val="ListBullet"/>
        <w:spacing w:before="20" w:after="40" w:line="276" w:lineRule="auto"/>
      </w:pPr>
      <w:r>
        <w:rPr>
          <w:rFonts w:ascii="Calibri" w:hAnsi="Calibri"/>
          <w:b/>
          <w:color w:val="2D3748"/>
          <w:sz w:val="20"/>
        </w:rPr>
        <w:t xml:space="preserve">Ethical Privacy Stance: </w:t>
      </w:r>
      <w:r>
        <w:rPr>
          <w:rFonts w:ascii="Calibri" w:hAnsi="Calibri"/>
          <w:color w:val="2D3748"/>
          <w:sz w:val="20"/>
        </w:rPr>
        <w:t>Operates under a zero-log server architecture. Message contents are analyzed ephemerally in RAM and stored strictly in the client's local browser memory, fully respecting data privacy rights.</w:t>
      </w:r>
    </w:p>
    <w:p>
      <w:pPr>
        <w:keepNext/>
        <w:spacing w:before="360" w:after="120"/>
      </w:pPr>
      <w:r>
        <w:rPr>
          <w:rFonts w:ascii="Calibri" w:hAnsi="Calibri"/>
          <w:b/>
          <w:color w:val="0F2A4A"/>
          <w:sz w:val="32"/>
        </w:rPr>
        <w:t>3. Vision, Business Objectives &amp; Success KPIs</w:t>
      </w:r>
    </w:p>
    <w:p>
      <w:pPr>
        <w:keepNext/>
        <w:spacing w:before="240" w:after="80"/>
      </w:pPr>
      <w:r>
        <w:rPr>
          <w:rFonts w:ascii="Calibri" w:hAnsi="Calibri"/>
          <w:b/>
          <w:color w:val="1B6CA8"/>
          <w:sz w:val="26"/>
        </w:rPr>
        <w:t>3.1 Project Vision Statement</w:t>
      </w:r>
    </w:p>
    <w:p>
      <w:pPr>
        <w:spacing w:before="40" w:after="80" w:line="276" w:lineRule="auto"/>
      </w:pPr>
      <w:r>
        <w:rPr>
          <w:rFonts w:ascii="Calibri" w:hAnsi="Calibri"/>
          <w:color w:val="2D3748"/>
          <w:sz w:val="20"/>
        </w:rPr>
        <w:t>To democratize state-of-the-art cognitive cybersecurity intelligence for every digital citizen, transforming vulnerable targets into educated, confident, and proactive first lines of digital defense through transparent, explainable Artificial Intelligence.</w:t>
      </w:r>
    </w:p>
    <w:p>
      <w:pPr>
        <w:keepNext/>
        <w:spacing w:before="240" w:after="80"/>
      </w:pPr>
      <w:r>
        <w:rPr>
          <w:rFonts w:ascii="Calibri" w:hAnsi="Calibri"/>
          <w:b/>
          <w:color w:val="1B6CA8"/>
          <w:sz w:val="26"/>
        </w:rPr>
        <w:t>3.2 SMART Business Objectives</w:t>
      </w:r>
    </w:p>
    <w:p>
      <w:pPr>
        <w:pStyle w:val="ListBullet"/>
        <w:spacing w:before="20" w:after="40" w:line="276" w:lineRule="auto"/>
      </w:pPr>
      <w:r>
        <w:rPr>
          <w:rFonts w:ascii="Calibri" w:hAnsi="Calibri"/>
          <w:b/>
          <w:color w:val="2D3748"/>
          <w:sz w:val="20"/>
        </w:rPr>
        <w:t xml:space="preserve">Objective 1 (Real-Time Responsiveness): </w:t>
      </w:r>
      <w:r>
        <w:rPr>
          <w:rFonts w:ascii="Calibri" w:hAnsi="Calibri"/>
          <w:color w:val="2D3748"/>
          <w:sz w:val="20"/>
        </w:rPr>
        <w:t>Deliver immediate threat classification within 300ms for deterministic heuristics and under 3.5 seconds for deep generative AI reasoning.</w:t>
      </w:r>
    </w:p>
    <w:p>
      <w:pPr>
        <w:pStyle w:val="ListBullet"/>
        <w:spacing w:before="20" w:after="40" w:line="276" w:lineRule="auto"/>
      </w:pPr>
      <w:r>
        <w:rPr>
          <w:rFonts w:ascii="Calibri" w:hAnsi="Calibri"/>
          <w:b/>
          <w:color w:val="2D3748"/>
          <w:sz w:val="20"/>
        </w:rPr>
        <w:t xml:space="preserve">Objective 2 (Detection Precision): </w:t>
      </w:r>
      <w:r>
        <w:rPr>
          <w:rFonts w:ascii="Calibri" w:hAnsi="Calibri"/>
          <w:color w:val="2D3748"/>
          <w:sz w:val="20"/>
        </w:rPr>
        <w:t>Achieve greater than 95% detection accuracy across top threat archetypes including Banking KYC, Courier/India Post smishing, Telegram Task jobs, and Digital Arrests.</w:t>
      </w:r>
    </w:p>
    <w:p>
      <w:pPr>
        <w:pStyle w:val="ListBullet"/>
        <w:spacing w:before="20" w:after="40" w:line="276" w:lineRule="auto"/>
      </w:pPr>
      <w:r>
        <w:rPr>
          <w:rFonts w:ascii="Calibri" w:hAnsi="Calibri"/>
          <w:b/>
          <w:color w:val="2D3748"/>
          <w:sz w:val="20"/>
        </w:rPr>
        <w:t xml:space="preserve">Objective 3 (Explainability Guarantee): </w:t>
      </w:r>
      <w:r>
        <w:rPr>
          <w:rFonts w:ascii="Calibri" w:hAnsi="Calibri"/>
          <w:color w:val="2D3748"/>
          <w:sz w:val="20"/>
        </w:rPr>
        <w:t>Ensure 100% of detected threats are paired with context-specific, plain-language explanations and practical mitigation steps.</w:t>
      </w:r>
    </w:p>
    <w:p>
      <w:pPr>
        <w:pStyle w:val="ListBullet"/>
        <w:spacing w:before="20" w:after="40" w:line="276" w:lineRule="auto"/>
      </w:pPr>
      <w:r>
        <w:rPr>
          <w:rFonts w:ascii="Calibri" w:hAnsi="Calibri"/>
          <w:b/>
          <w:color w:val="2D3748"/>
          <w:sz w:val="20"/>
        </w:rPr>
        <w:t xml:space="preserve">Objective 4 (Legal Actionability): </w:t>
      </w:r>
      <w:r>
        <w:rPr>
          <w:rFonts w:ascii="Calibri" w:hAnsi="Calibri"/>
          <w:color w:val="2D3748"/>
          <w:sz w:val="20"/>
        </w:rPr>
        <w:t>Streamline the incident reporting process from an average of 15 minutes of manual writing down to a single click (under 5 seconds) for cybercrime reporting.</w:t>
      </w:r>
    </w:p>
    <w:p>
      <w:pPr>
        <w:pStyle w:val="ListBullet"/>
        <w:spacing w:before="20" w:after="40" w:line="276" w:lineRule="auto"/>
      </w:pPr>
      <w:r>
        <w:rPr>
          <w:rFonts w:ascii="Calibri" w:hAnsi="Calibri"/>
          <w:b/>
          <w:color w:val="2D3748"/>
          <w:sz w:val="20"/>
        </w:rPr>
        <w:t xml:space="preserve">Objective 5 (Privacy Compliance): </w:t>
      </w:r>
      <w:r>
        <w:rPr>
          <w:rFonts w:ascii="Calibri" w:hAnsi="Calibri"/>
          <w:color w:val="2D3748"/>
          <w:sz w:val="20"/>
        </w:rPr>
        <w:t>Guarantee 100% compliance with data privacy mandates by enforcing zero persistent server-side storage of user submissions.</w:t>
      </w:r>
    </w:p>
    <w:p>
      <w:pPr>
        <w:keepNext/>
        <w:spacing w:before="240" w:after="80"/>
      </w:pPr>
      <w:r>
        <w:rPr>
          <w:rFonts w:ascii="Calibri" w:hAnsi="Calibri"/>
          <w:b/>
          <w:color w:val="1B6CA8"/>
          <w:sz w:val="26"/>
        </w:rPr>
        <w:t>3.3 Key Performance Indicators (KPIs) Target Matrix</w:t>
      </w:r>
    </w:p>
    <w:tbl>
      <w:tblPr>
        <w:tblW w:type="auto" w:w="0"/>
        <w:jc w:val="center"/>
        <w:tblLook w:firstColumn="1" w:firstRow="1" w:lastColumn="0" w:lastRow="0" w:noHBand="0" w:noVBand="1" w:val="04A0"/>
      </w:tblPr>
      <w:tblGrid>
        <w:gridCol w:w="2340"/>
        <w:gridCol w:w="2340"/>
        <w:gridCol w:w="2340"/>
        <w:gridCol w:w="2340"/>
      </w:tblGrid>
      <w:tr>
        <w:tc>
          <w:tcPr>
            <w:tcW w:type="dxa" w:w="2592"/>
            <w:shd w:fill="0F2A4A"/>
            <w:tcMar>
              <w:top w:w="140" w:type="dxa"/>
              <w:bottom w:w="140" w:type="dxa"/>
              <w:left w:w="150" w:type="dxa"/>
              <w:right w:w="150" w:type="dxa"/>
            </w:tcMar>
          </w:tcPr>
          <w:p>
            <w:pPr>
              <w:jc w:val="left"/>
            </w:pPr>
            <w:r>
              <w:rPr>
                <w:rFonts w:ascii="Calibri" w:hAnsi="Calibri"/>
                <w:b/>
                <w:color w:val="FFFFFF"/>
                <w:sz w:val="19"/>
              </w:rPr>
              <w:t>Metric / KPI</w:t>
            </w:r>
          </w:p>
        </w:tc>
        <w:tc>
          <w:tcPr>
            <w:tcW w:type="dxa" w:w="2016"/>
            <w:shd w:fill="0F2A4A"/>
            <w:tcMar>
              <w:top w:w="140" w:type="dxa"/>
              <w:bottom w:w="140" w:type="dxa"/>
              <w:left w:w="150" w:type="dxa"/>
              <w:right w:w="150" w:type="dxa"/>
            </w:tcMar>
          </w:tcPr>
          <w:p>
            <w:pPr>
              <w:jc w:val="left"/>
            </w:pPr>
            <w:r>
              <w:rPr>
                <w:rFonts w:ascii="Calibri" w:hAnsi="Calibri"/>
                <w:b/>
                <w:color w:val="FFFFFF"/>
                <w:sz w:val="19"/>
              </w:rPr>
              <w:t>Current Industry Baseline</w:t>
            </w:r>
          </w:p>
        </w:tc>
        <w:tc>
          <w:tcPr>
            <w:tcW w:type="dxa" w:w="1872"/>
            <w:shd w:fill="0F2A4A"/>
            <w:tcMar>
              <w:top w:w="140" w:type="dxa"/>
              <w:bottom w:w="140" w:type="dxa"/>
              <w:left w:w="150" w:type="dxa"/>
              <w:right w:w="150" w:type="dxa"/>
            </w:tcMar>
          </w:tcPr>
          <w:p>
            <w:pPr>
              <w:jc w:val="left"/>
            </w:pPr>
            <w:r>
              <w:rPr>
                <w:rFonts w:ascii="Calibri" w:hAnsi="Calibri"/>
                <w:b/>
                <w:color w:val="FFFFFF"/>
                <w:sz w:val="19"/>
              </w:rPr>
              <w:t>PromptShield Target</w:t>
            </w:r>
          </w:p>
        </w:tc>
        <w:tc>
          <w:tcPr>
            <w:tcW w:type="dxa" w:w="2880"/>
            <w:shd w:fill="0F2A4A"/>
            <w:tcMar>
              <w:top w:w="140" w:type="dxa"/>
              <w:bottom w:w="140" w:type="dxa"/>
              <w:left w:w="150" w:type="dxa"/>
              <w:right w:w="150" w:type="dxa"/>
            </w:tcMar>
          </w:tcPr>
          <w:p>
            <w:pPr>
              <w:jc w:val="left"/>
            </w:pPr>
            <w:r>
              <w:rPr>
                <w:rFonts w:ascii="Calibri" w:hAnsi="Calibri"/>
                <w:b/>
                <w:color w:val="FFFFFF"/>
                <w:sz w:val="19"/>
              </w:rPr>
              <w:t>Evaluation Verification Method</w:t>
            </w:r>
          </w:p>
        </w:tc>
      </w:tr>
      <w:tr>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Detection Latency (Heuristic)</w:t>
            </w:r>
          </w:p>
        </w:tc>
        <w:tc>
          <w:tcPr>
            <w:tcW w:type="dxa" w:w="2016"/>
            <w:shd w:fill="FFFFFF"/>
            <w:tcMar>
              <w:top w:w="100" w:type="dxa"/>
              <w:bottom w:w="100" w:type="dxa"/>
              <w:left w:w="140" w:type="dxa"/>
              <w:right w:w="140" w:type="dxa"/>
            </w:tcMar>
          </w:tcPr>
          <w:p>
            <w:pPr>
              <w:spacing w:line="276" w:lineRule="auto"/>
              <w:jc w:val="left"/>
            </w:pPr>
            <w:r>
              <w:rPr>
                <w:rFonts w:ascii="Calibri" w:hAnsi="Calibri"/>
                <w:color w:val="2D3748"/>
                <w:sz w:val="18"/>
              </w:rPr>
              <w:t>1.5s - 3.0s</w:t>
            </w:r>
          </w:p>
        </w:tc>
        <w:tc>
          <w:tcPr>
            <w:tcW w:type="dxa" w:w="1872"/>
            <w:shd w:fill="FFFFFF"/>
            <w:tcMar>
              <w:top w:w="100" w:type="dxa"/>
              <w:bottom w:w="100" w:type="dxa"/>
              <w:left w:w="140" w:type="dxa"/>
              <w:right w:w="140" w:type="dxa"/>
            </w:tcMar>
          </w:tcPr>
          <w:p>
            <w:pPr>
              <w:spacing w:line="276" w:lineRule="auto"/>
              <w:jc w:val="left"/>
            </w:pPr>
            <w:r>
              <w:rPr>
                <w:rFonts w:ascii="Calibri" w:hAnsi="Calibri"/>
                <w:color w:val="2D3748"/>
                <w:sz w:val="18"/>
              </w:rPr>
              <w:t>&lt; 300 ms</w:t>
            </w:r>
          </w:p>
        </w:tc>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FastAPI benchmark timer / automated test suite</w:t>
            </w:r>
          </w:p>
        </w:tc>
      </w:tr>
      <w:tr>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Detection Latency (GenAI)</w:t>
            </w:r>
          </w:p>
        </w:tc>
        <w:tc>
          <w:tcPr>
            <w:tcW w:type="dxa" w:w="2016"/>
            <w:shd w:fill="F7FAFC"/>
            <w:tcMar>
              <w:top w:w="100" w:type="dxa"/>
              <w:bottom w:w="100" w:type="dxa"/>
              <w:left w:w="140" w:type="dxa"/>
              <w:right w:w="140" w:type="dxa"/>
            </w:tcMar>
          </w:tcPr>
          <w:p>
            <w:pPr>
              <w:spacing w:line="276" w:lineRule="auto"/>
              <w:jc w:val="left"/>
            </w:pPr>
            <w:r>
              <w:rPr>
                <w:rFonts w:ascii="Calibri" w:hAnsi="Calibri"/>
                <w:color w:val="2D3748"/>
                <w:sz w:val="18"/>
              </w:rPr>
              <w:t>5.0s - 10.0s</w:t>
            </w:r>
          </w:p>
        </w:tc>
        <w:tc>
          <w:tcPr>
            <w:tcW w:type="dxa" w:w="1872"/>
            <w:shd w:fill="F7FAFC"/>
            <w:tcMar>
              <w:top w:w="100" w:type="dxa"/>
              <w:bottom w:w="100" w:type="dxa"/>
              <w:left w:w="140" w:type="dxa"/>
              <w:right w:w="140" w:type="dxa"/>
            </w:tcMar>
          </w:tcPr>
          <w:p>
            <w:pPr>
              <w:spacing w:line="276" w:lineRule="auto"/>
              <w:jc w:val="left"/>
            </w:pPr>
            <w:r>
              <w:rPr>
                <w:rFonts w:ascii="Calibri" w:hAnsi="Calibri"/>
                <w:color w:val="2D3748"/>
                <w:sz w:val="18"/>
              </w:rPr>
              <w:t>&lt; 3.5 s</w:t>
            </w:r>
          </w:p>
        </w:tc>
        <w:tc>
          <w:tcPr>
            <w:tcW w:type="dxa" w:w="2880"/>
            <w:shd w:fill="F7FAFC"/>
            <w:tcMar>
              <w:top w:w="100" w:type="dxa"/>
              <w:bottom w:w="100" w:type="dxa"/>
              <w:left w:w="140" w:type="dxa"/>
              <w:right w:w="140" w:type="dxa"/>
            </w:tcMar>
          </w:tcPr>
          <w:p>
            <w:pPr>
              <w:spacing w:line="276" w:lineRule="auto"/>
              <w:jc w:val="left"/>
            </w:pPr>
            <w:r>
              <w:rPr>
                <w:rFonts w:ascii="Calibri" w:hAnsi="Calibri"/>
                <w:color w:val="2D3748"/>
                <w:sz w:val="18"/>
              </w:rPr>
              <w:t>End-to-end API profiling across test samples</w:t>
            </w:r>
          </w:p>
        </w:tc>
      </w:tr>
      <w:tr>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Scam Classification Accuracy</w:t>
            </w:r>
          </w:p>
        </w:tc>
        <w:tc>
          <w:tcPr>
            <w:tcW w:type="dxa" w:w="2016"/>
            <w:shd w:fill="FFFFFF"/>
            <w:tcMar>
              <w:top w:w="100" w:type="dxa"/>
              <w:bottom w:w="100" w:type="dxa"/>
              <w:left w:w="140" w:type="dxa"/>
              <w:right w:w="140" w:type="dxa"/>
            </w:tcMar>
          </w:tcPr>
          <w:p>
            <w:pPr>
              <w:spacing w:line="276" w:lineRule="auto"/>
              <w:jc w:val="left"/>
            </w:pPr>
            <w:r>
              <w:rPr>
                <w:rFonts w:ascii="Calibri" w:hAnsi="Calibri"/>
                <w:color w:val="2D3748"/>
                <w:sz w:val="18"/>
              </w:rPr>
              <w:t>82% - 87% (binary filters)</w:t>
            </w:r>
          </w:p>
        </w:tc>
        <w:tc>
          <w:tcPr>
            <w:tcW w:type="dxa" w:w="1872"/>
            <w:shd w:fill="FFFFFF"/>
            <w:tcMar>
              <w:top w:w="100" w:type="dxa"/>
              <w:bottom w:w="100" w:type="dxa"/>
              <w:left w:w="140" w:type="dxa"/>
              <w:right w:w="140" w:type="dxa"/>
            </w:tcMar>
          </w:tcPr>
          <w:p>
            <w:pPr>
              <w:spacing w:line="276" w:lineRule="auto"/>
              <w:jc w:val="left"/>
            </w:pPr>
            <w:r>
              <w:rPr>
                <w:rFonts w:ascii="Calibri" w:hAnsi="Calibri"/>
                <w:color w:val="2D3748"/>
                <w:sz w:val="18"/>
              </w:rPr>
              <w:t>&gt;= 96.5%</w:t>
            </w:r>
          </w:p>
        </w:tc>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Evaluation across 50 benchmark ground-truth scenarios</w:t>
            </w:r>
          </w:p>
        </w:tc>
      </w:tr>
      <w:tr>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Explainability Coverage</w:t>
            </w:r>
          </w:p>
        </w:tc>
        <w:tc>
          <w:tcPr>
            <w:tcW w:type="dxa" w:w="2016"/>
            <w:shd w:fill="F7FAFC"/>
            <w:tcMar>
              <w:top w:w="100" w:type="dxa"/>
              <w:bottom w:w="100" w:type="dxa"/>
              <w:left w:w="140" w:type="dxa"/>
              <w:right w:w="140" w:type="dxa"/>
            </w:tcMar>
          </w:tcPr>
          <w:p>
            <w:pPr>
              <w:spacing w:line="276" w:lineRule="auto"/>
              <w:jc w:val="left"/>
            </w:pPr>
            <w:r>
              <w:rPr>
                <w:rFonts w:ascii="Calibri" w:hAnsi="Calibri"/>
                <w:color w:val="2D3748"/>
                <w:sz w:val="18"/>
              </w:rPr>
              <w:t>&lt; 15% (opaque labels)</w:t>
            </w:r>
          </w:p>
        </w:tc>
        <w:tc>
          <w:tcPr>
            <w:tcW w:type="dxa" w:w="1872"/>
            <w:shd w:fill="F7FAFC"/>
            <w:tcMar>
              <w:top w:w="100" w:type="dxa"/>
              <w:bottom w:w="100" w:type="dxa"/>
              <w:left w:w="140" w:type="dxa"/>
              <w:right w:w="140" w:type="dxa"/>
            </w:tcMar>
          </w:tcPr>
          <w:p>
            <w:pPr>
              <w:spacing w:line="276" w:lineRule="auto"/>
              <w:jc w:val="left"/>
            </w:pPr>
            <w:r>
              <w:rPr>
                <w:rFonts w:ascii="Calibri" w:hAnsi="Calibri"/>
                <w:color w:val="2D3748"/>
                <w:sz w:val="18"/>
              </w:rPr>
              <w:t>100%</w:t>
            </w:r>
          </w:p>
        </w:tc>
        <w:tc>
          <w:tcPr>
            <w:tcW w:type="dxa" w:w="2880"/>
            <w:shd w:fill="F7FAFC"/>
            <w:tcMar>
              <w:top w:w="100" w:type="dxa"/>
              <w:bottom w:w="100" w:type="dxa"/>
              <w:left w:w="140" w:type="dxa"/>
              <w:right w:w="140" w:type="dxa"/>
            </w:tcMar>
          </w:tcPr>
          <w:p>
            <w:pPr>
              <w:spacing w:line="276" w:lineRule="auto"/>
              <w:jc w:val="left"/>
            </w:pPr>
            <w:r>
              <w:rPr>
                <w:rFonts w:ascii="Calibri" w:hAnsi="Calibri"/>
                <w:color w:val="2D3748"/>
                <w:sz w:val="18"/>
              </w:rPr>
              <w:t>Every flagged entity generates an explanatory red-flag card</w:t>
            </w:r>
          </w:p>
        </w:tc>
      </w:tr>
      <w:tr>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Incident Report Prep Time</w:t>
            </w:r>
          </w:p>
        </w:tc>
        <w:tc>
          <w:tcPr>
            <w:tcW w:type="dxa" w:w="2016"/>
            <w:shd w:fill="FFFFFF"/>
            <w:tcMar>
              <w:top w:w="100" w:type="dxa"/>
              <w:bottom w:w="100" w:type="dxa"/>
              <w:left w:w="140" w:type="dxa"/>
              <w:right w:w="140" w:type="dxa"/>
            </w:tcMar>
          </w:tcPr>
          <w:p>
            <w:pPr>
              <w:spacing w:line="276" w:lineRule="auto"/>
              <w:jc w:val="left"/>
            </w:pPr>
            <w:r>
              <w:rPr>
                <w:rFonts w:ascii="Calibri" w:hAnsi="Calibri"/>
                <w:color w:val="2D3748"/>
                <w:sz w:val="18"/>
              </w:rPr>
              <w:t>10 to 18 minutes</w:t>
            </w:r>
          </w:p>
        </w:tc>
        <w:tc>
          <w:tcPr>
            <w:tcW w:type="dxa" w:w="1872"/>
            <w:shd w:fill="FFFFFF"/>
            <w:tcMar>
              <w:top w:w="100" w:type="dxa"/>
              <w:bottom w:w="100" w:type="dxa"/>
              <w:left w:w="140" w:type="dxa"/>
              <w:right w:w="140" w:type="dxa"/>
            </w:tcMar>
          </w:tcPr>
          <w:p>
            <w:pPr>
              <w:spacing w:line="276" w:lineRule="auto"/>
              <w:jc w:val="left"/>
            </w:pPr>
            <w:r>
              <w:rPr>
                <w:rFonts w:ascii="Calibri" w:hAnsi="Calibri"/>
                <w:color w:val="2D3748"/>
                <w:sz w:val="18"/>
              </w:rPr>
              <w:t>&lt; 5 seconds</w:t>
            </w:r>
          </w:p>
        </w:tc>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1-Click automated clipboard copy and portal alignment</w:t>
            </w:r>
          </w:p>
        </w:tc>
      </w:tr>
      <w:tr>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Server PII Retention</w:t>
            </w:r>
          </w:p>
        </w:tc>
        <w:tc>
          <w:tcPr>
            <w:tcW w:type="dxa" w:w="2016"/>
            <w:shd w:fill="F7FAFC"/>
            <w:tcMar>
              <w:top w:w="100" w:type="dxa"/>
              <w:bottom w:w="100" w:type="dxa"/>
              <w:left w:w="140" w:type="dxa"/>
              <w:right w:w="140" w:type="dxa"/>
            </w:tcMar>
          </w:tcPr>
          <w:p>
            <w:pPr>
              <w:spacing w:line="276" w:lineRule="auto"/>
              <w:jc w:val="left"/>
            </w:pPr>
            <w:r>
              <w:rPr>
                <w:rFonts w:ascii="Calibri" w:hAnsi="Calibri"/>
                <w:color w:val="2D3748"/>
                <w:sz w:val="18"/>
              </w:rPr>
              <w:t>Often retained in cloud logs</w:t>
            </w:r>
          </w:p>
        </w:tc>
        <w:tc>
          <w:tcPr>
            <w:tcW w:type="dxa" w:w="1872"/>
            <w:shd w:fill="F7FAFC"/>
            <w:tcMar>
              <w:top w:w="100" w:type="dxa"/>
              <w:bottom w:w="100" w:type="dxa"/>
              <w:left w:w="140" w:type="dxa"/>
              <w:right w:w="140" w:type="dxa"/>
            </w:tcMar>
          </w:tcPr>
          <w:p>
            <w:pPr>
              <w:spacing w:line="276" w:lineRule="auto"/>
              <w:jc w:val="left"/>
            </w:pPr>
            <w:r>
              <w:rPr>
                <w:rFonts w:ascii="Calibri" w:hAnsi="Calibri"/>
                <w:color w:val="2D3748"/>
                <w:sz w:val="18"/>
              </w:rPr>
              <w:t>0.0% (Zero storage)</w:t>
            </w:r>
          </w:p>
        </w:tc>
        <w:tc>
          <w:tcPr>
            <w:tcW w:type="dxa" w:w="2880"/>
            <w:shd w:fill="F7FAFC"/>
            <w:tcMar>
              <w:top w:w="100" w:type="dxa"/>
              <w:bottom w:w="100" w:type="dxa"/>
              <w:left w:w="140" w:type="dxa"/>
              <w:right w:w="140" w:type="dxa"/>
            </w:tcMar>
          </w:tcPr>
          <w:p>
            <w:pPr>
              <w:spacing w:line="276" w:lineRule="auto"/>
              <w:jc w:val="left"/>
            </w:pPr>
            <w:r>
              <w:rPr>
                <w:rFonts w:ascii="Calibri" w:hAnsi="Calibri"/>
                <w:color w:val="2D3748"/>
                <w:sz w:val="18"/>
              </w:rPr>
              <w:t>Codebase audit: RAM-only processing + local-storage history</w:t>
            </w:r>
          </w:p>
        </w:tc>
      </w:tr>
    </w:tbl>
    <w:p>
      <w:pPr>
        <w:keepNext/>
        <w:spacing w:before="360" w:after="120"/>
      </w:pPr>
      <w:r>
        <w:rPr>
          <w:rFonts w:ascii="Calibri" w:hAnsi="Calibri"/>
          <w:b/>
          <w:color w:val="0F2A4A"/>
          <w:sz w:val="32"/>
        </w:rPr>
        <w:t>4. Stakeholder Analysis &amp; User Personas</w:t>
      </w:r>
    </w:p>
    <w:p>
      <w:pPr>
        <w:keepNext/>
        <w:spacing w:before="240" w:after="80"/>
      </w:pPr>
      <w:r>
        <w:rPr>
          <w:rFonts w:ascii="Calibri" w:hAnsi="Calibri"/>
          <w:b/>
          <w:color w:val="1B6CA8"/>
          <w:sz w:val="26"/>
        </w:rPr>
        <w:t>4.1 Stakeholder Classification Matrix</w:t>
      </w:r>
    </w:p>
    <w:p>
      <w:pPr>
        <w:spacing w:before="40" w:after="80" w:line="276" w:lineRule="auto"/>
      </w:pPr>
      <w:r>
        <w:rPr>
          <w:rFonts w:ascii="Calibri" w:hAnsi="Calibri"/>
          <w:color w:val="2D3748"/>
          <w:sz w:val="20"/>
        </w:rPr>
        <w:t>Understanding the diverse stakeholder ecosystem ensures that PromptShield addresses operational, academic, and citizen requirements effectively.</w:t>
      </w:r>
    </w:p>
    <w:tbl>
      <w:tblPr>
        <w:tblW w:type="auto" w:w="0"/>
        <w:jc w:val="center"/>
        <w:tblLook w:firstColumn="1" w:firstRow="1" w:lastColumn="0" w:lastRow="0" w:noHBand="0" w:noVBand="1" w:val="04A0"/>
      </w:tblPr>
      <w:tblGrid>
        <w:gridCol w:w="2340"/>
        <w:gridCol w:w="2340"/>
        <w:gridCol w:w="2340"/>
        <w:gridCol w:w="2340"/>
      </w:tblGrid>
      <w:tr>
        <w:tc>
          <w:tcPr>
            <w:tcW w:type="dxa" w:w="2160"/>
            <w:shd w:fill="0F2A4A"/>
            <w:tcMar>
              <w:top w:w="140" w:type="dxa"/>
              <w:bottom w:w="140" w:type="dxa"/>
              <w:left w:w="150" w:type="dxa"/>
              <w:right w:w="150" w:type="dxa"/>
            </w:tcMar>
          </w:tcPr>
          <w:p>
            <w:pPr>
              <w:jc w:val="left"/>
            </w:pPr>
            <w:r>
              <w:rPr>
                <w:rFonts w:ascii="Calibri" w:hAnsi="Calibri"/>
                <w:b/>
                <w:color w:val="FFFFFF"/>
                <w:sz w:val="19"/>
              </w:rPr>
              <w:t>Stakeholder Group</w:t>
            </w:r>
          </w:p>
        </w:tc>
        <w:tc>
          <w:tcPr>
            <w:tcW w:type="dxa" w:w="3168"/>
            <w:shd w:fill="0F2A4A"/>
            <w:tcMar>
              <w:top w:w="140" w:type="dxa"/>
              <w:bottom w:w="140" w:type="dxa"/>
              <w:left w:w="150" w:type="dxa"/>
              <w:right w:w="150" w:type="dxa"/>
            </w:tcMar>
          </w:tcPr>
          <w:p>
            <w:pPr>
              <w:jc w:val="left"/>
            </w:pPr>
            <w:r>
              <w:rPr>
                <w:rFonts w:ascii="Calibri" w:hAnsi="Calibri"/>
                <w:b/>
                <w:color w:val="FFFFFF"/>
                <w:sz w:val="19"/>
              </w:rPr>
              <w:t>Key Interests &amp; Expectations</w:t>
            </w:r>
          </w:p>
        </w:tc>
        <w:tc>
          <w:tcPr>
            <w:tcW w:type="dxa" w:w="2592"/>
            <w:shd w:fill="0F2A4A"/>
            <w:tcMar>
              <w:top w:w="140" w:type="dxa"/>
              <w:bottom w:w="140" w:type="dxa"/>
              <w:left w:w="150" w:type="dxa"/>
              <w:right w:w="150" w:type="dxa"/>
            </w:tcMar>
          </w:tcPr>
          <w:p>
            <w:pPr>
              <w:jc w:val="left"/>
            </w:pPr>
            <w:r>
              <w:rPr>
                <w:rFonts w:ascii="Calibri" w:hAnsi="Calibri"/>
                <w:b/>
                <w:color w:val="FFFFFF"/>
                <w:sz w:val="19"/>
              </w:rPr>
              <w:t>Primary Impact</w:t>
            </w:r>
          </w:p>
        </w:tc>
        <w:tc>
          <w:tcPr>
            <w:tcW w:type="dxa" w:w="1440"/>
            <w:shd w:fill="0F2A4A"/>
            <w:tcMar>
              <w:top w:w="140" w:type="dxa"/>
              <w:bottom w:w="140" w:type="dxa"/>
              <w:left w:w="150" w:type="dxa"/>
              <w:right w:w="150" w:type="dxa"/>
            </w:tcMar>
          </w:tcPr>
          <w:p>
            <w:pPr>
              <w:jc w:val="left"/>
            </w:pPr>
            <w:r>
              <w:rPr>
                <w:rFonts w:ascii="Calibri" w:hAnsi="Calibri"/>
                <w:b/>
                <w:color w:val="FFFFFF"/>
                <w:sz w:val="19"/>
              </w:rPr>
              <w:t>RACI Role</w:t>
            </w:r>
          </w:p>
        </w:tc>
      </w:tr>
      <w:tr>
        <w:tc>
          <w:tcPr>
            <w:tcW w:type="dxa" w:w="2160"/>
            <w:shd w:fill="FFFFFF"/>
            <w:tcMar>
              <w:top w:w="100" w:type="dxa"/>
              <w:bottom w:w="100" w:type="dxa"/>
              <w:left w:w="140" w:type="dxa"/>
              <w:right w:w="140" w:type="dxa"/>
            </w:tcMar>
          </w:tcPr>
          <w:p>
            <w:pPr>
              <w:spacing w:line="276" w:lineRule="auto"/>
              <w:jc w:val="left"/>
            </w:pPr>
            <w:r>
              <w:rPr>
                <w:rFonts w:ascii="Calibri" w:hAnsi="Calibri"/>
                <w:color w:val="2D3748"/>
                <w:sz w:val="18"/>
              </w:rPr>
              <w:t>Digital Citizens / General Public</w:t>
            </w:r>
          </w:p>
        </w:tc>
        <w:tc>
          <w:tcPr>
            <w:tcW w:type="dxa" w:w="3168"/>
            <w:shd w:fill="FFFFFF"/>
            <w:tcMar>
              <w:top w:w="100" w:type="dxa"/>
              <w:bottom w:w="100" w:type="dxa"/>
              <w:left w:w="140" w:type="dxa"/>
              <w:right w:w="140" w:type="dxa"/>
            </w:tcMar>
          </w:tcPr>
          <w:p>
            <w:pPr>
              <w:spacing w:line="276" w:lineRule="auto"/>
              <w:jc w:val="left"/>
            </w:pPr>
            <w:r>
              <w:rPr>
                <w:rFonts w:ascii="Calibri" w:hAnsi="Calibri"/>
                <w:color w:val="2D3748"/>
                <w:sz w:val="18"/>
              </w:rPr>
              <w:t>Immediate scam verification, simple language, no technical jargon</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Prevents direct financial fraud &amp; credential theft</w:t>
            </w:r>
          </w:p>
        </w:tc>
        <w:tc>
          <w:tcPr>
            <w:tcW w:type="dxa" w:w="1440"/>
            <w:shd w:fill="FFFFFF"/>
            <w:tcMar>
              <w:top w:w="100" w:type="dxa"/>
              <w:bottom w:w="100" w:type="dxa"/>
              <w:left w:w="140" w:type="dxa"/>
              <w:right w:w="140" w:type="dxa"/>
            </w:tcMar>
          </w:tcPr>
          <w:p>
            <w:pPr>
              <w:spacing w:line="276" w:lineRule="auto"/>
              <w:jc w:val="left"/>
            </w:pPr>
            <w:r>
              <w:rPr>
                <w:rFonts w:ascii="Calibri" w:hAnsi="Calibri"/>
                <w:color w:val="2D3748"/>
                <w:sz w:val="18"/>
              </w:rPr>
              <w:t>Accountable / User</w:t>
            </w:r>
          </w:p>
        </w:tc>
      </w:tr>
      <w:tr>
        <w:tc>
          <w:tcPr>
            <w:tcW w:type="dxa" w:w="2160"/>
            <w:shd w:fill="F7FAFC"/>
            <w:tcMar>
              <w:top w:w="100" w:type="dxa"/>
              <w:bottom w:w="100" w:type="dxa"/>
              <w:left w:w="140" w:type="dxa"/>
              <w:right w:w="140" w:type="dxa"/>
            </w:tcMar>
          </w:tcPr>
          <w:p>
            <w:pPr>
              <w:spacing w:line="276" w:lineRule="auto"/>
              <w:jc w:val="left"/>
            </w:pPr>
            <w:r>
              <w:rPr>
                <w:rFonts w:ascii="Calibri" w:hAnsi="Calibri"/>
                <w:color w:val="2D3748"/>
                <w:sz w:val="18"/>
              </w:rPr>
              <w:t>Senior Citizens &amp; Students</w:t>
            </w:r>
          </w:p>
        </w:tc>
        <w:tc>
          <w:tcPr>
            <w:tcW w:type="dxa" w:w="3168"/>
            <w:shd w:fill="F7FAFC"/>
            <w:tcMar>
              <w:top w:w="100" w:type="dxa"/>
              <w:bottom w:w="100" w:type="dxa"/>
              <w:left w:w="140" w:type="dxa"/>
              <w:right w:w="140" w:type="dxa"/>
            </w:tcMar>
          </w:tcPr>
          <w:p>
            <w:pPr>
              <w:spacing w:line="276" w:lineRule="auto"/>
              <w:jc w:val="left"/>
            </w:pPr>
            <w:r>
              <w:rPr>
                <w:rFonts w:ascii="Calibri" w:hAnsi="Calibri"/>
                <w:color w:val="2D3748"/>
                <w:sz w:val="18"/>
              </w:rPr>
              <w:t>Intuitive one-click UI, protection against panic &amp; job traps</w:t>
            </w:r>
          </w:p>
        </w:tc>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Reduces psychological vulnerability and distress</w:t>
            </w:r>
          </w:p>
        </w:tc>
        <w:tc>
          <w:tcPr>
            <w:tcW w:type="dxa" w:w="1440"/>
            <w:shd w:fill="F7FAFC"/>
            <w:tcMar>
              <w:top w:w="100" w:type="dxa"/>
              <w:bottom w:w="100" w:type="dxa"/>
              <w:left w:w="140" w:type="dxa"/>
              <w:right w:w="140" w:type="dxa"/>
            </w:tcMar>
          </w:tcPr>
          <w:p>
            <w:pPr>
              <w:spacing w:line="276" w:lineRule="auto"/>
              <w:jc w:val="left"/>
            </w:pPr>
            <w:r>
              <w:rPr>
                <w:rFonts w:ascii="Calibri" w:hAnsi="Calibri"/>
                <w:color w:val="2D3748"/>
                <w:sz w:val="18"/>
              </w:rPr>
              <w:t>Informed / User</w:t>
            </w:r>
          </w:p>
        </w:tc>
      </w:tr>
      <w:tr>
        <w:tc>
          <w:tcPr>
            <w:tcW w:type="dxa" w:w="2160"/>
            <w:shd w:fill="FFFFFF"/>
            <w:tcMar>
              <w:top w:w="100" w:type="dxa"/>
              <w:bottom w:w="100" w:type="dxa"/>
              <w:left w:w="140" w:type="dxa"/>
              <w:right w:w="140" w:type="dxa"/>
            </w:tcMar>
          </w:tcPr>
          <w:p>
            <w:pPr>
              <w:spacing w:line="276" w:lineRule="auto"/>
              <w:jc w:val="left"/>
            </w:pPr>
            <w:r>
              <w:rPr>
                <w:rFonts w:ascii="Calibri" w:hAnsi="Calibri"/>
                <w:color w:val="2D3748"/>
                <w:sz w:val="18"/>
              </w:rPr>
              <w:t>Academic &amp; Hackathon Jury</w:t>
            </w:r>
          </w:p>
        </w:tc>
        <w:tc>
          <w:tcPr>
            <w:tcW w:type="dxa" w:w="3168"/>
            <w:shd w:fill="FFFFFF"/>
            <w:tcMar>
              <w:top w:w="100" w:type="dxa"/>
              <w:bottom w:w="100" w:type="dxa"/>
              <w:left w:w="140" w:type="dxa"/>
              <w:right w:w="140" w:type="dxa"/>
            </w:tcMar>
          </w:tcPr>
          <w:p>
            <w:pPr>
              <w:spacing w:line="276" w:lineRule="auto"/>
              <w:jc w:val="left"/>
            </w:pPr>
            <w:r>
              <w:rPr>
                <w:rFonts w:ascii="Calibri" w:hAnsi="Calibri"/>
                <w:color w:val="2D3748"/>
                <w:sz w:val="18"/>
              </w:rPr>
              <w:t>Architectural rigor, explainability, schema resilience, novelty</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Evaluates project innovation, engineering quality &amp; marks</w:t>
            </w:r>
          </w:p>
        </w:tc>
        <w:tc>
          <w:tcPr>
            <w:tcW w:type="dxa" w:w="1440"/>
            <w:shd w:fill="FFFFFF"/>
            <w:tcMar>
              <w:top w:w="100" w:type="dxa"/>
              <w:bottom w:w="100" w:type="dxa"/>
              <w:left w:w="140" w:type="dxa"/>
              <w:right w:w="140" w:type="dxa"/>
            </w:tcMar>
          </w:tcPr>
          <w:p>
            <w:pPr>
              <w:spacing w:line="276" w:lineRule="auto"/>
              <w:jc w:val="left"/>
            </w:pPr>
            <w:r>
              <w:rPr>
                <w:rFonts w:ascii="Calibri" w:hAnsi="Calibri"/>
                <w:color w:val="2D3748"/>
                <w:sz w:val="18"/>
              </w:rPr>
              <w:t>Consulted / Evaluator</w:t>
            </w:r>
          </w:p>
        </w:tc>
      </w:tr>
      <w:tr>
        <w:tc>
          <w:tcPr>
            <w:tcW w:type="dxa" w:w="2160"/>
            <w:shd w:fill="F7FAFC"/>
            <w:tcMar>
              <w:top w:w="100" w:type="dxa"/>
              <w:bottom w:w="100" w:type="dxa"/>
              <w:left w:w="140" w:type="dxa"/>
              <w:right w:w="140" w:type="dxa"/>
            </w:tcMar>
          </w:tcPr>
          <w:p>
            <w:pPr>
              <w:spacing w:line="276" w:lineRule="auto"/>
              <w:jc w:val="left"/>
            </w:pPr>
            <w:r>
              <w:rPr>
                <w:rFonts w:ascii="Calibri" w:hAnsi="Calibri"/>
                <w:color w:val="2D3748"/>
                <w:sz w:val="18"/>
              </w:rPr>
              <w:t>Law Enforcement (1930 / I4C)</w:t>
            </w:r>
          </w:p>
        </w:tc>
        <w:tc>
          <w:tcPr>
            <w:tcW w:type="dxa" w:w="3168"/>
            <w:shd w:fill="F7FAFC"/>
            <w:tcMar>
              <w:top w:w="100" w:type="dxa"/>
              <w:bottom w:w="100" w:type="dxa"/>
              <w:left w:w="140" w:type="dxa"/>
              <w:right w:w="140" w:type="dxa"/>
            </w:tcMar>
          </w:tcPr>
          <w:p>
            <w:pPr>
              <w:spacing w:line="276" w:lineRule="auto"/>
              <w:jc w:val="left"/>
            </w:pPr>
            <w:r>
              <w:rPr>
                <w:rFonts w:ascii="Calibri" w:hAnsi="Calibri"/>
                <w:color w:val="2D3748"/>
                <w:sz w:val="18"/>
              </w:rPr>
              <w:t>Structured, accurate evidentiary complaints with neutralized URLs</w:t>
            </w:r>
          </w:p>
        </w:tc>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Accelerates investigation and freezing of mule accounts</w:t>
            </w:r>
          </w:p>
        </w:tc>
        <w:tc>
          <w:tcPr>
            <w:tcW w:type="dxa" w:w="1440"/>
            <w:shd w:fill="F7FAFC"/>
            <w:tcMar>
              <w:top w:w="100" w:type="dxa"/>
              <w:bottom w:w="100" w:type="dxa"/>
              <w:left w:w="140" w:type="dxa"/>
              <w:right w:w="140" w:type="dxa"/>
            </w:tcMar>
          </w:tcPr>
          <w:p>
            <w:pPr>
              <w:spacing w:line="276" w:lineRule="auto"/>
              <w:jc w:val="left"/>
            </w:pPr>
            <w:r>
              <w:rPr>
                <w:rFonts w:ascii="Calibri" w:hAnsi="Calibri"/>
                <w:color w:val="2D3748"/>
                <w:sz w:val="18"/>
              </w:rPr>
              <w:t>Beneficiary</w:t>
            </w:r>
          </w:p>
        </w:tc>
      </w:tr>
      <w:tr>
        <w:tc>
          <w:tcPr>
            <w:tcW w:type="dxa" w:w="2160"/>
            <w:shd w:fill="FFFFFF"/>
            <w:tcMar>
              <w:top w:w="100" w:type="dxa"/>
              <w:bottom w:w="100" w:type="dxa"/>
              <w:left w:w="140" w:type="dxa"/>
              <w:right w:w="140" w:type="dxa"/>
            </w:tcMar>
          </w:tcPr>
          <w:p>
            <w:pPr>
              <w:spacing w:line="276" w:lineRule="auto"/>
              <w:jc w:val="left"/>
            </w:pPr>
            <w:r>
              <w:rPr>
                <w:rFonts w:ascii="Calibri" w:hAnsi="Calibri"/>
                <w:color w:val="2D3748"/>
                <w:sz w:val="18"/>
              </w:rPr>
              <w:t>Engineering Team (ByteBusters)</w:t>
            </w:r>
          </w:p>
        </w:tc>
        <w:tc>
          <w:tcPr>
            <w:tcW w:type="dxa" w:w="3168"/>
            <w:shd w:fill="FFFFFF"/>
            <w:tcMar>
              <w:top w:w="100" w:type="dxa"/>
              <w:bottom w:w="100" w:type="dxa"/>
              <w:left w:w="140" w:type="dxa"/>
              <w:right w:w="140" w:type="dxa"/>
            </w:tcMar>
          </w:tcPr>
          <w:p>
            <w:pPr>
              <w:spacing w:line="276" w:lineRule="auto"/>
              <w:jc w:val="left"/>
            </w:pPr>
            <w:r>
              <w:rPr>
                <w:rFonts w:ascii="Calibri" w:hAnsi="Calibri"/>
                <w:color w:val="2D3748"/>
                <w:sz w:val="18"/>
              </w:rPr>
              <w:t>Clean code, Docker portability, zero-crash fault tolerance</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Rapid deployment, maintenance, and future feature scale</w:t>
            </w:r>
          </w:p>
        </w:tc>
        <w:tc>
          <w:tcPr>
            <w:tcW w:type="dxa" w:w="1440"/>
            <w:shd w:fill="FFFFFF"/>
            <w:tcMar>
              <w:top w:w="100" w:type="dxa"/>
              <w:bottom w:w="100" w:type="dxa"/>
              <w:left w:w="140" w:type="dxa"/>
              <w:right w:w="140" w:type="dxa"/>
            </w:tcMar>
          </w:tcPr>
          <w:p>
            <w:pPr>
              <w:spacing w:line="276" w:lineRule="auto"/>
              <w:jc w:val="left"/>
            </w:pPr>
            <w:r>
              <w:rPr>
                <w:rFonts w:ascii="Calibri" w:hAnsi="Calibri"/>
                <w:color w:val="2D3748"/>
                <w:sz w:val="18"/>
              </w:rPr>
              <w:t>Responsible</w:t>
            </w:r>
          </w:p>
        </w:tc>
      </w:tr>
    </w:tbl>
    <w:p>
      <w:pPr>
        <w:keepNext/>
        <w:spacing w:before="240" w:after="80"/>
      </w:pPr>
      <w:r>
        <w:rPr>
          <w:rFonts w:ascii="Calibri" w:hAnsi="Calibri"/>
          <w:b/>
          <w:color w:val="1B6CA8"/>
          <w:sz w:val="26"/>
        </w:rPr>
        <w:t>4.2 Comprehensive User Personas</w:t>
      </w:r>
    </w:p>
    <w:p>
      <w:pPr>
        <w:pStyle w:val="ListBullet"/>
        <w:spacing w:before="20" w:after="40" w:line="276" w:lineRule="auto"/>
      </w:pPr>
      <w:r>
        <w:rPr>
          <w:rFonts w:ascii="Calibri" w:hAnsi="Calibri"/>
          <w:b/>
          <w:color w:val="2D3748"/>
          <w:sz w:val="20"/>
        </w:rPr>
        <w:t xml:space="preserve">Persona 1 — Rajesh Kumar (Vulnerable Senior Citizen): </w:t>
      </w:r>
      <w:r>
        <w:rPr>
          <w:rFonts w:ascii="Calibri" w:hAnsi="Calibri"/>
          <w:color w:val="2D3748"/>
          <w:sz w:val="20"/>
        </w:rPr>
        <w:t>A 62-year-old retired bank pensioner. Receives an SMS stating: 'Your SBI Yono account will be blocked in 24 hours. Update PAN card immediately at http://bit.ly/sbi-pan-kyc'. He experiences intense panic, fearing loss of pension access. With PromptShield, he pastes the SMS, sees an instant RED Risk Score (94/100), reads a clear red-flag explaining 'Banks never send bit.ly shortlinks or demand urgent PAN uploads via SMS', and follows the checklist to block the number.</w:t>
      </w:r>
    </w:p>
    <w:p>
      <w:pPr>
        <w:pStyle w:val="ListBullet"/>
        <w:spacing w:before="20" w:after="40" w:line="276" w:lineRule="auto"/>
      </w:pPr>
      <w:r>
        <w:rPr>
          <w:rFonts w:ascii="Calibri" w:hAnsi="Calibri"/>
          <w:b/>
          <w:color w:val="2D3748"/>
          <w:sz w:val="20"/>
        </w:rPr>
        <w:t xml:space="preserve">Persona 2 — Ananya Sharma (Aspiring Student): </w:t>
      </w:r>
      <w:r>
        <w:rPr>
          <w:rFonts w:ascii="Calibri" w:hAnsi="Calibri"/>
          <w:color w:val="2D3748"/>
          <w:sz w:val="20"/>
        </w:rPr>
        <w:t>A 20-year-old college undergraduate looking for pocket money. Receives a WhatsApp offer: 'Work from home! Earn ₹3,000/day simply by liking YouTube videos and subscribing to Telegram channels'. Unsure if legitimate, she runs PromptShield. The app highlights the advance-fee trap, warns that 'Paying a deposit to unlock earned commissions is a textbook task scam', and prevents her from transferring her semester savings.</w:t>
      </w:r>
    </w:p>
    <w:p>
      <w:pPr>
        <w:pStyle w:val="ListBullet"/>
        <w:spacing w:before="20" w:after="40" w:line="276" w:lineRule="auto"/>
      </w:pPr>
      <w:r>
        <w:rPr>
          <w:rFonts w:ascii="Calibri" w:hAnsi="Calibri"/>
          <w:b/>
          <w:color w:val="2D3748"/>
          <w:sz w:val="20"/>
        </w:rPr>
        <w:t xml:space="preserve">Persona 3 — Vikram Malhotra (Busy Professional): </w:t>
      </w:r>
      <w:r>
        <w:rPr>
          <w:rFonts w:ascii="Calibri" w:hAnsi="Calibri"/>
          <w:color w:val="2D3748"/>
          <w:sz w:val="20"/>
        </w:rPr>
        <w:t>A 34-year-old marketing executive managing dozens of parcel deliveries weekly. Receives an SMS: 'India Post: Package delivery failed due to incomplete address. Update within 12h or return to sender: indiapost-redirection.com'. He uses PromptShield to verify if it is legitimate before clicking. PromptShield flags the spoofed domain while contrasting it with India Post's official `.gov.in` domain.</w:t>
      </w:r>
    </w:p>
    <w:p>
      <w:pPr>
        <w:pStyle w:val="ListBullet"/>
        <w:spacing w:before="20" w:after="40" w:line="276" w:lineRule="auto"/>
      </w:pPr>
      <w:r>
        <w:rPr>
          <w:rFonts w:ascii="Calibri" w:hAnsi="Calibri"/>
          <w:b/>
          <w:color w:val="2D3748"/>
          <w:sz w:val="20"/>
        </w:rPr>
        <w:t xml:space="preserve">Persona 4 — Inspector S. Rao (Cybercrime Cell Officer): </w:t>
      </w:r>
      <w:r>
        <w:rPr>
          <w:rFonts w:ascii="Calibri" w:hAnsi="Calibri"/>
          <w:color w:val="2D3748"/>
          <w:sz w:val="20"/>
        </w:rPr>
        <w:t>An investigating sub-inspector receiving citizen grievances. Complains that victims usually provide vague verbal statements without the exact message text, URL, or sender header. With PromptShield's 1-Click Cybercrime Report, the officer receives standardized, time-stamped evidentiary complaints, significantly cutting preliminary inquiry time.</w:t>
      </w:r>
    </w:p>
    <w:p>
      <w:pPr>
        <w:keepNext/>
        <w:spacing w:before="360" w:after="120"/>
      </w:pPr>
      <w:r>
        <w:rPr>
          <w:rFonts w:ascii="Calibri" w:hAnsi="Calibri"/>
          <w:b/>
          <w:color w:val="0F2A4A"/>
          <w:sz w:val="32"/>
        </w:rPr>
        <w:t>5. Scope Management (Boundary Definition)</w:t>
      </w:r>
    </w:p>
    <w:p>
      <w:pPr>
        <w:keepNext/>
        <w:spacing w:before="240" w:after="80"/>
      </w:pPr>
      <w:r>
        <w:rPr>
          <w:rFonts w:ascii="Calibri" w:hAnsi="Calibri"/>
          <w:b/>
          <w:color w:val="1B6CA8"/>
          <w:sz w:val="26"/>
        </w:rPr>
        <w:t>5.1 In-Scope Capabilities</w:t>
      </w:r>
    </w:p>
    <w:p>
      <w:pPr>
        <w:pStyle w:val="ListBullet"/>
        <w:spacing w:before="20" w:after="40" w:line="276" w:lineRule="auto"/>
      </w:pPr>
      <w:r>
        <w:rPr>
          <w:rFonts w:ascii="Calibri" w:hAnsi="Calibri"/>
          <w:b/>
          <w:color w:val="2D3748"/>
          <w:sz w:val="20"/>
        </w:rPr>
        <w:t xml:space="preserve">Multi-Vector Text Analysis: </w:t>
      </w:r>
      <w:r>
        <w:rPr>
          <w:rFonts w:ascii="Calibri" w:hAnsi="Calibri"/>
          <w:color w:val="2D3748"/>
          <w:sz w:val="20"/>
        </w:rPr>
        <w:t>Support for pasting raw SMS, email content, job descriptions, chat logs, and delivery notifications.</w:t>
      </w:r>
    </w:p>
    <w:p>
      <w:pPr>
        <w:pStyle w:val="ListBullet"/>
        <w:spacing w:before="20" w:after="40" w:line="276" w:lineRule="auto"/>
      </w:pPr>
      <w:r>
        <w:rPr>
          <w:rFonts w:ascii="Calibri" w:hAnsi="Calibri"/>
          <w:b/>
          <w:color w:val="2D3748"/>
          <w:sz w:val="20"/>
        </w:rPr>
        <w:t xml:space="preserve">Dual-Engine Pipeline: </w:t>
      </w:r>
      <w:r>
        <w:rPr>
          <w:rFonts w:ascii="Calibri" w:hAnsi="Calibri"/>
          <w:color w:val="2D3748"/>
          <w:sz w:val="20"/>
        </w:rPr>
        <w:t>Deterministic heuristic analyzer containing rules for urgency, financial triggers, credential traps, shortlinks, and telecom sender prefixes.</w:t>
      </w:r>
    </w:p>
    <w:p>
      <w:pPr>
        <w:pStyle w:val="ListBullet"/>
        <w:spacing w:before="20" w:after="40" w:line="276" w:lineRule="auto"/>
      </w:pPr>
      <w:r>
        <w:rPr>
          <w:rFonts w:ascii="Calibri" w:hAnsi="Calibri"/>
          <w:b/>
          <w:color w:val="2D3748"/>
          <w:sz w:val="20"/>
        </w:rPr>
        <w:t xml:space="preserve">Multi-LLM Semantic Ingestion: </w:t>
      </w:r>
      <w:r>
        <w:rPr>
          <w:rFonts w:ascii="Calibri" w:hAnsi="Calibri"/>
          <w:color w:val="2D3748"/>
          <w:sz w:val="20"/>
        </w:rPr>
        <w:t>Generative AI cognitive analyzer supporting Gemini 1.5 Flash, Claude 3.5 Sonnet, and OpenAI GPT-4o-mini with Pydantic JSON schema enforcement.</w:t>
      </w:r>
    </w:p>
    <w:p>
      <w:pPr>
        <w:pStyle w:val="ListBullet"/>
        <w:spacing w:before="20" w:after="40" w:line="276" w:lineRule="auto"/>
      </w:pPr>
      <w:r>
        <w:rPr>
          <w:rFonts w:ascii="Calibri" w:hAnsi="Calibri"/>
          <w:b/>
          <w:color w:val="2D3748"/>
          <w:sz w:val="20"/>
        </w:rPr>
        <w:t xml:space="preserve">Dynamic Risk Quantification: </w:t>
      </w:r>
      <w:r>
        <w:rPr>
          <w:rFonts w:ascii="Calibri" w:hAnsi="Calibri"/>
          <w:color w:val="2D3748"/>
          <w:sz w:val="20"/>
        </w:rPr>
        <w:t>Visual 0 to 100 risk scale divided into Safe (0–30), Suspicious (31–69), and Likely Scam (70–100).</w:t>
      </w:r>
    </w:p>
    <w:p>
      <w:pPr>
        <w:pStyle w:val="ListBullet"/>
        <w:spacing w:before="20" w:after="40" w:line="276" w:lineRule="auto"/>
      </w:pPr>
      <w:r>
        <w:rPr>
          <w:rFonts w:ascii="Calibri" w:hAnsi="Calibri"/>
          <w:b/>
          <w:color w:val="2D3748"/>
          <w:sz w:val="20"/>
        </w:rPr>
        <w:t xml:space="preserve">Interactive Contextual Highlighter: </w:t>
      </w:r>
      <w:r>
        <w:rPr>
          <w:rFonts w:ascii="Calibri" w:hAnsi="Calibri"/>
          <w:color w:val="2D3748"/>
          <w:sz w:val="20"/>
        </w:rPr>
        <w:t>Visual highlight of deceptive phrases paired with plain-language threat explanations.</w:t>
      </w:r>
    </w:p>
    <w:p>
      <w:pPr>
        <w:pStyle w:val="ListBullet"/>
        <w:spacing w:before="20" w:after="40" w:line="276" w:lineRule="auto"/>
      </w:pPr>
      <w:r>
        <w:rPr>
          <w:rFonts w:ascii="Calibri" w:hAnsi="Calibri"/>
          <w:b/>
          <w:color w:val="2D3748"/>
          <w:sz w:val="20"/>
        </w:rPr>
        <w:t xml:space="preserve">Actionable Safety Protocol: </w:t>
      </w:r>
      <w:r>
        <w:rPr>
          <w:rFonts w:ascii="Calibri" w:hAnsi="Calibri"/>
          <w:color w:val="2D3748"/>
          <w:sz w:val="20"/>
        </w:rPr>
        <w:t>Interactive checklist specifying mandatory immediate actions ('What To Do') and critical prohibitions ('What NOT To Do').</w:t>
      </w:r>
    </w:p>
    <w:p>
      <w:pPr>
        <w:pStyle w:val="ListBullet"/>
        <w:spacing w:before="20" w:after="40" w:line="276" w:lineRule="auto"/>
      </w:pPr>
      <w:r>
        <w:rPr>
          <w:rFonts w:ascii="Calibri" w:hAnsi="Calibri"/>
          <w:b/>
          <w:color w:val="2D3748"/>
          <w:sz w:val="20"/>
        </w:rPr>
        <w:t xml:space="preserve">1-Click 1930 Incident Formatter: </w:t>
      </w:r>
      <w:r>
        <w:rPr>
          <w:rFonts w:ascii="Calibri" w:hAnsi="Calibri"/>
          <w:color w:val="2D3748"/>
          <w:sz w:val="20"/>
        </w:rPr>
        <w:t>Pre-fills formatted evidentiary complaints aligned with India's National Cybercrime Portal standards.</w:t>
      </w:r>
    </w:p>
    <w:p>
      <w:pPr>
        <w:pStyle w:val="ListBullet"/>
        <w:spacing w:before="20" w:after="40" w:line="276" w:lineRule="auto"/>
      </w:pPr>
      <w:r>
        <w:rPr>
          <w:rFonts w:ascii="Calibri" w:hAnsi="Calibri"/>
          <w:b/>
          <w:color w:val="2D3748"/>
          <w:sz w:val="20"/>
        </w:rPr>
        <w:t xml:space="preserve">Local-First Privacy History: </w:t>
      </w:r>
      <w:r>
        <w:rPr>
          <w:rFonts w:ascii="Calibri" w:hAnsi="Calibri"/>
          <w:color w:val="2D3748"/>
          <w:sz w:val="20"/>
        </w:rPr>
        <w:t>Stores scan history strictly in browser localStorage without server persistence.</w:t>
      </w:r>
    </w:p>
    <w:p>
      <w:pPr>
        <w:keepNext/>
        <w:spacing w:before="240" w:after="80"/>
      </w:pPr>
      <w:r>
        <w:rPr>
          <w:rFonts w:ascii="Calibri" w:hAnsi="Calibri"/>
          <w:b/>
          <w:color w:val="1B6CA8"/>
          <w:sz w:val="26"/>
        </w:rPr>
        <w:t>5.2 Out-of-Scope Capabilities (Explicit Boundaries)</w:t>
      </w:r>
    </w:p>
    <w:p>
      <w:pPr>
        <w:pStyle w:val="ListBullet"/>
        <w:spacing w:before="20" w:after="40" w:line="276" w:lineRule="auto"/>
      </w:pPr>
      <w:r>
        <w:rPr>
          <w:rFonts w:ascii="Calibri" w:hAnsi="Calibri"/>
          <w:b/>
          <w:color w:val="2D3748"/>
          <w:sz w:val="20"/>
        </w:rPr>
        <w:t xml:space="preserve">Direct Banking Transactions: </w:t>
      </w:r>
      <w:r>
        <w:rPr>
          <w:rFonts w:ascii="Calibri" w:hAnsi="Calibri"/>
          <w:color w:val="2D3748"/>
          <w:sz w:val="20"/>
        </w:rPr>
        <w:t>PromptShield is an analytical and educational defense tool; it does not directly freeze bank accounts or reverse UPI transactions.</w:t>
      </w:r>
    </w:p>
    <w:p>
      <w:pPr>
        <w:pStyle w:val="ListBullet"/>
        <w:spacing w:before="20" w:after="40" w:line="276" w:lineRule="auto"/>
      </w:pPr>
      <w:r>
        <w:rPr>
          <w:rFonts w:ascii="Calibri" w:hAnsi="Calibri"/>
          <w:b/>
          <w:color w:val="2D3748"/>
          <w:sz w:val="20"/>
        </w:rPr>
        <w:t xml:space="preserve">Offensive Cyber Warfare: </w:t>
      </w:r>
      <w:r>
        <w:rPr>
          <w:rFonts w:ascii="Calibri" w:hAnsi="Calibri"/>
          <w:color w:val="2D3748"/>
          <w:sz w:val="20"/>
        </w:rPr>
        <w:t>PromptShield does not conduct counter-attacks, port scanning, or offensive intrusion against scam servers.</w:t>
      </w:r>
    </w:p>
    <w:p>
      <w:pPr>
        <w:pStyle w:val="ListBullet"/>
        <w:spacing w:before="20" w:after="40" w:line="276" w:lineRule="auto"/>
      </w:pPr>
      <w:r>
        <w:rPr>
          <w:rFonts w:ascii="Calibri" w:hAnsi="Calibri"/>
          <w:b/>
          <w:color w:val="2D3748"/>
          <w:sz w:val="20"/>
        </w:rPr>
        <w:t xml:space="preserve">Passive Carrier Eavesdropping: </w:t>
      </w:r>
      <w:r>
        <w:rPr>
          <w:rFonts w:ascii="Calibri" w:hAnsi="Calibri"/>
          <w:color w:val="2D3748"/>
          <w:sz w:val="20"/>
        </w:rPr>
        <w:t>PromptShield does not tap or passively eavesdrop on cellular voice or carrier networks.</w:t>
      </w:r>
    </w:p>
    <w:p>
      <w:pPr>
        <w:keepNext/>
        <w:spacing w:before="240" w:after="80"/>
      </w:pPr>
      <w:r>
        <w:rPr>
          <w:rFonts w:ascii="Calibri" w:hAnsi="Calibri"/>
          <w:b/>
          <w:color w:val="1B6CA8"/>
          <w:sz w:val="26"/>
        </w:rPr>
        <w:t>5.3 Phased Delivery Roadmap</w:t>
      </w:r>
    </w:p>
    <w:tbl>
      <w:tblPr>
        <w:tblW w:type="auto" w:w="0"/>
        <w:jc w:val="center"/>
        <w:tblLook w:firstColumn="1" w:firstRow="1" w:lastColumn="0" w:lastRow="0" w:noHBand="0" w:noVBand="1" w:val="04A0"/>
      </w:tblPr>
      <w:tblGrid>
        <w:gridCol w:w="2340"/>
        <w:gridCol w:w="2340"/>
        <w:gridCol w:w="2340"/>
        <w:gridCol w:w="2340"/>
      </w:tblGrid>
      <w:tr>
        <w:tc>
          <w:tcPr>
            <w:tcW w:type="dxa" w:w="1872"/>
            <w:shd w:fill="0F2A4A"/>
            <w:tcMar>
              <w:top w:w="140" w:type="dxa"/>
              <w:bottom w:w="140" w:type="dxa"/>
              <w:left w:w="150" w:type="dxa"/>
              <w:right w:w="150" w:type="dxa"/>
            </w:tcMar>
          </w:tcPr>
          <w:p>
            <w:pPr>
              <w:jc w:val="left"/>
            </w:pPr>
            <w:r>
              <w:rPr>
                <w:rFonts w:ascii="Calibri" w:hAnsi="Calibri"/>
                <w:b/>
                <w:color w:val="FFFFFF"/>
                <w:sz w:val="19"/>
              </w:rPr>
              <w:t>Phase</w:t>
            </w:r>
          </w:p>
        </w:tc>
        <w:tc>
          <w:tcPr>
            <w:tcW w:type="dxa" w:w="2592"/>
            <w:shd w:fill="0F2A4A"/>
            <w:tcMar>
              <w:top w:w="140" w:type="dxa"/>
              <w:bottom w:w="140" w:type="dxa"/>
              <w:left w:w="150" w:type="dxa"/>
              <w:right w:w="150" w:type="dxa"/>
            </w:tcMar>
          </w:tcPr>
          <w:p>
            <w:pPr>
              <w:jc w:val="left"/>
            </w:pPr>
            <w:r>
              <w:rPr>
                <w:rFonts w:ascii="Calibri" w:hAnsi="Calibri"/>
                <w:b/>
                <w:color w:val="FFFFFF"/>
                <w:sz w:val="19"/>
              </w:rPr>
              <w:t>Milestone Target</w:t>
            </w:r>
          </w:p>
        </w:tc>
        <w:tc>
          <w:tcPr>
            <w:tcW w:type="dxa" w:w="3600"/>
            <w:shd w:fill="0F2A4A"/>
            <w:tcMar>
              <w:top w:w="140" w:type="dxa"/>
              <w:bottom w:w="140" w:type="dxa"/>
              <w:left w:w="150" w:type="dxa"/>
              <w:right w:w="150" w:type="dxa"/>
            </w:tcMar>
          </w:tcPr>
          <w:p>
            <w:pPr>
              <w:jc w:val="left"/>
            </w:pPr>
            <w:r>
              <w:rPr>
                <w:rFonts w:ascii="Calibri" w:hAnsi="Calibri"/>
                <w:b/>
                <w:color w:val="FFFFFF"/>
                <w:sz w:val="19"/>
              </w:rPr>
              <w:t>Key Deliverables</w:t>
            </w:r>
          </w:p>
        </w:tc>
        <w:tc>
          <w:tcPr>
            <w:tcW w:type="dxa" w:w="1296"/>
            <w:shd w:fill="0F2A4A"/>
            <w:tcMar>
              <w:top w:w="140" w:type="dxa"/>
              <w:bottom w:w="140" w:type="dxa"/>
              <w:left w:w="150" w:type="dxa"/>
              <w:right w:w="150" w:type="dxa"/>
            </w:tcMar>
          </w:tcPr>
          <w:p>
            <w:pPr>
              <w:jc w:val="left"/>
            </w:pPr>
            <w:r>
              <w:rPr>
                <w:rFonts w:ascii="Calibri" w:hAnsi="Calibri"/>
                <w:b/>
                <w:color w:val="FFFFFF"/>
                <w:sz w:val="19"/>
              </w:rPr>
              <w:t>Status</w:t>
            </w:r>
          </w:p>
        </w:tc>
      </w:tr>
      <w:tr>
        <w:tc>
          <w:tcPr>
            <w:tcW w:type="dxa" w:w="1872"/>
            <w:shd w:fill="FFFFFF"/>
            <w:tcMar>
              <w:top w:w="100" w:type="dxa"/>
              <w:bottom w:w="100" w:type="dxa"/>
              <w:left w:w="140" w:type="dxa"/>
              <w:right w:w="140" w:type="dxa"/>
            </w:tcMar>
          </w:tcPr>
          <w:p>
            <w:pPr>
              <w:spacing w:line="276" w:lineRule="auto"/>
              <w:jc w:val="left"/>
            </w:pPr>
            <w:r>
              <w:rPr>
                <w:rFonts w:ascii="Calibri" w:hAnsi="Calibri"/>
                <w:color w:val="2D3748"/>
                <w:sz w:val="18"/>
              </w:rPr>
              <w:t>Phase 1 (MVP)</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Web Application &amp; Core Dual Engine</w:t>
            </w:r>
          </w:p>
        </w:tc>
        <w:tc>
          <w:tcPr>
            <w:tcW w:type="dxa" w:w="3600"/>
            <w:shd w:fill="FFFFFF"/>
            <w:tcMar>
              <w:top w:w="100" w:type="dxa"/>
              <w:bottom w:w="100" w:type="dxa"/>
              <w:left w:w="140" w:type="dxa"/>
              <w:right w:w="140" w:type="dxa"/>
            </w:tcMar>
          </w:tcPr>
          <w:p>
            <w:pPr>
              <w:spacing w:line="276" w:lineRule="auto"/>
              <w:jc w:val="left"/>
            </w:pPr>
            <w:r>
              <w:rPr>
                <w:rFonts w:ascii="Calibri" w:hAnsi="Calibri"/>
                <w:color w:val="2D3748"/>
                <w:sz w:val="18"/>
              </w:rPr>
              <w:t>FastAPI backend, React 18 UI, 0-100 meter, red flags, 1930 formatter</w:t>
            </w:r>
          </w:p>
        </w:tc>
        <w:tc>
          <w:tcPr>
            <w:tcW w:type="dxa" w:w="1296"/>
            <w:shd w:fill="FFFFFF"/>
            <w:tcMar>
              <w:top w:w="100" w:type="dxa"/>
              <w:bottom w:w="100" w:type="dxa"/>
              <w:left w:w="140" w:type="dxa"/>
              <w:right w:w="140" w:type="dxa"/>
            </w:tcMar>
          </w:tcPr>
          <w:p>
            <w:pPr>
              <w:spacing w:line="276" w:lineRule="auto"/>
              <w:jc w:val="left"/>
            </w:pPr>
            <w:r>
              <w:rPr>
                <w:rFonts w:ascii="Calibri" w:hAnsi="Calibri"/>
                <w:color w:val="2D3748"/>
                <w:sz w:val="18"/>
              </w:rPr>
              <w:t>COMPLETE / EVALUATOR READY</w:t>
            </w:r>
          </w:p>
        </w:tc>
      </w:tr>
      <w:tr>
        <w:tc>
          <w:tcPr>
            <w:tcW w:type="dxa" w:w="1872"/>
            <w:shd w:fill="F7FAFC"/>
            <w:tcMar>
              <w:top w:w="100" w:type="dxa"/>
              <w:bottom w:w="100" w:type="dxa"/>
              <w:left w:w="140" w:type="dxa"/>
              <w:right w:w="140" w:type="dxa"/>
            </w:tcMar>
          </w:tcPr>
          <w:p>
            <w:pPr>
              <w:spacing w:line="276" w:lineRule="auto"/>
              <w:jc w:val="left"/>
            </w:pPr>
            <w:r>
              <w:rPr>
                <w:rFonts w:ascii="Calibri" w:hAnsi="Calibri"/>
                <w:color w:val="2D3748"/>
                <w:sz w:val="18"/>
              </w:rPr>
              <w:t>Phase 2 (Near-Term)</w:t>
            </w:r>
          </w:p>
        </w:tc>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Browser Extension &amp; Mail Integration</w:t>
            </w:r>
          </w:p>
        </w:tc>
        <w:tc>
          <w:tcPr>
            <w:tcW w:type="dxa" w:w="3600"/>
            <w:shd w:fill="F7FAFC"/>
            <w:tcMar>
              <w:top w:w="100" w:type="dxa"/>
              <w:bottom w:w="100" w:type="dxa"/>
              <w:left w:w="140" w:type="dxa"/>
              <w:right w:w="140" w:type="dxa"/>
            </w:tcMar>
          </w:tcPr>
          <w:p>
            <w:pPr>
              <w:spacing w:line="276" w:lineRule="auto"/>
              <w:jc w:val="left"/>
            </w:pPr>
            <w:r>
              <w:rPr>
                <w:rFonts w:ascii="Calibri" w:hAnsi="Calibri"/>
                <w:color w:val="2D3748"/>
                <w:sz w:val="18"/>
              </w:rPr>
              <w:t>One-click analysis inside Gmail, Outlook webmail, and WhatsApp Web</w:t>
            </w:r>
          </w:p>
        </w:tc>
        <w:tc>
          <w:tcPr>
            <w:tcW w:type="dxa" w:w="1296"/>
            <w:shd w:fill="F7FAFC"/>
            <w:tcMar>
              <w:top w:w="100" w:type="dxa"/>
              <w:bottom w:w="100" w:type="dxa"/>
              <w:left w:w="140" w:type="dxa"/>
              <w:right w:w="140" w:type="dxa"/>
            </w:tcMar>
          </w:tcPr>
          <w:p>
            <w:pPr>
              <w:spacing w:line="276" w:lineRule="auto"/>
              <w:jc w:val="left"/>
            </w:pPr>
            <w:r>
              <w:rPr>
                <w:rFonts w:ascii="Calibri" w:hAnsi="Calibri"/>
                <w:color w:val="2D3748"/>
                <w:sz w:val="18"/>
              </w:rPr>
              <w:t>Q1 2027 Roadmap</w:t>
            </w:r>
          </w:p>
        </w:tc>
      </w:tr>
      <w:tr>
        <w:tc>
          <w:tcPr>
            <w:tcW w:type="dxa" w:w="1872"/>
            <w:shd w:fill="FFFFFF"/>
            <w:tcMar>
              <w:top w:w="100" w:type="dxa"/>
              <w:bottom w:w="100" w:type="dxa"/>
              <w:left w:w="140" w:type="dxa"/>
              <w:right w:w="140" w:type="dxa"/>
            </w:tcMar>
          </w:tcPr>
          <w:p>
            <w:pPr>
              <w:spacing w:line="276" w:lineRule="auto"/>
              <w:jc w:val="left"/>
            </w:pPr>
            <w:r>
              <w:rPr>
                <w:rFonts w:ascii="Calibri" w:hAnsi="Calibri"/>
                <w:color w:val="2D3748"/>
                <w:sz w:val="18"/>
              </w:rPr>
              <w:t>Phase 3 (Enterprise)</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Android On-Device SMS Scanner &amp; Voice</w:t>
            </w:r>
          </w:p>
        </w:tc>
        <w:tc>
          <w:tcPr>
            <w:tcW w:type="dxa" w:w="3600"/>
            <w:shd w:fill="FFFFFF"/>
            <w:tcMar>
              <w:top w:w="100" w:type="dxa"/>
              <w:bottom w:w="100" w:type="dxa"/>
              <w:left w:w="140" w:type="dxa"/>
              <w:right w:w="140" w:type="dxa"/>
            </w:tcMar>
          </w:tcPr>
          <w:p>
            <w:pPr>
              <w:spacing w:line="276" w:lineRule="auto"/>
              <w:jc w:val="left"/>
            </w:pPr>
            <w:r>
              <w:rPr>
                <w:rFonts w:ascii="Calibri" w:hAnsi="Calibri"/>
                <w:color w:val="2D3748"/>
                <w:sz w:val="18"/>
              </w:rPr>
              <w:t>Background SMS reader with Hindi, Telugu, Tamil, and Bengali audio explanations</w:t>
            </w:r>
          </w:p>
        </w:tc>
        <w:tc>
          <w:tcPr>
            <w:tcW w:type="dxa" w:w="1296"/>
            <w:shd w:fill="FFFFFF"/>
            <w:tcMar>
              <w:top w:w="100" w:type="dxa"/>
              <w:bottom w:w="100" w:type="dxa"/>
              <w:left w:w="140" w:type="dxa"/>
              <w:right w:w="140" w:type="dxa"/>
            </w:tcMar>
          </w:tcPr>
          <w:p>
            <w:pPr>
              <w:spacing w:line="276" w:lineRule="auto"/>
              <w:jc w:val="left"/>
            </w:pPr>
            <w:r>
              <w:rPr>
                <w:rFonts w:ascii="Calibri" w:hAnsi="Calibri"/>
                <w:color w:val="2D3748"/>
                <w:sz w:val="18"/>
              </w:rPr>
              <w:t>Q2 2027 Roadmap</w:t>
            </w:r>
          </w:p>
        </w:tc>
      </w:tr>
    </w:tbl>
    <w:p>
      <w:pPr>
        <w:keepNext/>
        <w:spacing w:before="360" w:after="120"/>
      </w:pPr>
      <w:r>
        <w:rPr>
          <w:rFonts w:ascii="Calibri" w:hAnsi="Calibri"/>
          <w:b/>
          <w:color w:val="0F2A4A"/>
          <w:sz w:val="32"/>
        </w:rPr>
        <w:t>6. Functional Requirements (FR) with MoSCoW Prioritization</w:t>
      </w:r>
    </w:p>
    <w:p>
      <w:pPr>
        <w:spacing w:before="40" w:after="80" w:line="276" w:lineRule="auto"/>
      </w:pPr>
      <w:r>
        <w:rPr>
          <w:rFonts w:ascii="Calibri" w:hAnsi="Calibri"/>
          <w:color w:val="2D3748"/>
          <w:sz w:val="20"/>
        </w:rPr>
        <w:t>The functional requirements specify the complete behavioral capabilities of the system. Each requirement is mapped to its MoSCoW priority, user story, and formal acceptance criteria.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008"/>
            <w:shd w:fill="0F2A4A"/>
            <w:tcMar>
              <w:top w:w="140" w:type="dxa"/>
              <w:bottom w:w="140" w:type="dxa"/>
              <w:left w:w="150" w:type="dxa"/>
              <w:right w:w="150" w:type="dxa"/>
            </w:tcMar>
          </w:tcPr>
          <w:p>
            <w:pPr>
              <w:jc w:val="left"/>
            </w:pPr>
            <w:r>
              <w:rPr>
                <w:rFonts w:ascii="Calibri" w:hAnsi="Calibri"/>
                <w:b/>
                <w:color w:val="FFFFFF"/>
                <w:sz w:val="19"/>
              </w:rPr>
              <w:t>Req ID</w:t>
            </w:r>
          </w:p>
        </w:tc>
        <w:tc>
          <w:tcPr>
            <w:tcW w:type="dxa" w:w="2016"/>
            <w:shd w:fill="0F2A4A"/>
            <w:tcMar>
              <w:top w:w="140" w:type="dxa"/>
              <w:bottom w:w="140" w:type="dxa"/>
              <w:left w:w="150" w:type="dxa"/>
              <w:right w:w="150" w:type="dxa"/>
            </w:tcMar>
          </w:tcPr>
          <w:p>
            <w:pPr>
              <w:jc w:val="left"/>
            </w:pPr>
            <w:r>
              <w:rPr>
                <w:rFonts w:ascii="Calibri" w:hAnsi="Calibri"/>
                <w:b/>
                <w:color w:val="FFFFFF"/>
                <w:sz w:val="19"/>
              </w:rPr>
              <w:t>Requirement Name</w:t>
            </w:r>
          </w:p>
        </w:tc>
        <w:tc>
          <w:tcPr>
            <w:tcW w:type="dxa" w:w="1296"/>
            <w:shd w:fill="0F2A4A"/>
            <w:tcMar>
              <w:top w:w="140" w:type="dxa"/>
              <w:bottom w:w="140" w:type="dxa"/>
              <w:left w:w="150" w:type="dxa"/>
              <w:right w:w="150" w:type="dxa"/>
            </w:tcMar>
          </w:tcPr>
          <w:p>
            <w:pPr>
              <w:jc w:val="left"/>
            </w:pPr>
            <w:r>
              <w:rPr>
                <w:rFonts w:ascii="Calibri" w:hAnsi="Calibri"/>
                <w:b/>
                <w:color w:val="FFFFFF"/>
                <w:sz w:val="19"/>
              </w:rPr>
              <w:t>Priority</w:t>
            </w:r>
          </w:p>
        </w:tc>
        <w:tc>
          <w:tcPr>
            <w:tcW w:type="dxa" w:w="2592"/>
            <w:shd w:fill="0F2A4A"/>
            <w:tcMar>
              <w:top w:w="140" w:type="dxa"/>
              <w:bottom w:w="140" w:type="dxa"/>
              <w:left w:w="150" w:type="dxa"/>
              <w:right w:w="150" w:type="dxa"/>
            </w:tcMar>
          </w:tcPr>
          <w:p>
            <w:pPr>
              <w:jc w:val="left"/>
            </w:pPr>
            <w:r>
              <w:rPr>
                <w:rFonts w:ascii="Calibri" w:hAnsi="Calibri"/>
                <w:b/>
                <w:color w:val="FFFFFF"/>
                <w:sz w:val="19"/>
              </w:rPr>
              <w:t>Functional Specification</w:t>
            </w:r>
          </w:p>
        </w:tc>
        <w:tc>
          <w:tcPr>
            <w:tcW w:type="dxa" w:w="2448"/>
            <w:shd w:fill="0F2A4A"/>
            <w:tcMar>
              <w:top w:w="140" w:type="dxa"/>
              <w:bottom w:w="140" w:type="dxa"/>
              <w:left w:w="150" w:type="dxa"/>
              <w:right w:w="150" w:type="dxa"/>
            </w:tcMar>
          </w:tcPr>
          <w:p>
            <w:pPr>
              <w:jc w:val="left"/>
            </w:pPr>
            <w:r>
              <w:rPr>
                <w:rFonts w:ascii="Calibri" w:hAnsi="Calibri"/>
                <w:b/>
                <w:color w:val="FFFFFF"/>
                <w:sz w:val="19"/>
              </w:rPr>
              <w:t>Acceptance Criteria</w:t>
            </w:r>
          </w:p>
        </w:tc>
      </w:tr>
      <w:tr>
        <w:tc>
          <w:tcPr>
            <w:tcW w:type="dxa" w:w="1008"/>
            <w:shd w:fill="FFFFFF"/>
            <w:tcMar>
              <w:top w:w="100" w:type="dxa"/>
              <w:bottom w:w="100" w:type="dxa"/>
              <w:left w:w="140" w:type="dxa"/>
              <w:right w:w="140" w:type="dxa"/>
            </w:tcMar>
          </w:tcPr>
          <w:p>
            <w:pPr>
              <w:spacing w:line="276" w:lineRule="auto"/>
              <w:jc w:val="left"/>
            </w:pPr>
            <w:r>
              <w:rPr>
                <w:rFonts w:ascii="Calibri" w:hAnsi="Calibri"/>
                <w:color w:val="2D3748"/>
                <w:sz w:val="18"/>
              </w:rPr>
              <w:t>FR-01</w:t>
            </w:r>
          </w:p>
        </w:tc>
        <w:tc>
          <w:tcPr>
            <w:tcW w:type="dxa" w:w="2016"/>
            <w:shd w:fill="FFFFFF"/>
            <w:tcMar>
              <w:top w:w="100" w:type="dxa"/>
              <w:bottom w:w="100" w:type="dxa"/>
              <w:left w:w="140" w:type="dxa"/>
              <w:right w:w="140" w:type="dxa"/>
            </w:tcMar>
          </w:tcPr>
          <w:p>
            <w:pPr>
              <w:spacing w:line="276" w:lineRule="auto"/>
              <w:jc w:val="left"/>
            </w:pPr>
            <w:r>
              <w:rPr>
                <w:rFonts w:ascii="Calibri" w:hAnsi="Calibri"/>
                <w:color w:val="2D3748"/>
                <w:sz w:val="18"/>
              </w:rPr>
              <w:t>Text Ingestion &amp; Sanitization</w:t>
            </w:r>
          </w:p>
        </w:tc>
        <w:tc>
          <w:tcPr>
            <w:tcW w:type="dxa" w:w="1296"/>
            <w:shd w:fill="FFFFFF"/>
            <w:tcMar>
              <w:top w:w="100" w:type="dxa"/>
              <w:bottom w:w="100" w:type="dxa"/>
              <w:left w:w="140" w:type="dxa"/>
              <w:right w:w="140" w:type="dxa"/>
            </w:tcMar>
          </w:tcPr>
          <w:p>
            <w:pPr>
              <w:spacing w:line="276" w:lineRule="auto"/>
              <w:jc w:val="left"/>
            </w:pPr>
            <w:r>
              <w:rPr>
                <w:rFonts w:ascii="Calibri" w:hAnsi="Calibri"/>
                <w:color w:val="2D3748"/>
                <w:sz w:val="18"/>
              </w:rPr>
              <w:t>Must Have</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Accepts text up to 10,000 characters from web UI. Strips hidden zero-width control chars.</w:t>
            </w:r>
          </w:p>
        </w:tc>
        <w:tc>
          <w:tcPr>
            <w:tcW w:type="dxa" w:w="2448"/>
            <w:shd w:fill="FFFFFF"/>
            <w:tcMar>
              <w:top w:w="100" w:type="dxa"/>
              <w:bottom w:w="100" w:type="dxa"/>
              <w:left w:w="140" w:type="dxa"/>
              <w:right w:w="140" w:type="dxa"/>
            </w:tcMar>
          </w:tcPr>
          <w:p>
            <w:pPr>
              <w:spacing w:line="276" w:lineRule="auto"/>
              <w:jc w:val="left"/>
            </w:pPr>
            <w:r>
              <w:rPr>
                <w:rFonts w:ascii="Calibri" w:hAnsi="Calibri"/>
                <w:color w:val="2D3748"/>
                <w:sz w:val="18"/>
              </w:rPr>
              <w:t>Rejects empty or &lt;3 char inputs with HTTP 400. Handles emojis &amp; multi-line inputs safely.</w:t>
            </w:r>
          </w:p>
        </w:tc>
      </w:tr>
      <w:tr>
        <w:tc>
          <w:tcPr>
            <w:tcW w:type="dxa" w:w="1008"/>
            <w:shd w:fill="F7FAFC"/>
            <w:tcMar>
              <w:top w:w="100" w:type="dxa"/>
              <w:bottom w:w="100" w:type="dxa"/>
              <w:left w:w="140" w:type="dxa"/>
              <w:right w:w="140" w:type="dxa"/>
            </w:tcMar>
          </w:tcPr>
          <w:p>
            <w:pPr>
              <w:spacing w:line="276" w:lineRule="auto"/>
              <w:jc w:val="left"/>
            </w:pPr>
            <w:r>
              <w:rPr>
                <w:rFonts w:ascii="Calibri" w:hAnsi="Calibri"/>
                <w:color w:val="2D3748"/>
                <w:sz w:val="18"/>
              </w:rPr>
              <w:t>FR-02</w:t>
            </w:r>
          </w:p>
        </w:tc>
        <w:tc>
          <w:tcPr>
            <w:tcW w:type="dxa" w:w="2016"/>
            <w:shd w:fill="F7FAFC"/>
            <w:tcMar>
              <w:top w:w="100" w:type="dxa"/>
              <w:bottom w:w="100" w:type="dxa"/>
              <w:left w:w="140" w:type="dxa"/>
              <w:right w:w="140" w:type="dxa"/>
            </w:tcMar>
          </w:tcPr>
          <w:p>
            <w:pPr>
              <w:spacing w:line="276" w:lineRule="auto"/>
              <w:jc w:val="left"/>
            </w:pPr>
            <w:r>
              <w:rPr>
                <w:rFonts w:ascii="Calibri" w:hAnsi="Calibri"/>
                <w:color w:val="2D3748"/>
                <w:sz w:val="18"/>
              </w:rPr>
              <w:t>Deterministic Rule Engine</w:t>
            </w:r>
          </w:p>
        </w:tc>
        <w:tc>
          <w:tcPr>
            <w:tcW w:type="dxa" w:w="1296"/>
            <w:shd w:fill="F7FAFC"/>
            <w:tcMar>
              <w:top w:w="100" w:type="dxa"/>
              <w:bottom w:w="100" w:type="dxa"/>
              <w:left w:w="140" w:type="dxa"/>
              <w:right w:w="140" w:type="dxa"/>
            </w:tcMar>
          </w:tcPr>
          <w:p>
            <w:pPr>
              <w:spacing w:line="276" w:lineRule="auto"/>
              <w:jc w:val="left"/>
            </w:pPr>
            <w:r>
              <w:rPr>
                <w:rFonts w:ascii="Calibri" w:hAnsi="Calibri"/>
                <w:color w:val="2D3748"/>
                <w:sz w:val="18"/>
              </w:rPr>
              <w:t>Must Have</w:t>
            </w:r>
          </w:p>
        </w:tc>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Regex &amp; heuristic analyzer scanning for 40+ fraud indicators (KYC, urgent deadlines, APKs, shortlinks).</w:t>
            </w:r>
          </w:p>
        </w:tc>
        <w:tc>
          <w:tcPr>
            <w:tcW w:type="dxa" w:w="2448"/>
            <w:shd w:fill="F7FAFC"/>
            <w:tcMar>
              <w:top w:w="100" w:type="dxa"/>
              <w:bottom w:w="100" w:type="dxa"/>
              <w:left w:w="140" w:type="dxa"/>
              <w:right w:w="140" w:type="dxa"/>
            </w:tcMar>
          </w:tcPr>
          <w:p>
            <w:pPr>
              <w:spacing w:line="276" w:lineRule="auto"/>
              <w:jc w:val="left"/>
            </w:pPr>
            <w:r>
              <w:rPr>
                <w:rFonts w:ascii="Calibri" w:hAnsi="Calibri"/>
                <w:color w:val="2D3748"/>
                <w:sz w:val="18"/>
              </w:rPr>
              <w:t>Executes in &lt; 50ms without external network calls; produces baseline risk score.</w:t>
            </w:r>
          </w:p>
        </w:tc>
      </w:tr>
      <w:tr>
        <w:tc>
          <w:tcPr>
            <w:tcW w:type="dxa" w:w="1008"/>
            <w:shd w:fill="FFFFFF"/>
            <w:tcMar>
              <w:top w:w="100" w:type="dxa"/>
              <w:bottom w:w="100" w:type="dxa"/>
              <w:left w:w="140" w:type="dxa"/>
              <w:right w:w="140" w:type="dxa"/>
            </w:tcMar>
          </w:tcPr>
          <w:p>
            <w:pPr>
              <w:spacing w:line="276" w:lineRule="auto"/>
              <w:jc w:val="left"/>
            </w:pPr>
            <w:r>
              <w:rPr>
                <w:rFonts w:ascii="Calibri" w:hAnsi="Calibri"/>
                <w:color w:val="2D3748"/>
                <w:sz w:val="18"/>
              </w:rPr>
              <w:t>FR-03</w:t>
            </w:r>
          </w:p>
        </w:tc>
        <w:tc>
          <w:tcPr>
            <w:tcW w:type="dxa" w:w="2016"/>
            <w:shd w:fill="FFFFFF"/>
            <w:tcMar>
              <w:top w:w="100" w:type="dxa"/>
              <w:bottom w:w="100" w:type="dxa"/>
              <w:left w:w="140" w:type="dxa"/>
              <w:right w:w="140" w:type="dxa"/>
            </w:tcMar>
          </w:tcPr>
          <w:p>
            <w:pPr>
              <w:spacing w:line="276" w:lineRule="auto"/>
              <w:jc w:val="left"/>
            </w:pPr>
            <w:r>
              <w:rPr>
                <w:rFonts w:ascii="Calibri" w:hAnsi="Calibri"/>
                <w:color w:val="2D3748"/>
                <w:sz w:val="18"/>
              </w:rPr>
              <w:t>Cognitive LLM Semantic Engine</w:t>
            </w:r>
          </w:p>
        </w:tc>
        <w:tc>
          <w:tcPr>
            <w:tcW w:type="dxa" w:w="1296"/>
            <w:shd w:fill="FFFFFF"/>
            <w:tcMar>
              <w:top w:w="100" w:type="dxa"/>
              <w:bottom w:w="100" w:type="dxa"/>
              <w:left w:w="140" w:type="dxa"/>
              <w:right w:w="140" w:type="dxa"/>
            </w:tcMar>
          </w:tcPr>
          <w:p>
            <w:pPr>
              <w:spacing w:line="276" w:lineRule="auto"/>
              <w:jc w:val="left"/>
            </w:pPr>
            <w:r>
              <w:rPr>
                <w:rFonts w:ascii="Calibri" w:hAnsi="Calibri"/>
                <w:color w:val="2D3748"/>
                <w:sz w:val="18"/>
              </w:rPr>
              <w:t>Must Have</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Integrates Gemini/Claude/OpenAI with system prompts enforcing JSON structured output.</w:t>
            </w:r>
          </w:p>
        </w:tc>
        <w:tc>
          <w:tcPr>
            <w:tcW w:type="dxa" w:w="2448"/>
            <w:shd w:fill="FFFFFF"/>
            <w:tcMar>
              <w:top w:w="100" w:type="dxa"/>
              <w:bottom w:w="100" w:type="dxa"/>
              <w:left w:w="140" w:type="dxa"/>
              <w:right w:w="140" w:type="dxa"/>
            </w:tcMar>
          </w:tcPr>
          <w:p>
            <w:pPr>
              <w:spacing w:line="276" w:lineRule="auto"/>
              <w:jc w:val="left"/>
            </w:pPr>
            <w:r>
              <w:rPr>
                <w:rFonts w:ascii="Calibri" w:hAnsi="Calibri"/>
                <w:color w:val="2D3748"/>
                <w:sz w:val="18"/>
              </w:rPr>
              <w:t>Produces structured JSON containing risk_score, category, summary, red_flags, and checklist.</w:t>
            </w:r>
          </w:p>
        </w:tc>
      </w:tr>
      <w:tr>
        <w:tc>
          <w:tcPr>
            <w:tcW w:type="dxa" w:w="1008"/>
            <w:shd w:fill="F7FAFC"/>
            <w:tcMar>
              <w:top w:w="100" w:type="dxa"/>
              <w:bottom w:w="100" w:type="dxa"/>
              <w:left w:w="140" w:type="dxa"/>
              <w:right w:w="140" w:type="dxa"/>
            </w:tcMar>
          </w:tcPr>
          <w:p>
            <w:pPr>
              <w:spacing w:line="276" w:lineRule="auto"/>
              <w:jc w:val="left"/>
            </w:pPr>
            <w:r>
              <w:rPr>
                <w:rFonts w:ascii="Calibri" w:hAnsi="Calibri"/>
                <w:color w:val="2D3748"/>
                <w:sz w:val="18"/>
              </w:rPr>
              <w:t>FR-04</w:t>
            </w:r>
          </w:p>
        </w:tc>
        <w:tc>
          <w:tcPr>
            <w:tcW w:type="dxa" w:w="2016"/>
            <w:shd w:fill="F7FAFC"/>
            <w:tcMar>
              <w:top w:w="100" w:type="dxa"/>
              <w:bottom w:w="100" w:type="dxa"/>
              <w:left w:w="140" w:type="dxa"/>
              <w:right w:w="140" w:type="dxa"/>
            </w:tcMar>
          </w:tcPr>
          <w:p>
            <w:pPr>
              <w:spacing w:line="276" w:lineRule="auto"/>
              <w:jc w:val="left"/>
            </w:pPr>
            <w:r>
              <w:rPr>
                <w:rFonts w:ascii="Calibri" w:hAnsi="Calibri"/>
                <w:color w:val="2D3748"/>
                <w:sz w:val="18"/>
              </w:rPr>
              <w:t>Schema Validation &amp; Fallback Guardrails</w:t>
            </w:r>
          </w:p>
        </w:tc>
        <w:tc>
          <w:tcPr>
            <w:tcW w:type="dxa" w:w="1296"/>
            <w:shd w:fill="F7FAFC"/>
            <w:tcMar>
              <w:top w:w="100" w:type="dxa"/>
              <w:bottom w:w="100" w:type="dxa"/>
              <w:left w:w="140" w:type="dxa"/>
              <w:right w:w="140" w:type="dxa"/>
            </w:tcMar>
          </w:tcPr>
          <w:p>
            <w:pPr>
              <w:spacing w:line="276" w:lineRule="auto"/>
              <w:jc w:val="left"/>
            </w:pPr>
            <w:r>
              <w:rPr>
                <w:rFonts w:ascii="Calibri" w:hAnsi="Calibri"/>
                <w:color w:val="2D3748"/>
                <w:sz w:val="18"/>
              </w:rPr>
              <w:t>Must Have</w:t>
            </w:r>
          </w:p>
        </w:tc>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Validates LLM outputs against Pydantic schema. Falls back to heuristic engine on parse failure.</w:t>
            </w:r>
          </w:p>
        </w:tc>
        <w:tc>
          <w:tcPr>
            <w:tcW w:type="dxa" w:w="2448"/>
            <w:shd w:fill="F7FAFC"/>
            <w:tcMar>
              <w:top w:w="100" w:type="dxa"/>
              <w:bottom w:w="100" w:type="dxa"/>
              <w:left w:w="140" w:type="dxa"/>
              <w:right w:w="140" w:type="dxa"/>
            </w:tcMar>
          </w:tcPr>
          <w:p>
            <w:pPr>
              <w:spacing w:line="276" w:lineRule="auto"/>
              <w:jc w:val="left"/>
            </w:pPr>
            <w:r>
              <w:rPr>
                <w:rFonts w:ascii="Calibri" w:hAnsi="Calibri"/>
                <w:color w:val="2D3748"/>
                <w:sz w:val="18"/>
              </w:rPr>
              <w:t>Zero crashes if an LLM outputs malformed text or API times out.</w:t>
            </w:r>
          </w:p>
        </w:tc>
      </w:tr>
      <w:tr>
        <w:tc>
          <w:tcPr>
            <w:tcW w:type="dxa" w:w="1008"/>
            <w:shd w:fill="FFFFFF"/>
            <w:tcMar>
              <w:top w:w="100" w:type="dxa"/>
              <w:bottom w:w="100" w:type="dxa"/>
              <w:left w:w="140" w:type="dxa"/>
              <w:right w:w="140" w:type="dxa"/>
            </w:tcMar>
          </w:tcPr>
          <w:p>
            <w:pPr>
              <w:spacing w:line="276" w:lineRule="auto"/>
              <w:jc w:val="left"/>
            </w:pPr>
            <w:r>
              <w:rPr>
                <w:rFonts w:ascii="Calibri" w:hAnsi="Calibri"/>
                <w:color w:val="2D3748"/>
                <w:sz w:val="18"/>
              </w:rPr>
              <w:t>FR-05</w:t>
            </w:r>
          </w:p>
        </w:tc>
        <w:tc>
          <w:tcPr>
            <w:tcW w:type="dxa" w:w="2016"/>
            <w:shd w:fill="FFFFFF"/>
            <w:tcMar>
              <w:top w:w="100" w:type="dxa"/>
              <w:bottom w:w="100" w:type="dxa"/>
              <w:left w:w="140" w:type="dxa"/>
              <w:right w:w="140" w:type="dxa"/>
            </w:tcMar>
          </w:tcPr>
          <w:p>
            <w:pPr>
              <w:spacing w:line="276" w:lineRule="auto"/>
              <w:jc w:val="left"/>
            </w:pPr>
            <w:r>
              <w:rPr>
                <w:rFonts w:ascii="Calibri" w:hAnsi="Calibri"/>
                <w:color w:val="2D3748"/>
                <w:sz w:val="18"/>
              </w:rPr>
              <w:t>Dynamic 0-100 Risk Scoring</w:t>
            </w:r>
          </w:p>
        </w:tc>
        <w:tc>
          <w:tcPr>
            <w:tcW w:type="dxa" w:w="1296"/>
            <w:shd w:fill="FFFFFF"/>
            <w:tcMar>
              <w:top w:w="100" w:type="dxa"/>
              <w:bottom w:w="100" w:type="dxa"/>
              <w:left w:w="140" w:type="dxa"/>
              <w:right w:w="140" w:type="dxa"/>
            </w:tcMar>
          </w:tcPr>
          <w:p>
            <w:pPr>
              <w:spacing w:line="276" w:lineRule="auto"/>
              <w:jc w:val="left"/>
            </w:pPr>
            <w:r>
              <w:rPr>
                <w:rFonts w:ascii="Calibri" w:hAnsi="Calibri"/>
                <w:color w:val="2D3748"/>
                <w:sz w:val="18"/>
              </w:rPr>
              <w:t>Must Have</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Normalizes threat score: Safe (0-30, Green), Suspicious (31-69, Amber), Likely Scam (70-100, Red).</w:t>
            </w:r>
          </w:p>
        </w:tc>
        <w:tc>
          <w:tcPr>
            <w:tcW w:type="dxa" w:w="2448"/>
            <w:shd w:fill="FFFFFF"/>
            <w:tcMar>
              <w:top w:w="100" w:type="dxa"/>
              <w:bottom w:w="100" w:type="dxa"/>
              <w:left w:w="140" w:type="dxa"/>
              <w:right w:w="140" w:type="dxa"/>
            </w:tcMar>
          </w:tcPr>
          <w:p>
            <w:pPr>
              <w:spacing w:line="276" w:lineRule="auto"/>
              <w:jc w:val="left"/>
            </w:pPr>
            <w:r>
              <w:rPr>
                <w:rFonts w:ascii="Calibri" w:hAnsi="Calibri"/>
                <w:color w:val="2D3748"/>
                <w:sz w:val="18"/>
              </w:rPr>
              <w:t>Color gauge and badge dynamically update in UI according to score threshold.</w:t>
            </w:r>
          </w:p>
        </w:tc>
      </w:tr>
      <w:tr>
        <w:tc>
          <w:tcPr>
            <w:tcW w:type="dxa" w:w="1008"/>
            <w:shd w:fill="F7FAFC"/>
            <w:tcMar>
              <w:top w:w="100" w:type="dxa"/>
              <w:bottom w:w="100" w:type="dxa"/>
              <w:left w:w="140" w:type="dxa"/>
              <w:right w:w="140" w:type="dxa"/>
            </w:tcMar>
          </w:tcPr>
          <w:p>
            <w:pPr>
              <w:spacing w:line="276" w:lineRule="auto"/>
              <w:jc w:val="left"/>
            </w:pPr>
            <w:r>
              <w:rPr>
                <w:rFonts w:ascii="Calibri" w:hAnsi="Calibri"/>
                <w:color w:val="2D3748"/>
                <w:sz w:val="18"/>
              </w:rPr>
              <w:t>FR-06</w:t>
            </w:r>
          </w:p>
        </w:tc>
        <w:tc>
          <w:tcPr>
            <w:tcW w:type="dxa" w:w="2016"/>
            <w:shd w:fill="F7FAFC"/>
            <w:tcMar>
              <w:top w:w="100" w:type="dxa"/>
              <w:bottom w:w="100" w:type="dxa"/>
              <w:left w:w="140" w:type="dxa"/>
              <w:right w:w="140" w:type="dxa"/>
            </w:tcMar>
          </w:tcPr>
          <w:p>
            <w:pPr>
              <w:spacing w:line="276" w:lineRule="auto"/>
              <w:jc w:val="left"/>
            </w:pPr>
            <w:r>
              <w:rPr>
                <w:rFonts w:ascii="Calibri" w:hAnsi="Calibri"/>
                <w:color w:val="2D3748"/>
                <w:sz w:val="18"/>
              </w:rPr>
              <w:t>In-Context Red Flag Highlighter</w:t>
            </w:r>
          </w:p>
        </w:tc>
        <w:tc>
          <w:tcPr>
            <w:tcW w:type="dxa" w:w="1296"/>
            <w:shd w:fill="F7FAFC"/>
            <w:tcMar>
              <w:top w:w="100" w:type="dxa"/>
              <w:bottom w:w="100" w:type="dxa"/>
              <w:left w:w="140" w:type="dxa"/>
              <w:right w:w="140" w:type="dxa"/>
            </w:tcMar>
          </w:tcPr>
          <w:p>
            <w:pPr>
              <w:spacing w:line="276" w:lineRule="auto"/>
              <w:jc w:val="left"/>
            </w:pPr>
            <w:r>
              <w:rPr>
                <w:rFonts w:ascii="Calibri" w:hAnsi="Calibri"/>
                <w:color w:val="2D3748"/>
                <w:sz w:val="18"/>
              </w:rPr>
              <w:t>Must Have</w:t>
            </w:r>
          </w:p>
        </w:tc>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Matches returned deceptive quotes against original text and renders colored interactive spans.</w:t>
            </w:r>
          </w:p>
        </w:tc>
        <w:tc>
          <w:tcPr>
            <w:tcW w:type="dxa" w:w="2448"/>
            <w:shd w:fill="F7FAFC"/>
            <w:tcMar>
              <w:top w:w="100" w:type="dxa"/>
              <w:bottom w:w="100" w:type="dxa"/>
              <w:left w:w="140" w:type="dxa"/>
              <w:right w:w="140" w:type="dxa"/>
            </w:tcMar>
          </w:tcPr>
          <w:p>
            <w:pPr>
              <w:spacing w:line="276" w:lineRule="auto"/>
              <w:jc w:val="left"/>
            </w:pPr>
            <w:r>
              <w:rPr>
                <w:rFonts w:ascii="Calibri" w:hAnsi="Calibri"/>
                <w:color w:val="2D3748"/>
                <w:sz w:val="18"/>
              </w:rPr>
              <w:t>Clicking or hovering over flagged span renders the exact manipulation explanation.</w:t>
            </w:r>
          </w:p>
        </w:tc>
      </w:tr>
      <w:tr>
        <w:tc>
          <w:tcPr>
            <w:tcW w:type="dxa" w:w="1008"/>
            <w:shd w:fill="FFFFFF"/>
            <w:tcMar>
              <w:top w:w="100" w:type="dxa"/>
              <w:bottom w:w="100" w:type="dxa"/>
              <w:left w:w="140" w:type="dxa"/>
              <w:right w:w="140" w:type="dxa"/>
            </w:tcMar>
          </w:tcPr>
          <w:p>
            <w:pPr>
              <w:spacing w:line="276" w:lineRule="auto"/>
              <w:jc w:val="left"/>
            </w:pPr>
            <w:r>
              <w:rPr>
                <w:rFonts w:ascii="Calibri" w:hAnsi="Calibri"/>
                <w:color w:val="2D3748"/>
                <w:sz w:val="18"/>
              </w:rPr>
              <w:t>FR-07</w:t>
            </w:r>
          </w:p>
        </w:tc>
        <w:tc>
          <w:tcPr>
            <w:tcW w:type="dxa" w:w="2016"/>
            <w:shd w:fill="FFFFFF"/>
            <w:tcMar>
              <w:top w:w="100" w:type="dxa"/>
              <w:bottom w:w="100" w:type="dxa"/>
              <w:left w:w="140" w:type="dxa"/>
              <w:right w:w="140" w:type="dxa"/>
            </w:tcMar>
          </w:tcPr>
          <w:p>
            <w:pPr>
              <w:spacing w:line="276" w:lineRule="auto"/>
              <w:jc w:val="left"/>
            </w:pPr>
            <w:r>
              <w:rPr>
                <w:rFonts w:ascii="Calibri" w:hAnsi="Calibri"/>
                <w:color w:val="2D3748"/>
                <w:sz w:val="18"/>
              </w:rPr>
              <w:t>Actionable Safety Protocol</w:t>
            </w:r>
          </w:p>
        </w:tc>
        <w:tc>
          <w:tcPr>
            <w:tcW w:type="dxa" w:w="1296"/>
            <w:shd w:fill="FFFFFF"/>
            <w:tcMar>
              <w:top w:w="100" w:type="dxa"/>
              <w:bottom w:w="100" w:type="dxa"/>
              <w:left w:w="140" w:type="dxa"/>
              <w:right w:w="140" w:type="dxa"/>
            </w:tcMar>
          </w:tcPr>
          <w:p>
            <w:pPr>
              <w:spacing w:line="276" w:lineRule="auto"/>
              <w:jc w:val="left"/>
            </w:pPr>
            <w:r>
              <w:rPr>
                <w:rFonts w:ascii="Calibri" w:hAnsi="Calibri"/>
                <w:color w:val="2D3748"/>
                <w:sz w:val="18"/>
              </w:rPr>
              <w:t>Must Have</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Generates dynamic 'What To Do' and 'What NOT To Do' checklists tailored to threat category.</w:t>
            </w:r>
          </w:p>
        </w:tc>
        <w:tc>
          <w:tcPr>
            <w:tcW w:type="dxa" w:w="2448"/>
            <w:shd w:fill="FFFFFF"/>
            <w:tcMar>
              <w:top w:w="100" w:type="dxa"/>
              <w:bottom w:w="100" w:type="dxa"/>
              <w:left w:w="140" w:type="dxa"/>
              <w:right w:w="140" w:type="dxa"/>
            </w:tcMar>
          </w:tcPr>
          <w:p>
            <w:pPr>
              <w:spacing w:line="276" w:lineRule="auto"/>
              <w:jc w:val="left"/>
            </w:pPr>
            <w:r>
              <w:rPr>
                <w:rFonts w:ascii="Calibri" w:hAnsi="Calibri"/>
                <w:color w:val="2D3748"/>
                <w:sz w:val="18"/>
              </w:rPr>
              <w:t>Checkboxes are interactively toggleable by the citizen in real-time.</w:t>
            </w:r>
          </w:p>
        </w:tc>
      </w:tr>
      <w:tr>
        <w:tc>
          <w:tcPr>
            <w:tcW w:type="dxa" w:w="1008"/>
            <w:shd w:fill="F7FAFC"/>
            <w:tcMar>
              <w:top w:w="100" w:type="dxa"/>
              <w:bottom w:w="100" w:type="dxa"/>
              <w:left w:w="140" w:type="dxa"/>
              <w:right w:w="140" w:type="dxa"/>
            </w:tcMar>
          </w:tcPr>
          <w:p>
            <w:pPr>
              <w:spacing w:line="276" w:lineRule="auto"/>
              <w:jc w:val="left"/>
            </w:pPr>
            <w:r>
              <w:rPr>
                <w:rFonts w:ascii="Calibri" w:hAnsi="Calibri"/>
                <w:color w:val="2D3748"/>
                <w:sz w:val="18"/>
              </w:rPr>
              <w:t>FR-08</w:t>
            </w:r>
          </w:p>
        </w:tc>
        <w:tc>
          <w:tcPr>
            <w:tcW w:type="dxa" w:w="2016"/>
            <w:shd w:fill="F7FAFC"/>
            <w:tcMar>
              <w:top w:w="100" w:type="dxa"/>
              <w:bottom w:w="100" w:type="dxa"/>
              <w:left w:w="140" w:type="dxa"/>
              <w:right w:w="140" w:type="dxa"/>
            </w:tcMar>
          </w:tcPr>
          <w:p>
            <w:pPr>
              <w:spacing w:line="276" w:lineRule="auto"/>
              <w:jc w:val="left"/>
            </w:pPr>
            <w:r>
              <w:rPr>
                <w:rFonts w:ascii="Calibri" w:hAnsi="Calibri"/>
                <w:color w:val="2D3748"/>
                <w:sz w:val="18"/>
              </w:rPr>
              <w:t>1-Click Incident Complaint Formatter</w:t>
            </w:r>
          </w:p>
        </w:tc>
        <w:tc>
          <w:tcPr>
            <w:tcW w:type="dxa" w:w="1296"/>
            <w:shd w:fill="F7FAFC"/>
            <w:tcMar>
              <w:top w:w="100" w:type="dxa"/>
              <w:bottom w:w="100" w:type="dxa"/>
              <w:left w:w="140" w:type="dxa"/>
              <w:right w:w="140" w:type="dxa"/>
            </w:tcMar>
          </w:tcPr>
          <w:p>
            <w:pPr>
              <w:spacing w:line="276" w:lineRule="auto"/>
              <w:jc w:val="left"/>
            </w:pPr>
            <w:r>
              <w:rPr>
                <w:rFonts w:ascii="Calibri" w:hAnsi="Calibri"/>
                <w:color w:val="2D3748"/>
                <w:sz w:val="18"/>
              </w:rPr>
              <w:t>Should Have</w:t>
            </w:r>
          </w:p>
        </w:tc>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Assembles incident summary, sender, flagged URLs, and timestamps into standardized 1930 report.</w:t>
            </w:r>
          </w:p>
        </w:tc>
        <w:tc>
          <w:tcPr>
            <w:tcW w:type="dxa" w:w="2448"/>
            <w:shd w:fill="F7FAFC"/>
            <w:tcMar>
              <w:top w:w="100" w:type="dxa"/>
              <w:bottom w:w="100" w:type="dxa"/>
              <w:left w:w="140" w:type="dxa"/>
              <w:right w:w="140" w:type="dxa"/>
            </w:tcMar>
          </w:tcPr>
          <w:p>
            <w:pPr>
              <w:spacing w:line="276" w:lineRule="auto"/>
              <w:jc w:val="left"/>
            </w:pPr>
            <w:r>
              <w:rPr>
                <w:rFonts w:ascii="Calibri" w:hAnsi="Calibri"/>
                <w:color w:val="2D3748"/>
                <w:sz w:val="18"/>
              </w:rPr>
              <w:t>One-click button copies complete complaint text to system clipboard.</w:t>
            </w:r>
          </w:p>
        </w:tc>
      </w:tr>
      <w:tr>
        <w:tc>
          <w:tcPr>
            <w:tcW w:type="dxa" w:w="1008"/>
            <w:shd w:fill="FFFFFF"/>
            <w:tcMar>
              <w:top w:w="100" w:type="dxa"/>
              <w:bottom w:w="100" w:type="dxa"/>
              <w:left w:w="140" w:type="dxa"/>
              <w:right w:w="140" w:type="dxa"/>
            </w:tcMar>
          </w:tcPr>
          <w:p>
            <w:pPr>
              <w:spacing w:line="276" w:lineRule="auto"/>
              <w:jc w:val="left"/>
            </w:pPr>
            <w:r>
              <w:rPr>
                <w:rFonts w:ascii="Calibri" w:hAnsi="Calibri"/>
                <w:color w:val="2D3748"/>
                <w:sz w:val="18"/>
              </w:rPr>
              <w:t>FR-09</w:t>
            </w:r>
          </w:p>
        </w:tc>
        <w:tc>
          <w:tcPr>
            <w:tcW w:type="dxa" w:w="2016"/>
            <w:shd w:fill="FFFFFF"/>
            <w:tcMar>
              <w:top w:w="100" w:type="dxa"/>
              <w:bottom w:w="100" w:type="dxa"/>
              <w:left w:w="140" w:type="dxa"/>
              <w:right w:w="140" w:type="dxa"/>
            </w:tcMar>
          </w:tcPr>
          <w:p>
            <w:pPr>
              <w:spacing w:line="276" w:lineRule="auto"/>
              <w:jc w:val="left"/>
            </w:pPr>
            <w:r>
              <w:rPr>
                <w:rFonts w:ascii="Calibri" w:hAnsi="Calibri"/>
                <w:color w:val="2D3748"/>
                <w:sz w:val="18"/>
              </w:rPr>
              <w:t>Privacy-Preserving History Drawer</w:t>
            </w:r>
          </w:p>
        </w:tc>
        <w:tc>
          <w:tcPr>
            <w:tcW w:type="dxa" w:w="1296"/>
            <w:shd w:fill="FFFFFF"/>
            <w:tcMar>
              <w:top w:w="100" w:type="dxa"/>
              <w:bottom w:w="100" w:type="dxa"/>
              <w:left w:w="140" w:type="dxa"/>
              <w:right w:w="140" w:type="dxa"/>
            </w:tcMar>
          </w:tcPr>
          <w:p>
            <w:pPr>
              <w:spacing w:line="276" w:lineRule="auto"/>
              <w:jc w:val="left"/>
            </w:pPr>
            <w:r>
              <w:rPr>
                <w:rFonts w:ascii="Calibri" w:hAnsi="Calibri"/>
                <w:color w:val="2D3748"/>
                <w:sz w:val="18"/>
              </w:rPr>
              <w:t>Should Have</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Persists scan results in browser localStorage. Allows filtering, viewing, and clearing.</w:t>
            </w:r>
          </w:p>
        </w:tc>
        <w:tc>
          <w:tcPr>
            <w:tcW w:type="dxa" w:w="2448"/>
            <w:shd w:fill="FFFFFF"/>
            <w:tcMar>
              <w:top w:w="100" w:type="dxa"/>
              <w:bottom w:w="100" w:type="dxa"/>
              <w:left w:w="140" w:type="dxa"/>
              <w:right w:w="140" w:type="dxa"/>
            </w:tcMar>
          </w:tcPr>
          <w:p>
            <w:pPr>
              <w:spacing w:line="276" w:lineRule="auto"/>
              <w:jc w:val="left"/>
            </w:pPr>
            <w:r>
              <w:rPr>
                <w:rFonts w:ascii="Calibri" w:hAnsi="Calibri"/>
                <w:color w:val="2D3748"/>
                <w:sz w:val="18"/>
              </w:rPr>
              <w:t>No user message or scan history is ever stored in backend databases or server files.</w:t>
            </w:r>
          </w:p>
        </w:tc>
      </w:tr>
      <w:tr>
        <w:tc>
          <w:tcPr>
            <w:tcW w:type="dxa" w:w="1008"/>
            <w:shd w:fill="F7FAFC"/>
            <w:tcMar>
              <w:top w:w="100" w:type="dxa"/>
              <w:bottom w:w="100" w:type="dxa"/>
              <w:left w:w="140" w:type="dxa"/>
              <w:right w:w="140" w:type="dxa"/>
            </w:tcMar>
          </w:tcPr>
          <w:p>
            <w:pPr>
              <w:spacing w:line="276" w:lineRule="auto"/>
              <w:jc w:val="left"/>
            </w:pPr>
            <w:r>
              <w:rPr>
                <w:rFonts w:ascii="Calibri" w:hAnsi="Calibri"/>
                <w:color w:val="2D3748"/>
                <w:sz w:val="18"/>
              </w:rPr>
              <w:t>FR-10</w:t>
            </w:r>
          </w:p>
        </w:tc>
        <w:tc>
          <w:tcPr>
            <w:tcW w:type="dxa" w:w="2016"/>
            <w:shd w:fill="F7FAFC"/>
            <w:tcMar>
              <w:top w:w="100" w:type="dxa"/>
              <w:bottom w:w="100" w:type="dxa"/>
              <w:left w:w="140" w:type="dxa"/>
              <w:right w:w="140" w:type="dxa"/>
            </w:tcMar>
          </w:tcPr>
          <w:p>
            <w:pPr>
              <w:spacing w:line="276" w:lineRule="auto"/>
              <w:jc w:val="left"/>
            </w:pPr>
            <w:r>
              <w:rPr>
                <w:rFonts w:ascii="Calibri" w:hAnsi="Calibri"/>
                <w:color w:val="2D3748"/>
                <w:sz w:val="18"/>
              </w:rPr>
              <w:t>Scam Awareness Knowledge Base</w:t>
            </w:r>
          </w:p>
        </w:tc>
        <w:tc>
          <w:tcPr>
            <w:tcW w:type="dxa" w:w="1296"/>
            <w:shd w:fill="F7FAFC"/>
            <w:tcMar>
              <w:top w:w="100" w:type="dxa"/>
              <w:bottom w:w="100" w:type="dxa"/>
              <w:left w:w="140" w:type="dxa"/>
              <w:right w:w="140" w:type="dxa"/>
            </w:tcMar>
          </w:tcPr>
          <w:p>
            <w:pPr>
              <w:spacing w:line="276" w:lineRule="auto"/>
              <w:jc w:val="left"/>
            </w:pPr>
            <w:r>
              <w:rPr>
                <w:rFonts w:ascii="Calibri" w:hAnsi="Calibri"/>
                <w:color w:val="2D3748"/>
                <w:sz w:val="18"/>
              </w:rPr>
              <w:t>Should Have</w:t>
            </w:r>
          </w:p>
        </w:tc>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Interactive educational modules covering top scam patterns (KYC, Job, UPI, Courier, Digital Arrest).</w:t>
            </w:r>
          </w:p>
        </w:tc>
        <w:tc>
          <w:tcPr>
            <w:tcW w:type="dxa" w:w="2448"/>
            <w:shd w:fill="F7FAFC"/>
            <w:tcMar>
              <w:top w:w="100" w:type="dxa"/>
              <w:bottom w:w="100" w:type="dxa"/>
              <w:left w:w="140" w:type="dxa"/>
              <w:right w:w="140" w:type="dxa"/>
            </w:tcMar>
          </w:tcPr>
          <w:p>
            <w:pPr>
              <w:spacing w:line="276" w:lineRule="auto"/>
              <w:jc w:val="left"/>
            </w:pPr>
            <w:r>
              <w:rPr>
                <w:rFonts w:ascii="Calibri" w:hAnsi="Calibri"/>
                <w:color w:val="2D3748"/>
                <w:sz w:val="18"/>
              </w:rPr>
              <w:t>Expandable educational cards render with examples, red flags, and preventive tips.</w:t>
            </w:r>
          </w:p>
        </w:tc>
      </w:tr>
      <w:tr>
        <w:tc>
          <w:tcPr>
            <w:tcW w:type="dxa" w:w="1008"/>
            <w:shd w:fill="FFFFFF"/>
            <w:tcMar>
              <w:top w:w="100" w:type="dxa"/>
              <w:bottom w:w="100" w:type="dxa"/>
              <w:left w:w="140" w:type="dxa"/>
              <w:right w:w="140" w:type="dxa"/>
            </w:tcMar>
          </w:tcPr>
          <w:p>
            <w:pPr>
              <w:spacing w:line="276" w:lineRule="auto"/>
              <w:jc w:val="left"/>
            </w:pPr>
            <w:r>
              <w:rPr>
                <w:rFonts w:ascii="Calibri" w:hAnsi="Calibri"/>
                <w:color w:val="2D3748"/>
                <w:sz w:val="18"/>
              </w:rPr>
              <w:t>FR-11</w:t>
            </w:r>
          </w:p>
        </w:tc>
        <w:tc>
          <w:tcPr>
            <w:tcW w:type="dxa" w:w="2016"/>
            <w:shd w:fill="FFFFFF"/>
            <w:tcMar>
              <w:top w:w="100" w:type="dxa"/>
              <w:bottom w:w="100" w:type="dxa"/>
              <w:left w:w="140" w:type="dxa"/>
              <w:right w:w="140" w:type="dxa"/>
            </w:tcMar>
          </w:tcPr>
          <w:p>
            <w:pPr>
              <w:spacing w:line="276" w:lineRule="auto"/>
              <w:jc w:val="left"/>
            </w:pPr>
            <w:r>
              <w:rPr>
                <w:rFonts w:ascii="Calibri" w:hAnsi="Calibri"/>
                <w:color w:val="2D3748"/>
                <w:sz w:val="18"/>
              </w:rPr>
              <w:t>One-Click Quick Presets</w:t>
            </w:r>
          </w:p>
        </w:tc>
        <w:tc>
          <w:tcPr>
            <w:tcW w:type="dxa" w:w="1296"/>
            <w:shd w:fill="FFFFFF"/>
            <w:tcMar>
              <w:top w:w="100" w:type="dxa"/>
              <w:bottom w:w="100" w:type="dxa"/>
              <w:left w:w="140" w:type="dxa"/>
              <w:right w:w="140" w:type="dxa"/>
            </w:tcMar>
          </w:tcPr>
          <w:p>
            <w:pPr>
              <w:spacing w:line="276" w:lineRule="auto"/>
              <w:jc w:val="left"/>
            </w:pPr>
            <w:r>
              <w:rPr>
                <w:rFonts w:ascii="Calibri" w:hAnsi="Calibri"/>
                <w:color w:val="2D3748"/>
                <w:sz w:val="18"/>
              </w:rPr>
              <w:t>Could Have</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Pre-loads real-world scam and genuine test cases for instant evaluation and demo testing.</w:t>
            </w:r>
          </w:p>
        </w:tc>
        <w:tc>
          <w:tcPr>
            <w:tcW w:type="dxa" w:w="2448"/>
            <w:shd w:fill="FFFFFF"/>
            <w:tcMar>
              <w:top w:w="100" w:type="dxa"/>
              <w:bottom w:w="100" w:type="dxa"/>
              <w:left w:w="140" w:type="dxa"/>
              <w:right w:w="140" w:type="dxa"/>
            </w:tcMar>
          </w:tcPr>
          <w:p>
            <w:pPr>
              <w:spacing w:line="276" w:lineRule="auto"/>
              <w:jc w:val="left"/>
            </w:pPr>
            <w:r>
              <w:rPr>
                <w:rFonts w:ascii="Calibri" w:hAnsi="Calibri"/>
                <w:color w:val="2D3748"/>
                <w:sz w:val="18"/>
              </w:rPr>
              <w:t>Clicking a sample populates input and triggers analysis immediately.</w:t>
            </w:r>
          </w:p>
        </w:tc>
      </w:tr>
    </w:tbl>
    <w:p>
      <w:pPr>
        <w:keepNext/>
        <w:spacing w:before="360" w:after="120"/>
      </w:pPr>
      <w:r>
        <w:rPr>
          <w:rFonts w:ascii="Calibri" w:hAnsi="Calibri"/>
          <w:b/>
          <w:color w:val="0F2A4A"/>
          <w:sz w:val="32"/>
        </w:rPr>
        <w:t>7. Non-Functional Requirements (NFR) &amp; Quality Attributes</w:t>
      </w:r>
    </w:p>
    <w:tbl>
      <w:tblPr>
        <w:tblW w:type="auto" w:w="0"/>
        <w:jc w:val="center"/>
        <w:tblLook w:firstColumn="1" w:firstRow="1" w:lastColumn="0" w:lastRow="0" w:noHBand="0" w:noVBand="1" w:val="04A0"/>
      </w:tblPr>
      <w:tblGrid>
        <w:gridCol w:w="2340"/>
        <w:gridCol w:w="2340"/>
        <w:gridCol w:w="2340"/>
        <w:gridCol w:w="2340"/>
      </w:tblGrid>
      <w:tr>
        <w:tc>
          <w:tcPr>
            <w:tcW w:type="dxa" w:w="1152"/>
            <w:shd w:fill="0F2A4A"/>
            <w:tcMar>
              <w:top w:w="140" w:type="dxa"/>
              <w:bottom w:w="140" w:type="dxa"/>
              <w:left w:w="150" w:type="dxa"/>
              <w:right w:w="150" w:type="dxa"/>
            </w:tcMar>
          </w:tcPr>
          <w:p>
            <w:pPr>
              <w:jc w:val="left"/>
            </w:pPr>
            <w:r>
              <w:rPr>
                <w:rFonts w:ascii="Calibri" w:hAnsi="Calibri"/>
                <w:b/>
                <w:color w:val="FFFFFF"/>
                <w:sz w:val="19"/>
              </w:rPr>
              <w:t>NFR ID</w:t>
            </w:r>
          </w:p>
        </w:tc>
        <w:tc>
          <w:tcPr>
            <w:tcW w:type="dxa" w:w="1872"/>
            <w:shd w:fill="0F2A4A"/>
            <w:tcMar>
              <w:top w:w="140" w:type="dxa"/>
              <w:bottom w:w="140" w:type="dxa"/>
              <w:left w:w="150" w:type="dxa"/>
              <w:right w:w="150" w:type="dxa"/>
            </w:tcMar>
          </w:tcPr>
          <w:p>
            <w:pPr>
              <w:jc w:val="left"/>
            </w:pPr>
            <w:r>
              <w:rPr>
                <w:rFonts w:ascii="Calibri" w:hAnsi="Calibri"/>
                <w:b/>
                <w:color w:val="FFFFFF"/>
                <w:sz w:val="19"/>
              </w:rPr>
              <w:t>Quality Dimension</w:t>
            </w:r>
          </w:p>
        </w:tc>
        <w:tc>
          <w:tcPr>
            <w:tcW w:type="dxa" w:w="2736"/>
            <w:shd w:fill="0F2A4A"/>
            <w:tcMar>
              <w:top w:w="140" w:type="dxa"/>
              <w:bottom w:w="140" w:type="dxa"/>
              <w:left w:w="150" w:type="dxa"/>
              <w:right w:w="150" w:type="dxa"/>
            </w:tcMar>
          </w:tcPr>
          <w:p>
            <w:pPr>
              <w:jc w:val="left"/>
            </w:pPr>
            <w:r>
              <w:rPr>
                <w:rFonts w:ascii="Calibri" w:hAnsi="Calibri"/>
                <w:b/>
                <w:color w:val="FFFFFF"/>
                <w:sz w:val="19"/>
              </w:rPr>
              <w:t>Target Quantitative Metric / SLA</w:t>
            </w:r>
          </w:p>
        </w:tc>
        <w:tc>
          <w:tcPr>
            <w:tcW w:type="dxa" w:w="3600"/>
            <w:shd w:fill="0F2A4A"/>
            <w:tcMar>
              <w:top w:w="140" w:type="dxa"/>
              <w:bottom w:w="140" w:type="dxa"/>
              <w:left w:w="150" w:type="dxa"/>
              <w:right w:w="150" w:type="dxa"/>
            </w:tcMar>
          </w:tcPr>
          <w:p>
            <w:pPr>
              <w:jc w:val="left"/>
            </w:pPr>
            <w:r>
              <w:rPr>
                <w:rFonts w:ascii="Calibri" w:hAnsi="Calibri"/>
                <w:b/>
                <w:color w:val="FFFFFF"/>
                <w:sz w:val="19"/>
              </w:rPr>
              <w:t>Engineering Architecture &amp; Implementation Strategy</w:t>
            </w:r>
          </w:p>
        </w:tc>
      </w:tr>
      <w:tr>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NFR-01</w:t>
            </w:r>
          </w:p>
        </w:tc>
        <w:tc>
          <w:tcPr>
            <w:tcW w:type="dxa" w:w="1872"/>
            <w:shd w:fill="FFFFFF"/>
            <w:tcMar>
              <w:top w:w="100" w:type="dxa"/>
              <w:bottom w:w="100" w:type="dxa"/>
              <w:left w:w="140" w:type="dxa"/>
              <w:right w:w="140" w:type="dxa"/>
            </w:tcMar>
          </w:tcPr>
          <w:p>
            <w:pPr>
              <w:spacing w:line="276" w:lineRule="auto"/>
              <w:jc w:val="left"/>
            </w:pPr>
            <w:r>
              <w:rPr>
                <w:rFonts w:ascii="Calibri" w:hAnsi="Calibri"/>
                <w:color w:val="2D3748"/>
                <w:sz w:val="18"/>
              </w:rPr>
              <w:t>Performance &amp; Latency</w:t>
            </w:r>
          </w:p>
        </w:tc>
        <w:tc>
          <w:tcPr>
            <w:tcW w:type="dxa" w:w="2736"/>
            <w:shd w:fill="FFFFFF"/>
            <w:tcMar>
              <w:top w:w="100" w:type="dxa"/>
              <w:bottom w:w="100" w:type="dxa"/>
              <w:left w:w="140" w:type="dxa"/>
              <w:right w:w="140" w:type="dxa"/>
            </w:tcMar>
          </w:tcPr>
          <w:p>
            <w:pPr>
              <w:spacing w:line="276" w:lineRule="auto"/>
              <w:jc w:val="left"/>
            </w:pPr>
            <w:r>
              <w:rPr>
                <w:rFonts w:ascii="Calibri" w:hAnsi="Calibri"/>
                <w:color w:val="2D3748"/>
                <w:sz w:val="18"/>
              </w:rPr>
              <w:t>Deterministic Heuristic: &lt; 250ms</w:t>
              <w:br/>
              <w:t>LLM Semantic Inference: &lt; 3.5s</w:t>
            </w:r>
          </w:p>
        </w:tc>
        <w:tc>
          <w:tcPr>
            <w:tcW w:type="dxa" w:w="3600"/>
            <w:shd w:fill="FFFFFF"/>
            <w:tcMar>
              <w:top w:w="100" w:type="dxa"/>
              <w:bottom w:w="100" w:type="dxa"/>
              <w:left w:w="140" w:type="dxa"/>
              <w:right w:w="140" w:type="dxa"/>
            </w:tcMar>
          </w:tcPr>
          <w:p>
            <w:pPr>
              <w:spacing w:line="276" w:lineRule="auto"/>
              <w:jc w:val="left"/>
            </w:pPr>
            <w:r>
              <w:rPr>
                <w:rFonts w:ascii="Calibri" w:hAnsi="Calibri"/>
                <w:color w:val="2D3748"/>
                <w:sz w:val="18"/>
              </w:rPr>
              <w:t>Pre-compiled regex patterns, async FastAPI pipeline, lightweight non-blocking event loop.</w:t>
            </w:r>
          </w:p>
        </w:tc>
      </w:tr>
      <w:tr>
        <w:tc>
          <w:tcPr>
            <w:tcW w:type="dxa" w:w="1152"/>
            <w:shd w:fill="F7FAFC"/>
            <w:tcMar>
              <w:top w:w="100" w:type="dxa"/>
              <w:bottom w:w="100" w:type="dxa"/>
              <w:left w:w="140" w:type="dxa"/>
              <w:right w:w="140" w:type="dxa"/>
            </w:tcMar>
          </w:tcPr>
          <w:p>
            <w:pPr>
              <w:spacing w:line="276" w:lineRule="auto"/>
              <w:jc w:val="left"/>
            </w:pPr>
            <w:r>
              <w:rPr>
                <w:rFonts w:ascii="Calibri" w:hAnsi="Calibri"/>
                <w:color w:val="2D3748"/>
                <w:sz w:val="18"/>
              </w:rPr>
              <w:t>NFR-02</w:t>
            </w:r>
          </w:p>
        </w:tc>
        <w:tc>
          <w:tcPr>
            <w:tcW w:type="dxa" w:w="1872"/>
            <w:shd w:fill="F7FAFC"/>
            <w:tcMar>
              <w:top w:w="100" w:type="dxa"/>
              <w:bottom w:w="100" w:type="dxa"/>
              <w:left w:w="140" w:type="dxa"/>
              <w:right w:w="140" w:type="dxa"/>
            </w:tcMar>
          </w:tcPr>
          <w:p>
            <w:pPr>
              <w:spacing w:line="276" w:lineRule="auto"/>
              <w:jc w:val="left"/>
            </w:pPr>
            <w:r>
              <w:rPr>
                <w:rFonts w:ascii="Calibri" w:hAnsi="Calibri"/>
                <w:color w:val="2D3748"/>
                <w:sz w:val="18"/>
              </w:rPr>
              <w:t>Availability &amp; Uptime</w:t>
            </w:r>
          </w:p>
        </w:tc>
        <w:tc>
          <w:tcPr>
            <w:tcW w:type="dxa" w:w="2736"/>
            <w:shd w:fill="F7FAFC"/>
            <w:tcMar>
              <w:top w:w="100" w:type="dxa"/>
              <w:bottom w:w="100" w:type="dxa"/>
              <w:left w:w="140" w:type="dxa"/>
              <w:right w:w="140" w:type="dxa"/>
            </w:tcMar>
          </w:tcPr>
          <w:p>
            <w:pPr>
              <w:spacing w:line="276" w:lineRule="auto"/>
              <w:jc w:val="left"/>
            </w:pPr>
            <w:r>
              <w:rPr>
                <w:rFonts w:ascii="Calibri" w:hAnsi="Calibri"/>
                <w:color w:val="2D3748"/>
                <w:sz w:val="18"/>
              </w:rPr>
              <w:t>99.9% application uptime with graceful degradation</w:t>
            </w:r>
          </w:p>
        </w:tc>
        <w:tc>
          <w:tcPr>
            <w:tcW w:type="dxa" w:w="3600"/>
            <w:shd w:fill="F7FAFC"/>
            <w:tcMar>
              <w:top w:w="100" w:type="dxa"/>
              <w:bottom w:w="100" w:type="dxa"/>
              <w:left w:w="140" w:type="dxa"/>
              <w:right w:w="140" w:type="dxa"/>
            </w:tcMar>
          </w:tcPr>
          <w:p>
            <w:pPr>
              <w:spacing w:line="276" w:lineRule="auto"/>
              <w:jc w:val="left"/>
            </w:pPr>
            <w:r>
              <w:rPr>
                <w:rFonts w:ascii="Calibri" w:hAnsi="Calibri"/>
                <w:color w:val="2D3748"/>
                <w:sz w:val="18"/>
              </w:rPr>
              <w:t>Dual-engine architecture: If cloud LLM API is unreachable, deterministic engine serves instant verdict.</w:t>
            </w:r>
          </w:p>
        </w:tc>
      </w:tr>
      <w:tr>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NFR-03</w:t>
            </w:r>
          </w:p>
        </w:tc>
        <w:tc>
          <w:tcPr>
            <w:tcW w:type="dxa" w:w="1872"/>
            <w:shd w:fill="FFFFFF"/>
            <w:tcMar>
              <w:top w:w="100" w:type="dxa"/>
              <w:bottom w:w="100" w:type="dxa"/>
              <w:left w:w="140" w:type="dxa"/>
              <w:right w:w="140" w:type="dxa"/>
            </w:tcMar>
          </w:tcPr>
          <w:p>
            <w:pPr>
              <w:spacing w:line="276" w:lineRule="auto"/>
              <w:jc w:val="left"/>
            </w:pPr>
            <w:r>
              <w:rPr>
                <w:rFonts w:ascii="Calibri" w:hAnsi="Calibri"/>
                <w:color w:val="2D3748"/>
                <w:sz w:val="18"/>
              </w:rPr>
              <w:t>Information Security</w:t>
            </w:r>
          </w:p>
        </w:tc>
        <w:tc>
          <w:tcPr>
            <w:tcW w:type="dxa" w:w="2736"/>
            <w:shd w:fill="FFFFFF"/>
            <w:tcMar>
              <w:top w:w="100" w:type="dxa"/>
              <w:bottom w:w="100" w:type="dxa"/>
              <w:left w:w="140" w:type="dxa"/>
              <w:right w:w="140" w:type="dxa"/>
            </w:tcMar>
          </w:tcPr>
          <w:p>
            <w:pPr>
              <w:spacing w:line="276" w:lineRule="auto"/>
              <w:jc w:val="left"/>
            </w:pPr>
            <w:r>
              <w:rPr>
                <w:rFonts w:ascii="Calibri" w:hAnsi="Calibri"/>
                <w:color w:val="2D3748"/>
                <w:sz w:val="18"/>
              </w:rPr>
              <w:t>OWASP Top 10 compliance, zero script injection</w:t>
            </w:r>
          </w:p>
        </w:tc>
        <w:tc>
          <w:tcPr>
            <w:tcW w:type="dxa" w:w="3600"/>
            <w:shd w:fill="FFFFFF"/>
            <w:tcMar>
              <w:top w:w="100" w:type="dxa"/>
              <w:bottom w:w="100" w:type="dxa"/>
              <w:left w:w="140" w:type="dxa"/>
              <w:right w:w="140" w:type="dxa"/>
            </w:tcMar>
          </w:tcPr>
          <w:p>
            <w:pPr>
              <w:spacing w:line="276" w:lineRule="auto"/>
              <w:jc w:val="left"/>
            </w:pPr>
            <w:r>
              <w:rPr>
                <w:rFonts w:ascii="Calibri" w:hAnsi="Calibri"/>
                <w:color w:val="2D3748"/>
                <w:sz w:val="18"/>
              </w:rPr>
              <w:t>Content sanitization on ingest, neutralizing active hyperlinks, strict CORS headers.</w:t>
            </w:r>
          </w:p>
        </w:tc>
      </w:tr>
      <w:tr>
        <w:tc>
          <w:tcPr>
            <w:tcW w:type="dxa" w:w="1152"/>
            <w:shd w:fill="F7FAFC"/>
            <w:tcMar>
              <w:top w:w="100" w:type="dxa"/>
              <w:bottom w:w="100" w:type="dxa"/>
              <w:left w:w="140" w:type="dxa"/>
              <w:right w:w="140" w:type="dxa"/>
            </w:tcMar>
          </w:tcPr>
          <w:p>
            <w:pPr>
              <w:spacing w:line="276" w:lineRule="auto"/>
              <w:jc w:val="left"/>
            </w:pPr>
            <w:r>
              <w:rPr>
                <w:rFonts w:ascii="Calibri" w:hAnsi="Calibri"/>
                <w:color w:val="2D3748"/>
                <w:sz w:val="18"/>
              </w:rPr>
              <w:t>NFR-04</w:t>
            </w:r>
          </w:p>
        </w:tc>
        <w:tc>
          <w:tcPr>
            <w:tcW w:type="dxa" w:w="1872"/>
            <w:shd w:fill="F7FAFC"/>
            <w:tcMar>
              <w:top w:w="100" w:type="dxa"/>
              <w:bottom w:w="100" w:type="dxa"/>
              <w:left w:w="140" w:type="dxa"/>
              <w:right w:w="140" w:type="dxa"/>
            </w:tcMar>
          </w:tcPr>
          <w:p>
            <w:pPr>
              <w:spacing w:line="276" w:lineRule="auto"/>
              <w:jc w:val="left"/>
            </w:pPr>
            <w:r>
              <w:rPr>
                <w:rFonts w:ascii="Calibri" w:hAnsi="Calibri"/>
                <w:color w:val="2D3748"/>
                <w:sz w:val="18"/>
              </w:rPr>
              <w:t>Data Privacy &amp; Compliance</w:t>
            </w:r>
          </w:p>
        </w:tc>
        <w:tc>
          <w:tcPr>
            <w:tcW w:type="dxa" w:w="2736"/>
            <w:shd w:fill="F7FAFC"/>
            <w:tcMar>
              <w:top w:w="100" w:type="dxa"/>
              <w:bottom w:w="100" w:type="dxa"/>
              <w:left w:w="140" w:type="dxa"/>
              <w:right w:w="140" w:type="dxa"/>
            </w:tcMar>
          </w:tcPr>
          <w:p>
            <w:pPr>
              <w:spacing w:line="276" w:lineRule="auto"/>
              <w:jc w:val="left"/>
            </w:pPr>
            <w:r>
              <w:rPr>
                <w:rFonts w:ascii="Calibri" w:hAnsi="Calibri"/>
                <w:color w:val="2D3748"/>
                <w:sz w:val="18"/>
              </w:rPr>
              <w:t>100% adherence to DPDP Act 2023 &amp; GDPR principles</w:t>
            </w:r>
          </w:p>
        </w:tc>
        <w:tc>
          <w:tcPr>
            <w:tcW w:type="dxa" w:w="3600"/>
            <w:shd w:fill="F7FAFC"/>
            <w:tcMar>
              <w:top w:w="100" w:type="dxa"/>
              <w:bottom w:w="100" w:type="dxa"/>
              <w:left w:w="140" w:type="dxa"/>
              <w:right w:w="140" w:type="dxa"/>
            </w:tcMar>
          </w:tcPr>
          <w:p>
            <w:pPr>
              <w:spacing w:line="276" w:lineRule="auto"/>
              <w:jc w:val="left"/>
            </w:pPr>
            <w:r>
              <w:rPr>
                <w:rFonts w:ascii="Calibri" w:hAnsi="Calibri"/>
                <w:color w:val="2D3748"/>
                <w:sz w:val="18"/>
              </w:rPr>
              <w:t>Ephemeral in-memory processing only. Zero persistent databases, cookies, or tracking pixels.</w:t>
            </w:r>
          </w:p>
        </w:tc>
      </w:tr>
      <w:tr>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NFR-05</w:t>
            </w:r>
          </w:p>
        </w:tc>
        <w:tc>
          <w:tcPr>
            <w:tcW w:type="dxa" w:w="1872"/>
            <w:shd w:fill="FFFFFF"/>
            <w:tcMar>
              <w:top w:w="100" w:type="dxa"/>
              <w:bottom w:w="100" w:type="dxa"/>
              <w:left w:w="140" w:type="dxa"/>
              <w:right w:w="140" w:type="dxa"/>
            </w:tcMar>
          </w:tcPr>
          <w:p>
            <w:pPr>
              <w:spacing w:line="276" w:lineRule="auto"/>
              <w:jc w:val="left"/>
            </w:pPr>
            <w:r>
              <w:rPr>
                <w:rFonts w:ascii="Calibri" w:hAnsi="Calibri"/>
                <w:color w:val="2D3748"/>
                <w:sz w:val="18"/>
              </w:rPr>
              <w:t>Usability &amp; Accessibility</w:t>
            </w:r>
          </w:p>
        </w:tc>
        <w:tc>
          <w:tcPr>
            <w:tcW w:type="dxa" w:w="2736"/>
            <w:shd w:fill="FFFFFF"/>
            <w:tcMar>
              <w:top w:w="100" w:type="dxa"/>
              <w:bottom w:w="100" w:type="dxa"/>
              <w:left w:w="140" w:type="dxa"/>
              <w:right w:w="140" w:type="dxa"/>
            </w:tcMar>
          </w:tcPr>
          <w:p>
            <w:pPr>
              <w:spacing w:line="276" w:lineRule="auto"/>
              <w:jc w:val="left"/>
            </w:pPr>
            <w:r>
              <w:rPr>
                <w:rFonts w:ascii="Calibri" w:hAnsi="Calibri"/>
                <w:color w:val="2D3748"/>
                <w:sz w:val="18"/>
              </w:rPr>
              <w:t>WCAG 2.1 Level AA compliance, responsive layout</w:t>
            </w:r>
          </w:p>
        </w:tc>
        <w:tc>
          <w:tcPr>
            <w:tcW w:type="dxa" w:w="3600"/>
            <w:shd w:fill="FFFFFF"/>
            <w:tcMar>
              <w:top w:w="100" w:type="dxa"/>
              <w:bottom w:w="100" w:type="dxa"/>
              <w:left w:w="140" w:type="dxa"/>
              <w:right w:w="140" w:type="dxa"/>
            </w:tcMar>
          </w:tcPr>
          <w:p>
            <w:pPr>
              <w:spacing w:line="276" w:lineRule="auto"/>
              <w:jc w:val="left"/>
            </w:pPr>
            <w:r>
              <w:rPr>
                <w:rFonts w:ascii="Calibri" w:hAnsi="Calibri"/>
                <w:color w:val="2D3748"/>
                <w:sz w:val="18"/>
              </w:rPr>
              <w:t>Tailwind CSS responsive design, mobile-first layouts, color-blind friendly badges, high contrast text.</w:t>
            </w:r>
          </w:p>
        </w:tc>
      </w:tr>
      <w:tr>
        <w:tc>
          <w:tcPr>
            <w:tcW w:type="dxa" w:w="1152"/>
            <w:shd w:fill="F7FAFC"/>
            <w:tcMar>
              <w:top w:w="100" w:type="dxa"/>
              <w:bottom w:w="100" w:type="dxa"/>
              <w:left w:w="140" w:type="dxa"/>
              <w:right w:w="140" w:type="dxa"/>
            </w:tcMar>
          </w:tcPr>
          <w:p>
            <w:pPr>
              <w:spacing w:line="276" w:lineRule="auto"/>
              <w:jc w:val="left"/>
            </w:pPr>
            <w:r>
              <w:rPr>
                <w:rFonts w:ascii="Calibri" w:hAnsi="Calibri"/>
                <w:color w:val="2D3748"/>
                <w:sz w:val="18"/>
              </w:rPr>
              <w:t>NFR-06</w:t>
            </w:r>
          </w:p>
        </w:tc>
        <w:tc>
          <w:tcPr>
            <w:tcW w:type="dxa" w:w="1872"/>
            <w:shd w:fill="F7FAFC"/>
            <w:tcMar>
              <w:top w:w="100" w:type="dxa"/>
              <w:bottom w:w="100" w:type="dxa"/>
              <w:left w:w="140" w:type="dxa"/>
              <w:right w:w="140" w:type="dxa"/>
            </w:tcMar>
          </w:tcPr>
          <w:p>
            <w:pPr>
              <w:spacing w:line="276" w:lineRule="auto"/>
              <w:jc w:val="left"/>
            </w:pPr>
            <w:r>
              <w:rPr>
                <w:rFonts w:ascii="Calibri" w:hAnsi="Calibri"/>
                <w:color w:val="2D3748"/>
                <w:sz w:val="18"/>
              </w:rPr>
              <w:t>Scalability &amp; Concurrency</w:t>
            </w:r>
          </w:p>
        </w:tc>
        <w:tc>
          <w:tcPr>
            <w:tcW w:type="dxa" w:w="2736"/>
            <w:shd w:fill="F7FAFC"/>
            <w:tcMar>
              <w:top w:w="100" w:type="dxa"/>
              <w:bottom w:w="100" w:type="dxa"/>
              <w:left w:w="140" w:type="dxa"/>
              <w:right w:w="140" w:type="dxa"/>
            </w:tcMar>
          </w:tcPr>
          <w:p>
            <w:pPr>
              <w:spacing w:line="276" w:lineRule="auto"/>
              <w:jc w:val="left"/>
            </w:pPr>
            <w:r>
              <w:rPr>
                <w:rFonts w:ascii="Calibri" w:hAnsi="Calibri"/>
                <w:color w:val="2D3748"/>
                <w:sz w:val="18"/>
              </w:rPr>
              <w:t>Support 500+ concurrent requests without degradation</w:t>
            </w:r>
          </w:p>
        </w:tc>
        <w:tc>
          <w:tcPr>
            <w:tcW w:type="dxa" w:w="3600"/>
            <w:shd w:fill="F7FAFC"/>
            <w:tcMar>
              <w:top w:w="100" w:type="dxa"/>
              <w:bottom w:w="100" w:type="dxa"/>
              <w:left w:w="140" w:type="dxa"/>
              <w:right w:w="140" w:type="dxa"/>
            </w:tcMar>
          </w:tcPr>
          <w:p>
            <w:pPr>
              <w:spacing w:line="276" w:lineRule="auto"/>
              <w:jc w:val="left"/>
            </w:pPr>
            <w:r>
              <w:rPr>
                <w:rFonts w:ascii="Calibri" w:hAnsi="Calibri"/>
                <w:color w:val="2D3748"/>
                <w:sz w:val="18"/>
              </w:rPr>
              <w:t>Stateless ASGI Uvicorn workers wrapped in multi-stage Docker container for horizontal auto-scaling.</w:t>
            </w:r>
          </w:p>
        </w:tc>
      </w:tr>
      <w:tr>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NFR-07</w:t>
            </w:r>
          </w:p>
        </w:tc>
        <w:tc>
          <w:tcPr>
            <w:tcW w:type="dxa" w:w="1872"/>
            <w:shd w:fill="FFFFFF"/>
            <w:tcMar>
              <w:top w:w="100" w:type="dxa"/>
              <w:bottom w:w="100" w:type="dxa"/>
              <w:left w:w="140" w:type="dxa"/>
              <w:right w:w="140" w:type="dxa"/>
            </w:tcMar>
          </w:tcPr>
          <w:p>
            <w:pPr>
              <w:spacing w:line="276" w:lineRule="auto"/>
              <w:jc w:val="left"/>
            </w:pPr>
            <w:r>
              <w:rPr>
                <w:rFonts w:ascii="Calibri" w:hAnsi="Calibri"/>
                <w:color w:val="2D3748"/>
                <w:sz w:val="18"/>
              </w:rPr>
              <w:t>Portability &amp; DevOps</w:t>
            </w:r>
          </w:p>
        </w:tc>
        <w:tc>
          <w:tcPr>
            <w:tcW w:type="dxa" w:w="2736"/>
            <w:shd w:fill="FFFFFF"/>
            <w:tcMar>
              <w:top w:w="100" w:type="dxa"/>
              <w:bottom w:w="100" w:type="dxa"/>
              <w:left w:w="140" w:type="dxa"/>
              <w:right w:w="140" w:type="dxa"/>
            </w:tcMar>
          </w:tcPr>
          <w:p>
            <w:pPr>
              <w:spacing w:line="276" w:lineRule="auto"/>
              <w:jc w:val="left"/>
            </w:pPr>
            <w:r>
              <w:rPr>
                <w:rFonts w:ascii="Calibri" w:hAnsi="Calibri"/>
                <w:color w:val="2D3748"/>
                <w:sz w:val="18"/>
              </w:rPr>
              <w:t>Single-command deployment anywhere</w:t>
            </w:r>
          </w:p>
        </w:tc>
        <w:tc>
          <w:tcPr>
            <w:tcW w:type="dxa" w:w="3600"/>
            <w:shd w:fill="FFFFFF"/>
            <w:tcMar>
              <w:top w:w="100" w:type="dxa"/>
              <w:bottom w:w="100" w:type="dxa"/>
              <w:left w:w="140" w:type="dxa"/>
              <w:right w:w="140" w:type="dxa"/>
            </w:tcMar>
          </w:tcPr>
          <w:p>
            <w:pPr>
              <w:spacing w:line="276" w:lineRule="auto"/>
              <w:jc w:val="left"/>
            </w:pPr>
            <w:r>
              <w:rPr>
                <w:rFonts w:ascii="Calibri" w:hAnsi="Calibri"/>
                <w:color w:val="2D3748"/>
                <w:sz w:val="18"/>
              </w:rPr>
              <w:t>Multi-stage Dockerfile bundling Vite React frontend and Python FastAPI backend into a single image.</w:t>
            </w:r>
          </w:p>
        </w:tc>
      </w:tr>
    </w:tbl>
    <w:p>
      <w:pPr>
        <w:keepNext/>
        <w:spacing w:before="360" w:after="120"/>
      </w:pPr>
      <w:r>
        <w:rPr>
          <w:rFonts w:ascii="Calibri" w:hAnsi="Calibri"/>
          <w:b/>
          <w:color w:val="0F2A4A"/>
          <w:sz w:val="32"/>
        </w:rPr>
        <w:t>8. Comprehensive Business Use Cases (BUC)</w:t>
      </w:r>
    </w:p>
    <w:p>
      <w:pPr>
        <w:spacing w:before="40" w:after="80" w:line="276" w:lineRule="auto"/>
      </w:pPr>
      <w:r>
        <w:rPr>
          <w:rFonts w:ascii="Calibri" w:hAnsi="Calibri"/>
          <w:color w:val="2D3748"/>
          <w:sz w:val="20"/>
        </w:rPr>
        <w:t>This section contains 6 fully realized, industry-standard Business Use Cases detailing operational workflows, edge cases, and business value for academic evaluators.</w:t>
      </w:r>
    </w:p>
    <w:p>
      <w:pPr>
        <w:keepNext/>
        <w:spacing w:before="240" w:after="80"/>
      </w:pPr>
      <w:r>
        <w:rPr>
          <w:rFonts w:ascii="Calibri" w:hAnsi="Calibri"/>
          <w:b/>
          <w:color w:val="1B6CA8"/>
          <w:sz w:val="26"/>
        </w:rPr>
        <w:t>BUC-01: Analysis of Spoofed Bank KYC / PAN Suspension Smishing SMS</w:t>
      </w:r>
    </w:p>
    <w:tbl>
      <w:tblPr>
        <w:tblW w:type="auto" w:w="0"/>
        <w:jc w:val="center"/>
        <w:tblLook w:firstColumn="1" w:firstRow="1" w:lastColumn="0" w:lastRow="0" w:noHBand="0" w:noVBand="1" w:val="04A0"/>
      </w:tblPr>
      <w:tblGrid>
        <w:gridCol w:w="4680"/>
        <w:gridCol w:w="4680"/>
      </w:tblGrid>
      <w:tr>
        <w:tc>
          <w:tcPr>
            <w:tcW w:type="dxa" w:w="2880"/>
            <w:shd w:fill="1B6CA8"/>
            <w:tcMar>
              <w:top w:w="140" w:type="dxa"/>
              <w:bottom w:w="140" w:type="dxa"/>
              <w:left w:w="150" w:type="dxa"/>
              <w:right w:w="150" w:type="dxa"/>
            </w:tcMar>
          </w:tcPr>
          <w:p>
            <w:pPr>
              <w:jc w:val="left"/>
            </w:pPr>
            <w:r>
              <w:rPr>
                <w:rFonts w:ascii="Calibri" w:hAnsi="Calibri"/>
                <w:b/>
                <w:color w:val="FFFFFF"/>
                <w:sz w:val="19"/>
              </w:rPr>
              <w:t>Use Case Parameter</w:t>
            </w:r>
          </w:p>
        </w:tc>
        <w:tc>
          <w:tcPr>
            <w:tcW w:type="dxa" w:w="6480"/>
            <w:shd w:fill="1B6CA8"/>
            <w:tcMar>
              <w:top w:w="140" w:type="dxa"/>
              <w:bottom w:w="140" w:type="dxa"/>
              <w:left w:w="150" w:type="dxa"/>
              <w:right w:w="150" w:type="dxa"/>
            </w:tcMar>
          </w:tcPr>
          <w:p>
            <w:pPr>
              <w:jc w:val="left"/>
            </w:pPr>
            <w:r>
              <w:rPr>
                <w:rFonts w:ascii="Calibri" w:hAnsi="Calibri"/>
                <w:b/>
                <w:color w:val="FFFFFF"/>
                <w:sz w:val="19"/>
              </w:rPr>
              <w:t>Specification</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Use Case ID &amp; Title</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BUC-01: Analysis of Spoofed Bank KYC / PAN Suspension Smishing SMS</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Primary Actor</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Everyday Citizen / Senior Citizen (e.g., Rajesh Kumar)</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Trigger Event</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receives an alarming SMS: 'Dear Customer, your SBI account will be blocked today. Update PAN immediately at http://bit.ly/sbi-pan-update'.</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Pre-Conditions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has access to PromptShield via desktop or mobile browser.</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Main Success Scenario (Flow)</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1. User navigates to PromptShield and pastes the suspicious SMS text into the input field.</w:t>
              <w:br/>
              <w:t>2. User clicks 'Analyze Message' (or presses Enter).</w:t>
              <w:br/>
              <w:t>3. System checks text validity and initiates parallel dual-engine analysis.</w:t>
              <w:br/>
              <w:t>4. Deterministic engine flags urgent deadline ('blocked today'), shortlink ('bit.ly'), and banking trigger ('PAN').</w:t>
              <w:br/>
              <w:t>5. Cognitive LLM evaluates semantic intent: identifies credential harvesting impersonating SBI.</w:t>
              <w:br/>
              <w:t>6. System computes final Risk Score of 94/100 (Red - Likely Scam).</w:t>
              <w:br/>
              <w:t>7. UI renders highlighted text: 'blocked today' (Urgency Pressure), 'http://bit.ly/...' (Credential Phishing Link).</w:t>
              <w:br/>
              <w:t>8. UI displays customized checklist: Do NOT click link; Do NOT enter OTP; Verify directly in official YONO app.</w:t>
              <w:br/>
              <w:t>9. Result is cached into user's browser Local History.</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Alternative / Exception Flows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4a. Cloud LLM rate limit or timeout: System automatically falls back to Deterministic Heuristic Core, scoring threat at 88/100 with offline rule explanations.</w:t>
              <w:br/>
              <w:t>5a. Input message is less than 3 characters: System prompts user to enter complete message.</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Post-Conditions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understands the exact scam mechanism, does not click the malicious link, and avoids financial loss.</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Business Value &amp; Evaluator Takeaway</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High financial loss prevention; educates the citizen on banking safety norms and eliminates panic-driven compliance.</w:t>
            </w:r>
          </w:p>
        </w:tc>
      </w:tr>
    </w:tbl>
    <w:p/>
    <w:p>
      <w:pPr>
        <w:keepNext/>
        <w:spacing w:before="240" w:after="80"/>
      </w:pPr>
      <w:r>
        <w:rPr>
          <w:rFonts w:ascii="Calibri" w:hAnsi="Calibri"/>
          <w:b/>
          <w:color w:val="1B6CA8"/>
          <w:sz w:val="26"/>
        </w:rPr>
        <w:t>BUC-02: Detection of Telegram / YouTube 'Part-Time Task' Job Scam</w:t>
      </w:r>
    </w:p>
    <w:tbl>
      <w:tblPr>
        <w:tblW w:type="auto" w:w="0"/>
        <w:jc w:val="center"/>
        <w:tblLook w:firstColumn="1" w:firstRow="1" w:lastColumn="0" w:lastRow="0" w:noHBand="0" w:noVBand="1" w:val="04A0"/>
      </w:tblPr>
      <w:tblGrid>
        <w:gridCol w:w="4680"/>
        <w:gridCol w:w="4680"/>
      </w:tblGrid>
      <w:tr>
        <w:tc>
          <w:tcPr>
            <w:tcW w:type="dxa" w:w="2880"/>
            <w:shd w:fill="1B6CA8"/>
            <w:tcMar>
              <w:top w:w="140" w:type="dxa"/>
              <w:bottom w:w="140" w:type="dxa"/>
              <w:left w:w="150" w:type="dxa"/>
              <w:right w:w="150" w:type="dxa"/>
            </w:tcMar>
          </w:tcPr>
          <w:p>
            <w:pPr>
              <w:jc w:val="left"/>
            </w:pPr>
            <w:r>
              <w:rPr>
                <w:rFonts w:ascii="Calibri" w:hAnsi="Calibri"/>
                <w:b/>
                <w:color w:val="FFFFFF"/>
                <w:sz w:val="19"/>
              </w:rPr>
              <w:t>Use Case Parameter</w:t>
            </w:r>
          </w:p>
        </w:tc>
        <w:tc>
          <w:tcPr>
            <w:tcW w:type="dxa" w:w="6480"/>
            <w:shd w:fill="1B6CA8"/>
            <w:tcMar>
              <w:top w:w="140" w:type="dxa"/>
              <w:bottom w:w="140" w:type="dxa"/>
              <w:left w:w="150" w:type="dxa"/>
              <w:right w:w="150" w:type="dxa"/>
            </w:tcMar>
          </w:tcPr>
          <w:p>
            <w:pPr>
              <w:jc w:val="left"/>
            </w:pPr>
            <w:r>
              <w:rPr>
                <w:rFonts w:ascii="Calibri" w:hAnsi="Calibri"/>
                <w:b/>
                <w:color w:val="FFFFFF"/>
                <w:sz w:val="19"/>
              </w:rPr>
              <w:t>Specification</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Use Case ID &amp; Title</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BUC-02: Detection of Telegram / YouTube 'Part-Time Task' Job Scam</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Primary Actor</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University Student / Job Seeker (e.g., Ananya Sharma)</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Trigger Event</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receives an unsolicited WhatsApp message offering ₹5,000/day for 'liking videos and subscribing to Telegram channels'.</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Pre-Conditions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is evaluating the job offer and seeks verification before sending money or personal details.</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Main Success Scenario (Flow)</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1. User pastes WhatsApp job offer into PromptShield.</w:t>
              <w:br/>
              <w:t>2. System analyzes message linguistics and recruitment tactics.</w:t>
              <w:br/>
              <w:t>3. Heuristic engine flags phrases: 'like YouTube videos', 'daily salary ₹5000', 'join Telegram group'.</w:t>
              <w:br/>
              <w:t>4. LLM analyzes social engineering: identifies advance-fee / task pyramid fraud pattern.</w:t>
              <w:br/>
              <w:t>5. System assigns Risk Score of 88/100 (Red - Likely Scam).</w:t>
              <w:br/>
              <w:t>6. Explainer warns: 'Scammers pay minor amounts (₹150) initially to build trust, then demand deposit to unlock earnings'.</w:t>
              <w:br/>
              <w:t>7. Action checklist instructs: Block sender; Never pay money to receive job wages; Report WhatsApp number.</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Alternative / Exception Flows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3a. Message contains obfuscated characters (e.g., 'T-e-l-e-g-r-a-m'): Sanitization engine normalizes text before matching rules.</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Post-Conditions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realizes the deceptive nature of the offer, declines to join the Telegram group, and avoids losing money.</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Business Value &amp; Evaluator Takeaway</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Protects young job seekers from multi-thousand-rupee task fraud; builds awareness of modern social engineering.</w:t>
            </w:r>
          </w:p>
        </w:tc>
      </w:tr>
    </w:tbl>
    <w:p/>
    <w:p>
      <w:pPr>
        <w:keepNext/>
        <w:spacing w:before="240" w:after="80"/>
      </w:pPr>
      <w:r>
        <w:rPr>
          <w:rFonts w:ascii="Calibri" w:hAnsi="Calibri"/>
          <w:b/>
          <w:color w:val="1B6CA8"/>
          <w:sz w:val="26"/>
        </w:rPr>
        <w:t>BUC-03: Verification of Legitimate Courier Delivery Notification (False Positive Prevention)</w:t>
      </w:r>
    </w:p>
    <w:tbl>
      <w:tblPr>
        <w:tblW w:type="auto" w:w="0"/>
        <w:jc w:val="center"/>
        <w:tblLook w:firstColumn="1" w:firstRow="1" w:lastColumn="0" w:lastRow="0" w:noHBand="0" w:noVBand="1" w:val="04A0"/>
      </w:tblPr>
      <w:tblGrid>
        <w:gridCol w:w="4680"/>
        <w:gridCol w:w="4680"/>
      </w:tblGrid>
      <w:tr>
        <w:tc>
          <w:tcPr>
            <w:tcW w:type="dxa" w:w="2880"/>
            <w:shd w:fill="1B6CA8"/>
            <w:tcMar>
              <w:top w:w="140" w:type="dxa"/>
              <w:bottom w:w="140" w:type="dxa"/>
              <w:left w:w="150" w:type="dxa"/>
              <w:right w:w="150" w:type="dxa"/>
            </w:tcMar>
          </w:tcPr>
          <w:p>
            <w:pPr>
              <w:jc w:val="left"/>
            </w:pPr>
            <w:r>
              <w:rPr>
                <w:rFonts w:ascii="Calibri" w:hAnsi="Calibri"/>
                <w:b/>
                <w:color w:val="FFFFFF"/>
                <w:sz w:val="19"/>
              </w:rPr>
              <w:t>Use Case Parameter</w:t>
            </w:r>
          </w:p>
        </w:tc>
        <w:tc>
          <w:tcPr>
            <w:tcW w:type="dxa" w:w="6480"/>
            <w:shd w:fill="1B6CA8"/>
            <w:tcMar>
              <w:top w:w="140" w:type="dxa"/>
              <w:bottom w:w="140" w:type="dxa"/>
              <w:left w:w="150" w:type="dxa"/>
              <w:right w:w="150" w:type="dxa"/>
            </w:tcMar>
          </w:tcPr>
          <w:p>
            <w:pPr>
              <w:jc w:val="left"/>
            </w:pPr>
            <w:r>
              <w:rPr>
                <w:rFonts w:ascii="Calibri" w:hAnsi="Calibri"/>
                <w:b/>
                <w:color w:val="FFFFFF"/>
                <w:sz w:val="19"/>
              </w:rPr>
              <w:t>Specification</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Use Case ID &amp; Title</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BUC-03: Verification of Legitimate Courier Delivery Notification (False Positive Prevention)</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Primary Actor</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E-Commerce Shopper / Corporate Professional (e.g., Vikram Malhotra)</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Trigger Event</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receives an automated SMS: 'Your BlueDart parcel #7392819 will be delivered today by courier agent Ramesh (Ph: 9876543210). Track at bluedart.com'.</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Pre-Conditions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wants to confirm the message is genuine before contacting the delivery agent.</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Main Success Scenario (Flow)</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1. User pastes courier message into PromptShield.</w:t>
              <w:br/>
              <w:t>2. Deterministic engine verifies official domain (`bluedart.com`), absence of threats or urgent payment demands.</w:t>
              <w:br/>
              <w:t>3. Cognitive LLM evaluates context: Informational delivery alert without credential demands or coercive language.</w:t>
              <w:br/>
              <w:t>4. System computes Risk Score of 10/100 (Green - Safe).</w:t>
              <w:br/>
              <w:t>5. UI renders Safe badge with summary: 'Legitimate transactional communication. No deceptive triggers detected'.</w:t>
              <w:br/>
              <w:t>6. Safety checklist advises: Verify tracking number directly on official carrier portal.</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Alternative / Exception Flows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2a. URL contains deceptive lookalike domain (e.g., 'bluedart-delivery-fee.com'): System switches verdict to Likely Scam (Score 91).</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Post-Conditions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confidently receives delivery without confusion or undue suspicion, validating system reliability.</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Business Value &amp; Evaluator Takeaway</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Critical benchmark for evaluators: Proves PromptShield does not aggressively false-flag legitimate business communications.</w:t>
            </w:r>
          </w:p>
        </w:tc>
      </w:tr>
    </w:tbl>
    <w:p/>
    <w:p>
      <w:pPr>
        <w:keepNext/>
        <w:spacing w:before="240" w:after="80"/>
      </w:pPr>
      <w:r>
        <w:rPr>
          <w:rFonts w:ascii="Calibri" w:hAnsi="Calibri"/>
          <w:b/>
          <w:color w:val="1B6CA8"/>
          <w:sz w:val="26"/>
        </w:rPr>
        <w:t>BUC-04: Detection of Electricity Bill Disconnection Extortion Threat</w:t>
      </w:r>
    </w:p>
    <w:tbl>
      <w:tblPr>
        <w:tblW w:type="auto" w:w="0"/>
        <w:jc w:val="center"/>
        <w:tblLook w:firstColumn="1" w:firstRow="1" w:lastColumn="0" w:lastRow="0" w:noHBand="0" w:noVBand="1" w:val="04A0"/>
      </w:tblPr>
      <w:tblGrid>
        <w:gridCol w:w="4680"/>
        <w:gridCol w:w="4680"/>
      </w:tblGrid>
      <w:tr>
        <w:tc>
          <w:tcPr>
            <w:tcW w:type="dxa" w:w="2880"/>
            <w:shd w:fill="1B6CA8"/>
            <w:tcMar>
              <w:top w:w="140" w:type="dxa"/>
              <w:bottom w:w="140" w:type="dxa"/>
              <w:left w:w="150" w:type="dxa"/>
              <w:right w:w="150" w:type="dxa"/>
            </w:tcMar>
          </w:tcPr>
          <w:p>
            <w:pPr>
              <w:jc w:val="left"/>
            </w:pPr>
            <w:r>
              <w:rPr>
                <w:rFonts w:ascii="Calibri" w:hAnsi="Calibri"/>
                <w:b/>
                <w:color w:val="FFFFFF"/>
                <w:sz w:val="19"/>
              </w:rPr>
              <w:t>Use Case Parameter</w:t>
            </w:r>
          </w:p>
        </w:tc>
        <w:tc>
          <w:tcPr>
            <w:tcW w:type="dxa" w:w="6480"/>
            <w:shd w:fill="1B6CA8"/>
            <w:tcMar>
              <w:top w:w="140" w:type="dxa"/>
              <w:bottom w:w="140" w:type="dxa"/>
              <w:left w:w="150" w:type="dxa"/>
              <w:right w:w="150" w:type="dxa"/>
            </w:tcMar>
          </w:tcPr>
          <w:p>
            <w:pPr>
              <w:jc w:val="left"/>
            </w:pPr>
            <w:r>
              <w:rPr>
                <w:rFonts w:ascii="Calibri" w:hAnsi="Calibri"/>
                <w:b/>
                <w:color w:val="FFFFFF"/>
                <w:sz w:val="19"/>
              </w:rPr>
              <w:t>Specification</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Use Case ID &amp; Title</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BUC-04: Detection of Electricity Bill Disconnection Extortion Threat</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Primary Actor</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Small Business Owner / Resident</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Trigger Event</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receives an SMS at 7:00 PM: 'Electricity power will be disconnected at 9:30 PM tonight due to unpaid bill. Immediately contact Electricity Officer at 9123456789'.</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Pre-Conditions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is startled by the imminent power cut threat and considers calling the private number.</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Main Success Scenario (Flow)</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1. User pastes the disconnection threat into PromptShield.</w:t>
              <w:br/>
              <w:t>2. Heuristic engine flags extreme urgency ('tonight 9:30 PM'), threat of disconnection, and unofficial personal phone number.</w:t>
              <w:br/>
              <w:t>3. LLM identifies standard Indian utility scam vector (impersonating state electricity distribution boards).</w:t>
              <w:br/>
              <w:t>4. System assigns Risk Score of 92/100 (Red - Likely Scam).</w:t>
              <w:br/>
              <w:t>5. UI highlights: 'disconnected at 9:30 PM' (Coercive Urgency) and '9123456789' (Unofficial Private Mobile Contact).</w:t>
              <w:br/>
              <w:t>6. Action checklist clarifies: Government power boards never disconnect power via personal mobile SMS or ask for remote access apps (AnyDesk/TeamViewer).</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Alternative / Exception Flows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1a. User clicks 'Apple Quick Preset' for Electricity scam: System auto-populates scenario for instant evaluation.</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Post-Conditions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avoids calling the scammer, checks bill on official electricity utility app, and discovers zero arrears.</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Business Value &amp; Evaluator Takeaway</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Neutralizes widespread extortion tactics targeting residential and commercial utility consumers.</w:t>
            </w:r>
          </w:p>
        </w:tc>
      </w:tr>
    </w:tbl>
    <w:p/>
    <w:p>
      <w:pPr>
        <w:keepNext/>
        <w:spacing w:before="240" w:after="80"/>
      </w:pPr>
      <w:r>
        <w:rPr>
          <w:rFonts w:ascii="Calibri" w:hAnsi="Calibri"/>
          <w:b/>
          <w:color w:val="1B6CA8"/>
          <w:sz w:val="26"/>
        </w:rPr>
        <w:t>BUC-05: One-Click Generation of Official Cybercrime Complaint for Helpline 1930</w:t>
      </w:r>
    </w:p>
    <w:tbl>
      <w:tblPr>
        <w:tblW w:type="auto" w:w="0"/>
        <w:jc w:val="center"/>
        <w:tblLook w:firstColumn="1" w:firstRow="1" w:lastColumn="0" w:lastRow="0" w:noHBand="0" w:noVBand="1" w:val="04A0"/>
      </w:tblPr>
      <w:tblGrid>
        <w:gridCol w:w="4680"/>
        <w:gridCol w:w="4680"/>
      </w:tblGrid>
      <w:tr>
        <w:tc>
          <w:tcPr>
            <w:tcW w:type="dxa" w:w="2880"/>
            <w:shd w:fill="1B6CA8"/>
            <w:tcMar>
              <w:top w:w="140" w:type="dxa"/>
              <w:bottom w:w="140" w:type="dxa"/>
              <w:left w:w="150" w:type="dxa"/>
              <w:right w:w="150" w:type="dxa"/>
            </w:tcMar>
          </w:tcPr>
          <w:p>
            <w:pPr>
              <w:jc w:val="left"/>
            </w:pPr>
            <w:r>
              <w:rPr>
                <w:rFonts w:ascii="Calibri" w:hAnsi="Calibri"/>
                <w:b/>
                <w:color w:val="FFFFFF"/>
                <w:sz w:val="19"/>
              </w:rPr>
              <w:t>Use Case Parameter</w:t>
            </w:r>
          </w:p>
        </w:tc>
        <w:tc>
          <w:tcPr>
            <w:tcW w:type="dxa" w:w="6480"/>
            <w:shd w:fill="1B6CA8"/>
            <w:tcMar>
              <w:top w:w="140" w:type="dxa"/>
              <w:bottom w:w="140" w:type="dxa"/>
              <w:left w:w="150" w:type="dxa"/>
              <w:right w:w="150" w:type="dxa"/>
            </w:tcMar>
          </w:tcPr>
          <w:p>
            <w:pPr>
              <w:jc w:val="left"/>
            </w:pPr>
            <w:r>
              <w:rPr>
                <w:rFonts w:ascii="Calibri" w:hAnsi="Calibri"/>
                <w:b/>
                <w:color w:val="FFFFFF"/>
                <w:sz w:val="19"/>
              </w:rPr>
              <w:t>Specification</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Use Case ID &amp; Title</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BUC-05: One-Click Generation of Official Cybercrime Complaint for Helpline 1930</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Primary Actor</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Scam Target / Active Citizen Reporting Fraud</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Trigger Event</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has analyzed a confirmed scam message and wants to file a complaint with national cyber authorities.</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Pre-Conditions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PromptShield has completed analysis and classified message as Suspicious or Likely Scam.</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Main Success Scenario (Flow)</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1. User reviews analysis results and scrolls to 'Official Cybercrime Report' section.</w:t>
              <w:br/>
              <w:t>2. System automatically populates a structured complaint template containing:</w:t>
              <w:br/>
              <w:t xml:space="preserve">   - Incident Classification (e.g., Banking KYC Phishing / Task Fraud)</w:t>
              <w:br/>
              <w:t xml:space="preserve">   - Sender Identification &amp; Timestamp</w:t>
              <w:br/>
              <w:t xml:space="preserve">   - Neutralized Evidence Text</w:t>
              <w:br/>
              <w:t xml:space="preserve">   - Extracted Malicious URLs &amp; Phone Numbers</w:t>
              <w:br/>
              <w:t xml:space="preserve">   - PromptShield Risk Assessment (Score: 94/100)</w:t>
              <w:br/>
              <w:t>3. User clicks 'Copy Official Incident Complaint'.</w:t>
              <w:br/>
              <w:t>4. System copies formatted text to clipboard and displays direct links to National Cybercrime Portal (`cybercrime.gov.in`) and National Helpline (`1930`).</w:t>
              <w:br/>
              <w:t>5. User pastes formatted text into portal grievance form in seconds.</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Alternative / Exception Flows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3a. Browser clipboard permissions blocked: System displays complaint in selectable read-only text area with instructions.</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Post-Conditions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Official authorities receive high-quality, standardized digital evidence, expediting investigation.</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Business Value &amp; Evaluator Takeaway</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Dramatically lowers friction of reporting cybercrime from 15 minutes of manual writing to 5 seconds.</w:t>
            </w:r>
          </w:p>
        </w:tc>
      </w:tr>
    </w:tbl>
    <w:p/>
    <w:p>
      <w:pPr>
        <w:keepNext/>
        <w:spacing w:before="240" w:after="80"/>
      </w:pPr>
      <w:r>
        <w:rPr>
          <w:rFonts w:ascii="Calibri" w:hAnsi="Calibri"/>
          <w:b/>
          <w:color w:val="1B6CA8"/>
          <w:sz w:val="26"/>
        </w:rPr>
        <w:t>BUC-06: Autonomous Heuristic Fallback During Cloud LLM / Network Outage</w:t>
      </w:r>
    </w:p>
    <w:tbl>
      <w:tblPr>
        <w:tblW w:type="auto" w:w="0"/>
        <w:jc w:val="center"/>
        <w:tblLook w:firstColumn="1" w:firstRow="1" w:lastColumn="0" w:lastRow="0" w:noHBand="0" w:noVBand="1" w:val="04A0"/>
      </w:tblPr>
      <w:tblGrid>
        <w:gridCol w:w="4680"/>
        <w:gridCol w:w="4680"/>
      </w:tblGrid>
      <w:tr>
        <w:tc>
          <w:tcPr>
            <w:tcW w:type="dxa" w:w="2880"/>
            <w:shd w:fill="1B6CA8"/>
            <w:tcMar>
              <w:top w:w="140" w:type="dxa"/>
              <w:bottom w:w="140" w:type="dxa"/>
              <w:left w:w="150" w:type="dxa"/>
              <w:right w:w="150" w:type="dxa"/>
            </w:tcMar>
          </w:tcPr>
          <w:p>
            <w:pPr>
              <w:jc w:val="left"/>
            </w:pPr>
            <w:r>
              <w:rPr>
                <w:rFonts w:ascii="Calibri" w:hAnsi="Calibri"/>
                <w:b/>
                <w:color w:val="FFFFFF"/>
                <w:sz w:val="19"/>
              </w:rPr>
              <w:t>Use Case Parameter</w:t>
            </w:r>
          </w:p>
        </w:tc>
        <w:tc>
          <w:tcPr>
            <w:tcW w:type="dxa" w:w="6480"/>
            <w:shd w:fill="1B6CA8"/>
            <w:tcMar>
              <w:top w:w="140" w:type="dxa"/>
              <w:bottom w:w="140" w:type="dxa"/>
              <w:left w:w="150" w:type="dxa"/>
              <w:right w:w="150" w:type="dxa"/>
            </w:tcMar>
          </w:tcPr>
          <w:p>
            <w:pPr>
              <w:jc w:val="left"/>
            </w:pPr>
            <w:r>
              <w:rPr>
                <w:rFonts w:ascii="Calibri" w:hAnsi="Calibri"/>
                <w:b/>
                <w:color w:val="FFFFFF"/>
                <w:sz w:val="19"/>
              </w:rPr>
              <w:t>Specification</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Use Case ID &amp; Title</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BUC-06: Autonomous Heuristic Fallback During Cloud LLM / Network Outage</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Primary Actor</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Evaluation Jury / Offline User / Developer</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Trigger Event</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Cloud LLM provider (Gemini/OpenAI/Claude) experiences an API outage or local network connectivity is severed.</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Pre-Conditions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User submits a message during an active upstream API failure or rate limit condition.</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Main Success Scenario (Flow)</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1. User submits suspicious text for analysis.</w:t>
              <w:br/>
              <w:t>2. Backend FastAPI service attempts to invoke configured LLM provider.</w:t>
              <w:br/>
              <w:t>3. API call raises timeout (HTTP 504 / ConnectionError / 429 Rate Limit).</w:t>
              <w:br/>
              <w:t>4. Built-in Circuit Breaker activates without crashing the server.</w:t>
              <w:br/>
              <w:t>5. Request is routed immediately to the Deterministic Offline Heuristic Engine.</w:t>
              <w:br/>
              <w:t>6. Heuristic engine evaluates regex rules, linguistic tokens, and URL threat lists.</w:t>
              <w:br/>
              <w:t>7. System constructs complete `AnalyzeResponse` schema with fallback flag `is_fallback: true`.</w:t>
              <w:br/>
              <w:t>8. UI displays accurate risk score, highlighted flags, and safety checklist seamlessly with zero downtime.</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Alternative / Exception Flows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5a. Backend itself is offline: Frontend includes offline analyzer JS fallback in browser.</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Post-Conditions</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The application remains 100% functional and responsive even with zero internet or API keys.</w:t>
            </w:r>
          </w:p>
        </w:tc>
      </w:tr>
      <w:tr>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Business Value &amp; Evaluator Takeaway</w:t>
            </w:r>
          </w:p>
        </w:tc>
        <w:tc>
          <w:tcPr>
            <w:tcW w:type="dxa" w:w="6480"/>
            <w:shd w:fill="FFFFFF"/>
            <w:tcMar>
              <w:top w:w="100" w:type="dxa"/>
              <w:bottom w:w="100" w:type="dxa"/>
              <w:left w:w="140" w:type="dxa"/>
              <w:right w:w="140" w:type="dxa"/>
            </w:tcMar>
          </w:tcPr>
          <w:p>
            <w:pPr>
              <w:spacing w:line="276" w:lineRule="auto"/>
              <w:jc w:val="left"/>
            </w:pPr>
            <w:r>
              <w:rPr>
                <w:rFonts w:ascii="Calibri" w:hAnsi="Calibri"/>
                <w:color w:val="2D3748"/>
                <w:sz w:val="18"/>
              </w:rPr>
              <w:t>Guarantees rock-solid reliability for live hackathon demos and evaluator grading.</w:t>
            </w:r>
          </w:p>
        </w:tc>
      </w:tr>
    </w:tbl>
    <w:p/>
    <w:p>
      <w:pPr>
        <w:keepNext/>
        <w:spacing w:before="360" w:after="120"/>
      </w:pPr>
      <w:r>
        <w:rPr>
          <w:rFonts w:ascii="Calibri" w:hAnsi="Calibri"/>
          <w:b/>
          <w:color w:val="0F2A4A"/>
          <w:sz w:val="32"/>
        </w:rPr>
        <w:t>9. System Architecture &amp; Technical Specifications</w:t>
      </w:r>
    </w:p>
    <w:p>
      <w:pPr>
        <w:keepNext/>
        <w:spacing w:before="240" w:after="80"/>
      </w:pPr>
      <w:r>
        <w:rPr>
          <w:rFonts w:ascii="Calibri" w:hAnsi="Calibri"/>
          <w:b/>
          <w:color w:val="1B6CA8"/>
          <w:sz w:val="26"/>
        </w:rPr>
        <w:t>9.1 Dual-Engine Architecture Pipeline</w:t>
      </w:r>
    </w:p>
    <w:p>
      <w:pPr>
        <w:spacing w:before="40" w:after="80" w:line="276" w:lineRule="auto"/>
      </w:pPr>
      <w:r>
        <w:rPr>
          <w:rFonts w:ascii="Calibri" w:hAnsi="Calibri"/>
          <w:color w:val="2D3748"/>
          <w:sz w:val="20"/>
        </w:rPr>
        <w:t>PromptShield is architected around a dual-engine processing pipeline combining low-latency rule engines with deep semantic LLMs:</w:t>
      </w:r>
    </w:p>
    <w:p>
      <w:pPr>
        <w:pStyle w:val="ListBullet"/>
        <w:spacing w:before="20" w:after="40" w:line="276" w:lineRule="auto"/>
      </w:pPr>
      <w:r>
        <w:rPr>
          <w:rFonts w:ascii="Calibri" w:hAnsi="Calibri"/>
          <w:b/>
          <w:color w:val="2D3748"/>
          <w:sz w:val="20"/>
        </w:rPr>
        <w:t xml:space="preserve">1. Ingestion &amp; Sanitization Layer: </w:t>
      </w:r>
      <w:r>
        <w:rPr>
          <w:rFonts w:ascii="Calibri" w:hAnsi="Calibri"/>
          <w:color w:val="2D3748"/>
          <w:sz w:val="20"/>
        </w:rPr>
        <w:t>Pre-processes raw text, normalizes Unicode lookalikes, strips zero-width spaces, and extracts candidate URLs.</w:t>
      </w:r>
    </w:p>
    <w:p>
      <w:pPr>
        <w:pStyle w:val="ListBullet"/>
        <w:spacing w:before="20" w:after="40" w:line="276" w:lineRule="auto"/>
      </w:pPr>
      <w:r>
        <w:rPr>
          <w:rFonts w:ascii="Calibri" w:hAnsi="Calibri"/>
          <w:b/>
          <w:color w:val="2D3748"/>
          <w:sz w:val="20"/>
        </w:rPr>
        <w:t xml:space="preserve">2. Deterministic Rule Core: </w:t>
      </w:r>
      <w:r>
        <w:rPr>
          <w:rFonts w:ascii="Calibri" w:hAnsi="Calibri"/>
          <w:color w:val="2D3748"/>
          <w:sz w:val="20"/>
        </w:rPr>
        <w:t>Executes 40+ pre-compiled regular expressions identifying urgency triggers, banking terms, shortlinks, telecom headers, and APK file patterns in &lt; 50ms.</w:t>
      </w:r>
    </w:p>
    <w:p>
      <w:pPr>
        <w:pStyle w:val="ListBullet"/>
        <w:spacing w:before="20" w:after="40" w:line="276" w:lineRule="auto"/>
      </w:pPr>
      <w:r>
        <w:rPr>
          <w:rFonts w:ascii="Calibri" w:hAnsi="Calibri"/>
          <w:b/>
          <w:color w:val="2D3748"/>
          <w:sz w:val="20"/>
        </w:rPr>
        <w:t xml:space="preserve">3. Cognitive Semantic LLM: </w:t>
      </w:r>
      <w:r>
        <w:rPr>
          <w:rFonts w:ascii="Calibri" w:hAnsi="Calibri"/>
          <w:color w:val="2D3748"/>
          <w:sz w:val="20"/>
        </w:rPr>
        <w:t>Dispatches context to Gemini 1.5 Flash / Claude 3.5 Sonnet / GPT-4o-mini using strict system prompts enforcing structured JSON schema.</w:t>
      </w:r>
    </w:p>
    <w:p>
      <w:pPr>
        <w:pStyle w:val="ListBullet"/>
        <w:spacing w:before="20" w:after="40" w:line="276" w:lineRule="auto"/>
      </w:pPr>
      <w:r>
        <w:rPr>
          <w:rFonts w:ascii="Calibri" w:hAnsi="Calibri"/>
          <w:b/>
          <w:color w:val="2D3748"/>
          <w:sz w:val="20"/>
        </w:rPr>
        <w:t xml:space="preserve">4. Pydantic Schema Validator: </w:t>
      </w:r>
      <w:r>
        <w:rPr>
          <w:rFonts w:ascii="Calibri" w:hAnsi="Calibri"/>
          <w:color w:val="2D3748"/>
          <w:sz w:val="20"/>
        </w:rPr>
        <w:t>Validates response against Pydantic models. If schema validation fails or an exception occurs, fallback rules take over instantaneously.</w:t>
      </w:r>
    </w:p>
    <w:p>
      <w:pPr>
        <w:pStyle w:val="ListBullet"/>
        <w:spacing w:before="20" w:after="40" w:line="276" w:lineRule="auto"/>
      </w:pPr>
      <w:r>
        <w:rPr>
          <w:rFonts w:ascii="Calibri" w:hAnsi="Calibri"/>
          <w:b/>
          <w:color w:val="2D3748"/>
          <w:sz w:val="20"/>
        </w:rPr>
        <w:t xml:space="preserve">5. Explainability &amp; Output Formatter: </w:t>
      </w:r>
      <w:r>
        <w:rPr>
          <w:rFonts w:ascii="Calibri" w:hAnsi="Calibri"/>
          <w:color w:val="2D3748"/>
          <w:sz w:val="20"/>
        </w:rPr>
        <w:t>Maps extracted threat quotes to original text indices, generating interactive red-flag spans, checklists, and 1930 complaint drafts.</w:t>
      </w:r>
    </w:p>
    <w:p>
      <w:pPr>
        <w:keepNext/>
        <w:spacing w:before="240" w:after="80"/>
      </w:pPr>
      <w:r>
        <w:rPr>
          <w:rFonts w:ascii="Calibri" w:hAnsi="Calibri"/>
          <w:b/>
          <w:color w:val="1B6CA8"/>
          <w:sz w:val="26"/>
        </w:rPr>
        <w:t>9.2 Technical Stack Specification</w:t>
      </w:r>
    </w:p>
    <w:tbl>
      <w:tblPr>
        <w:tblW w:type="auto" w:w="0"/>
        <w:jc w:val="center"/>
        <w:tblLook w:firstColumn="1" w:firstRow="1" w:lastColumn="0" w:lastRow="0" w:noHBand="0" w:noVBand="1" w:val="04A0"/>
      </w:tblPr>
      <w:tblGrid>
        <w:gridCol w:w="2340"/>
        <w:gridCol w:w="2340"/>
        <w:gridCol w:w="2340"/>
        <w:gridCol w:w="2340"/>
      </w:tblGrid>
      <w:tr>
        <w:tc>
          <w:tcPr>
            <w:tcW w:type="dxa" w:w="2160"/>
            <w:shd w:fill="0F2A4A"/>
            <w:tcMar>
              <w:top w:w="140" w:type="dxa"/>
              <w:bottom w:w="140" w:type="dxa"/>
              <w:left w:w="150" w:type="dxa"/>
              <w:right w:w="150" w:type="dxa"/>
            </w:tcMar>
          </w:tcPr>
          <w:p>
            <w:pPr>
              <w:jc w:val="left"/>
            </w:pPr>
            <w:r>
              <w:rPr>
                <w:rFonts w:ascii="Calibri" w:hAnsi="Calibri"/>
                <w:b/>
                <w:color w:val="FFFFFF"/>
                <w:sz w:val="19"/>
              </w:rPr>
              <w:t>Layer / Component</w:t>
            </w:r>
          </w:p>
        </w:tc>
        <w:tc>
          <w:tcPr>
            <w:tcW w:type="dxa" w:w="2592"/>
            <w:shd w:fill="0F2A4A"/>
            <w:tcMar>
              <w:top w:w="140" w:type="dxa"/>
              <w:bottom w:w="140" w:type="dxa"/>
              <w:left w:w="150" w:type="dxa"/>
              <w:right w:w="150" w:type="dxa"/>
            </w:tcMar>
          </w:tcPr>
          <w:p>
            <w:pPr>
              <w:jc w:val="left"/>
            </w:pPr>
            <w:r>
              <w:rPr>
                <w:rFonts w:ascii="Calibri" w:hAnsi="Calibri"/>
                <w:b/>
                <w:color w:val="FFFFFF"/>
                <w:sz w:val="19"/>
              </w:rPr>
              <w:t>Technology / Framework</w:t>
            </w:r>
          </w:p>
        </w:tc>
        <w:tc>
          <w:tcPr>
            <w:tcW w:type="dxa" w:w="1728"/>
            <w:shd w:fill="0F2A4A"/>
            <w:tcMar>
              <w:top w:w="140" w:type="dxa"/>
              <w:bottom w:w="140" w:type="dxa"/>
              <w:left w:w="150" w:type="dxa"/>
              <w:right w:w="150" w:type="dxa"/>
            </w:tcMar>
          </w:tcPr>
          <w:p>
            <w:pPr>
              <w:jc w:val="left"/>
            </w:pPr>
            <w:r>
              <w:rPr>
                <w:rFonts w:ascii="Calibri" w:hAnsi="Calibri"/>
                <w:b/>
                <w:color w:val="FFFFFF"/>
                <w:sz w:val="19"/>
              </w:rPr>
              <w:t>Version</w:t>
            </w:r>
          </w:p>
        </w:tc>
        <w:tc>
          <w:tcPr>
            <w:tcW w:type="dxa" w:w="2880"/>
            <w:shd w:fill="0F2A4A"/>
            <w:tcMar>
              <w:top w:w="140" w:type="dxa"/>
              <w:bottom w:w="140" w:type="dxa"/>
              <w:left w:w="150" w:type="dxa"/>
              <w:right w:w="150" w:type="dxa"/>
            </w:tcMar>
          </w:tcPr>
          <w:p>
            <w:pPr>
              <w:jc w:val="left"/>
            </w:pPr>
            <w:r>
              <w:rPr>
                <w:rFonts w:ascii="Calibri" w:hAnsi="Calibri"/>
                <w:b/>
                <w:color w:val="FFFFFF"/>
                <w:sz w:val="19"/>
              </w:rPr>
              <w:t>Architectural Role &amp; Justification</w:t>
            </w:r>
          </w:p>
        </w:tc>
      </w:tr>
      <w:tr>
        <w:tc>
          <w:tcPr>
            <w:tcW w:type="dxa" w:w="2160"/>
            <w:shd w:fill="FFFFFF"/>
            <w:tcMar>
              <w:top w:w="100" w:type="dxa"/>
              <w:bottom w:w="100" w:type="dxa"/>
              <w:left w:w="140" w:type="dxa"/>
              <w:right w:w="140" w:type="dxa"/>
            </w:tcMar>
          </w:tcPr>
          <w:p>
            <w:pPr>
              <w:spacing w:line="276" w:lineRule="auto"/>
              <w:jc w:val="left"/>
            </w:pPr>
            <w:r>
              <w:rPr>
                <w:rFonts w:ascii="Calibri" w:hAnsi="Calibri"/>
                <w:color w:val="2D3748"/>
                <w:sz w:val="18"/>
              </w:rPr>
              <w:t>Frontend UI</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React.js + Tailwind CSS</w:t>
            </w:r>
          </w:p>
        </w:tc>
        <w:tc>
          <w:tcPr>
            <w:tcW w:type="dxa" w:w="1728"/>
            <w:shd w:fill="FFFFFF"/>
            <w:tcMar>
              <w:top w:w="100" w:type="dxa"/>
              <w:bottom w:w="100" w:type="dxa"/>
              <w:left w:w="140" w:type="dxa"/>
              <w:right w:w="140" w:type="dxa"/>
            </w:tcMar>
          </w:tcPr>
          <w:p>
            <w:pPr>
              <w:spacing w:line="276" w:lineRule="auto"/>
              <w:jc w:val="left"/>
            </w:pPr>
            <w:r>
              <w:rPr>
                <w:rFonts w:ascii="Calibri" w:hAnsi="Calibri"/>
                <w:color w:val="2D3748"/>
                <w:sz w:val="18"/>
              </w:rPr>
              <w:t>React 18.3 / Tailwind 3.4</w:t>
            </w:r>
          </w:p>
        </w:tc>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Declarative, responsive citizen UI with accessible state management</w:t>
            </w:r>
          </w:p>
        </w:tc>
      </w:tr>
      <w:tr>
        <w:tc>
          <w:tcPr>
            <w:tcW w:type="dxa" w:w="2160"/>
            <w:shd w:fill="F7FAFC"/>
            <w:tcMar>
              <w:top w:w="100" w:type="dxa"/>
              <w:bottom w:w="100" w:type="dxa"/>
              <w:left w:w="140" w:type="dxa"/>
              <w:right w:w="140" w:type="dxa"/>
            </w:tcMar>
          </w:tcPr>
          <w:p>
            <w:pPr>
              <w:spacing w:line="276" w:lineRule="auto"/>
              <w:jc w:val="left"/>
            </w:pPr>
            <w:r>
              <w:rPr>
                <w:rFonts w:ascii="Calibri" w:hAnsi="Calibri"/>
                <w:color w:val="2D3748"/>
                <w:sz w:val="18"/>
              </w:rPr>
              <w:t>Build Tool</w:t>
            </w:r>
          </w:p>
        </w:tc>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Vite</w:t>
            </w:r>
          </w:p>
        </w:tc>
        <w:tc>
          <w:tcPr>
            <w:tcW w:type="dxa" w:w="1728"/>
            <w:shd w:fill="F7FAFC"/>
            <w:tcMar>
              <w:top w:w="100" w:type="dxa"/>
              <w:bottom w:w="100" w:type="dxa"/>
              <w:left w:w="140" w:type="dxa"/>
              <w:right w:w="140" w:type="dxa"/>
            </w:tcMar>
          </w:tcPr>
          <w:p>
            <w:pPr>
              <w:spacing w:line="276" w:lineRule="auto"/>
              <w:jc w:val="left"/>
            </w:pPr>
            <w:r>
              <w:rPr>
                <w:rFonts w:ascii="Calibri" w:hAnsi="Calibri"/>
                <w:color w:val="2D3748"/>
                <w:sz w:val="18"/>
              </w:rPr>
              <w:t>Vite 5.x</w:t>
            </w:r>
          </w:p>
        </w:tc>
        <w:tc>
          <w:tcPr>
            <w:tcW w:type="dxa" w:w="2880"/>
            <w:shd w:fill="F7FAFC"/>
            <w:tcMar>
              <w:top w:w="100" w:type="dxa"/>
              <w:bottom w:w="100" w:type="dxa"/>
              <w:left w:w="140" w:type="dxa"/>
              <w:right w:w="140" w:type="dxa"/>
            </w:tcMar>
          </w:tcPr>
          <w:p>
            <w:pPr>
              <w:spacing w:line="276" w:lineRule="auto"/>
              <w:jc w:val="left"/>
            </w:pPr>
            <w:r>
              <w:rPr>
                <w:rFonts w:ascii="Calibri" w:hAnsi="Calibri"/>
                <w:color w:val="2D3748"/>
                <w:sz w:val="18"/>
              </w:rPr>
              <w:t>Sub-second hot-reloading and optimized production bundle</w:t>
            </w:r>
          </w:p>
        </w:tc>
      </w:tr>
      <w:tr>
        <w:tc>
          <w:tcPr>
            <w:tcW w:type="dxa" w:w="2160"/>
            <w:shd w:fill="FFFFFF"/>
            <w:tcMar>
              <w:top w:w="100" w:type="dxa"/>
              <w:bottom w:w="100" w:type="dxa"/>
              <w:left w:w="140" w:type="dxa"/>
              <w:right w:w="140" w:type="dxa"/>
            </w:tcMar>
          </w:tcPr>
          <w:p>
            <w:pPr>
              <w:spacing w:line="276" w:lineRule="auto"/>
              <w:jc w:val="left"/>
            </w:pPr>
            <w:r>
              <w:rPr>
                <w:rFonts w:ascii="Calibri" w:hAnsi="Calibri"/>
                <w:color w:val="2D3748"/>
                <w:sz w:val="18"/>
              </w:rPr>
              <w:t>Icons</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Lucide React</w:t>
            </w:r>
          </w:p>
        </w:tc>
        <w:tc>
          <w:tcPr>
            <w:tcW w:type="dxa" w:w="1728"/>
            <w:shd w:fill="FFFFFF"/>
            <w:tcMar>
              <w:top w:w="100" w:type="dxa"/>
              <w:bottom w:w="100" w:type="dxa"/>
              <w:left w:w="140" w:type="dxa"/>
              <w:right w:w="140" w:type="dxa"/>
            </w:tcMar>
          </w:tcPr>
          <w:p>
            <w:pPr>
              <w:spacing w:line="276" w:lineRule="auto"/>
              <w:jc w:val="left"/>
            </w:pPr>
            <w:r>
              <w:rPr>
                <w:rFonts w:ascii="Calibri" w:hAnsi="Calibri"/>
                <w:color w:val="2D3748"/>
                <w:sz w:val="18"/>
              </w:rPr>
              <w:t>Lucide 0.380+</w:t>
            </w:r>
          </w:p>
        </w:tc>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Crisp, intuitive visual indicators for threats and safety actions</w:t>
            </w:r>
          </w:p>
        </w:tc>
      </w:tr>
      <w:tr>
        <w:tc>
          <w:tcPr>
            <w:tcW w:type="dxa" w:w="2160"/>
            <w:shd w:fill="F7FAFC"/>
            <w:tcMar>
              <w:top w:w="100" w:type="dxa"/>
              <w:bottom w:w="100" w:type="dxa"/>
              <w:left w:w="140" w:type="dxa"/>
              <w:right w:w="140" w:type="dxa"/>
            </w:tcMar>
          </w:tcPr>
          <w:p>
            <w:pPr>
              <w:spacing w:line="276" w:lineRule="auto"/>
              <w:jc w:val="left"/>
            </w:pPr>
            <w:r>
              <w:rPr>
                <w:rFonts w:ascii="Calibri" w:hAnsi="Calibri"/>
                <w:color w:val="2D3748"/>
                <w:sz w:val="18"/>
              </w:rPr>
              <w:t>Backend API</w:t>
            </w:r>
          </w:p>
        </w:tc>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FastAPI (Python)</w:t>
            </w:r>
          </w:p>
        </w:tc>
        <w:tc>
          <w:tcPr>
            <w:tcW w:type="dxa" w:w="1728"/>
            <w:shd w:fill="F7FAFC"/>
            <w:tcMar>
              <w:top w:w="100" w:type="dxa"/>
              <w:bottom w:w="100" w:type="dxa"/>
              <w:left w:w="140" w:type="dxa"/>
              <w:right w:w="140" w:type="dxa"/>
            </w:tcMar>
          </w:tcPr>
          <w:p>
            <w:pPr>
              <w:spacing w:line="276" w:lineRule="auto"/>
              <w:jc w:val="left"/>
            </w:pPr>
            <w:r>
              <w:rPr>
                <w:rFonts w:ascii="Calibri" w:hAnsi="Calibri"/>
                <w:color w:val="2D3748"/>
                <w:sz w:val="18"/>
              </w:rPr>
              <w:t>FastAPI 0.111+ / Python 3.11+</w:t>
            </w:r>
          </w:p>
        </w:tc>
        <w:tc>
          <w:tcPr>
            <w:tcW w:type="dxa" w:w="2880"/>
            <w:shd w:fill="F7FAFC"/>
            <w:tcMar>
              <w:top w:w="100" w:type="dxa"/>
              <w:bottom w:w="100" w:type="dxa"/>
              <w:left w:w="140" w:type="dxa"/>
              <w:right w:w="140" w:type="dxa"/>
            </w:tcMar>
          </w:tcPr>
          <w:p>
            <w:pPr>
              <w:spacing w:line="276" w:lineRule="auto"/>
              <w:jc w:val="left"/>
            </w:pPr>
            <w:r>
              <w:rPr>
                <w:rFonts w:ascii="Calibri" w:hAnsi="Calibri"/>
                <w:color w:val="2D3748"/>
                <w:sz w:val="18"/>
              </w:rPr>
              <w:t>High-performance asynchronous REST endpoints with native Pydantic validation</w:t>
            </w:r>
          </w:p>
        </w:tc>
      </w:tr>
      <w:tr>
        <w:tc>
          <w:tcPr>
            <w:tcW w:type="dxa" w:w="2160"/>
            <w:shd w:fill="FFFFFF"/>
            <w:tcMar>
              <w:top w:w="100" w:type="dxa"/>
              <w:bottom w:w="100" w:type="dxa"/>
              <w:left w:w="140" w:type="dxa"/>
              <w:right w:w="140" w:type="dxa"/>
            </w:tcMar>
          </w:tcPr>
          <w:p>
            <w:pPr>
              <w:spacing w:line="276" w:lineRule="auto"/>
              <w:jc w:val="left"/>
            </w:pPr>
            <w:r>
              <w:rPr>
                <w:rFonts w:ascii="Calibri" w:hAnsi="Calibri"/>
                <w:color w:val="2D3748"/>
                <w:sz w:val="18"/>
              </w:rPr>
              <w:t>ASGI Server</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Uvicorn</w:t>
            </w:r>
          </w:p>
        </w:tc>
        <w:tc>
          <w:tcPr>
            <w:tcW w:type="dxa" w:w="1728"/>
            <w:shd w:fill="FFFFFF"/>
            <w:tcMar>
              <w:top w:w="100" w:type="dxa"/>
              <w:bottom w:w="100" w:type="dxa"/>
              <w:left w:w="140" w:type="dxa"/>
              <w:right w:w="140" w:type="dxa"/>
            </w:tcMar>
          </w:tcPr>
          <w:p>
            <w:pPr>
              <w:spacing w:line="276" w:lineRule="auto"/>
              <w:jc w:val="left"/>
            </w:pPr>
            <w:r>
              <w:rPr>
                <w:rFonts w:ascii="Calibri" w:hAnsi="Calibri"/>
                <w:color w:val="2D3748"/>
                <w:sz w:val="18"/>
              </w:rPr>
              <w:t>Uvicorn 0.30+</w:t>
            </w:r>
          </w:p>
        </w:tc>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Lightning-fast ASGI event loop capable of handling thousands of requests</w:t>
            </w:r>
          </w:p>
        </w:tc>
      </w:tr>
      <w:tr>
        <w:tc>
          <w:tcPr>
            <w:tcW w:type="dxa" w:w="2160"/>
            <w:shd w:fill="F7FAFC"/>
            <w:tcMar>
              <w:top w:w="100" w:type="dxa"/>
              <w:bottom w:w="100" w:type="dxa"/>
              <w:left w:w="140" w:type="dxa"/>
              <w:right w:w="140" w:type="dxa"/>
            </w:tcMar>
          </w:tcPr>
          <w:p>
            <w:pPr>
              <w:spacing w:line="276" w:lineRule="auto"/>
              <w:jc w:val="left"/>
            </w:pPr>
            <w:r>
              <w:rPr>
                <w:rFonts w:ascii="Calibri" w:hAnsi="Calibri"/>
                <w:color w:val="2D3748"/>
                <w:sz w:val="18"/>
              </w:rPr>
              <w:t>AI Orchestration</w:t>
            </w:r>
          </w:p>
        </w:tc>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Multi-Provider SDKs</w:t>
            </w:r>
          </w:p>
        </w:tc>
        <w:tc>
          <w:tcPr>
            <w:tcW w:type="dxa" w:w="1728"/>
            <w:shd w:fill="F7FAFC"/>
            <w:tcMar>
              <w:top w:w="100" w:type="dxa"/>
              <w:bottom w:w="100" w:type="dxa"/>
              <w:left w:w="140" w:type="dxa"/>
              <w:right w:w="140" w:type="dxa"/>
            </w:tcMar>
          </w:tcPr>
          <w:p>
            <w:pPr>
              <w:spacing w:line="276" w:lineRule="auto"/>
              <w:jc w:val="left"/>
            </w:pPr>
            <w:r>
              <w:rPr>
                <w:rFonts w:ascii="Calibri" w:hAnsi="Calibri"/>
                <w:color w:val="2D3748"/>
                <w:sz w:val="18"/>
              </w:rPr>
              <w:t>Google GenAI / Anthropic / OpenAI</w:t>
            </w:r>
          </w:p>
        </w:tc>
        <w:tc>
          <w:tcPr>
            <w:tcW w:type="dxa" w:w="2880"/>
            <w:shd w:fill="F7FAFC"/>
            <w:tcMar>
              <w:top w:w="100" w:type="dxa"/>
              <w:bottom w:w="100" w:type="dxa"/>
              <w:left w:w="140" w:type="dxa"/>
              <w:right w:w="140" w:type="dxa"/>
            </w:tcMar>
          </w:tcPr>
          <w:p>
            <w:pPr>
              <w:spacing w:line="276" w:lineRule="auto"/>
              <w:jc w:val="left"/>
            </w:pPr>
            <w:r>
              <w:rPr>
                <w:rFonts w:ascii="Calibri" w:hAnsi="Calibri"/>
                <w:color w:val="2D3748"/>
                <w:sz w:val="18"/>
              </w:rPr>
              <w:t>Cognitive semantic analysis with zero-shot explainable red flags</w:t>
            </w:r>
          </w:p>
        </w:tc>
      </w:tr>
      <w:tr>
        <w:tc>
          <w:tcPr>
            <w:tcW w:type="dxa" w:w="2160"/>
            <w:shd w:fill="FFFFFF"/>
            <w:tcMar>
              <w:top w:w="100" w:type="dxa"/>
              <w:bottom w:w="100" w:type="dxa"/>
              <w:left w:w="140" w:type="dxa"/>
              <w:right w:w="140" w:type="dxa"/>
            </w:tcMar>
          </w:tcPr>
          <w:p>
            <w:pPr>
              <w:spacing w:line="276" w:lineRule="auto"/>
              <w:jc w:val="left"/>
            </w:pPr>
            <w:r>
              <w:rPr>
                <w:rFonts w:ascii="Calibri" w:hAnsi="Calibri"/>
                <w:color w:val="2D3748"/>
                <w:sz w:val="18"/>
              </w:rPr>
              <w:t>Containerization</w:t>
            </w:r>
          </w:p>
        </w:tc>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Docker (Multi-Stage)</w:t>
            </w:r>
          </w:p>
        </w:tc>
        <w:tc>
          <w:tcPr>
            <w:tcW w:type="dxa" w:w="1728"/>
            <w:shd w:fill="FFFFFF"/>
            <w:tcMar>
              <w:top w:w="100" w:type="dxa"/>
              <w:bottom w:w="100" w:type="dxa"/>
              <w:left w:w="140" w:type="dxa"/>
              <w:right w:w="140" w:type="dxa"/>
            </w:tcMar>
          </w:tcPr>
          <w:p>
            <w:pPr>
              <w:spacing w:line="276" w:lineRule="auto"/>
              <w:jc w:val="left"/>
            </w:pPr>
            <w:r>
              <w:rPr>
                <w:rFonts w:ascii="Calibri" w:hAnsi="Calibri"/>
                <w:color w:val="2D3748"/>
                <w:sz w:val="18"/>
              </w:rPr>
              <w:t>Docker Engine 26+</w:t>
            </w:r>
          </w:p>
        </w:tc>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Multi-stage build packaging React dist and Python FastAPI in one container</w:t>
            </w:r>
          </w:p>
        </w:tc>
      </w:tr>
      <w:tr>
        <w:tc>
          <w:tcPr>
            <w:tcW w:type="dxa" w:w="2160"/>
            <w:shd w:fill="F7FAFC"/>
            <w:tcMar>
              <w:top w:w="100" w:type="dxa"/>
              <w:bottom w:w="100" w:type="dxa"/>
              <w:left w:w="140" w:type="dxa"/>
              <w:right w:w="140" w:type="dxa"/>
            </w:tcMar>
          </w:tcPr>
          <w:p>
            <w:pPr>
              <w:spacing w:line="276" w:lineRule="auto"/>
              <w:jc w:val="left"/>
            </w:pPr>
            <w:r>
              <w:rPr>
                <w:rFonts w:ascii="Calibri" w:hAnsi="Calibri"/>
                <w:color w:val="2D3748"/>
                <w:sz w:val="18"/>
              </w:rPr>
              <w:t>Deployment</w:t>
            </w:r>
          </w:p>
        </w:tc>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Render / Railway Cloud</w:t>
            </w:r>
          </w:p>
        </w:tc>
        <w:tc>
          <w:tcPr>
            <w:tcW w:type="dxa" w:w="1728"/>
            <w:shd w:fill="F7FAFC"/>
            <w:tcMar>
              <w:top w:w="100" w:type="dxa"/>
              <w:bottom w:w="100" w:type="dxa"/>
              <w:left w:w="140" w:type="dxa"/>
              <w:right w:w="140" w:type="dxa"/>
            </w:tcMar>
          </w:tcPr>
          <w:p>
            <w:pPr>
              <w:spacing w:line="276" w:lineRule="auto"/>
              <w:jc w:val="left"/>
            </w:pPr>
            <w:r>
              <w:rPr>
                <w:rFonts w:ascii="Calibri" w:hAnsi="Calibri"/>
                <w:color w:val="2D3748"/>
                <w:sz w:val="18"/>
              </w:rPr>
              <w:t>Cloud PaaS</w:t>
            </w:r>
          </w:p>
        </w:tc>
        <w:tc>
          <w:tcPr>
            <w:tcW w:type="dxa" w:w="2880"/>
            <w:shd w:fill="F7FAFC"/>
            <w:tcMar>
              <w:top w:w="100" w:type="dxa"/>
              <w:bottom w:w="100" w:type="dxa"/>
              <w:left w:w="140" w:type="dxa"/>
              <w:right w:w="140" w:type="dxa"/>
            </w:tcMar>
          </w:tcPr>
          <w:p>
            <w:pPr>
              <w:spacing w:line="276" w:lineRule="auto"/>
              <w:jc w:val="left"/>
            </w:pPr>
            <w:r>
              <w:rPr>
                <w:rFonts w:ascii="Calibri" w:hAnsi="Calibri"/>
                <w:color w:val="2D3748"/>
                <w:sz w:val="18"/>
              </w:rPr>
              <w:t>Automatic CI/CD pipeline triggered upon GitHub push</w:t>
            </w:r>
          </w:p>
        </w:tc>
      </w:tr>
    </w:tbl>
    <w:p>
      <w:pPr>
        <w:keepNext/>
        <w:spacing w:before="360" w:after="120"/>
      </w:pPr>
      <w:r>
        <w:rPr>
          <w:rFonts w:ascii="Calibri" w:hAnsi="Calibri"/>
          <w:b/>
          <w:color w:val="0F2A4A"/>
          <w:sz w:val="32"/>
        </w:rPr>
        <w:t>10. Risk Assessment &amp; Mitigation Matrix</w:t>
      </w:r>
    </w:p>
    <w:p>
      <w:pPr>
        <w:spacing w:before="40" w:after="80" w:line="276" w:lineRule="auto"/>
      </w:pPr>
      <w:r>
        <w:rPr>
          <w:rFonts w:ascii="Calibri" w:hAnsi="Calibri"/>
          <w:color w:val="2D3748"/>
          <w:sz w:val="20"/>
        </w:rPr>
        <w:t>Identifying technical and operational risks ensures that PromptShield maintains resilience in production environments.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0F2A4A"/>
            <w:tcMar>
              <w:top w:w="140" w:type="dxa"/>
              <w:bottom w:w="140" w:type="dxa"/>
              <w:left w:w="150" w:type="dxa"/>
              <w:right w:w="150" w:type="dxa"/>
            </w:tcMar>
          </w:tcPr>
          <w:p>
            <w:pPr>
              <w:jc w:val="left"/>
            </w:pPr>
            <w:r>
              <w:rPr>
                <w:rFonts w:ascii="Calibri" w:hAnsi="Calibri"/>
                <w:b/>
                <w:color w:val="FFFFFF"/>
                <w:sz w:val="19"/>
              </w:rPr>
              <w:t>Risk ID</w:t>
            </w:r>
          </w:p>
        </w:tc>
        <w:tc>
          <w:tcPr>
            <w:tcW w:type="dxa" w:w="2448"/>
            <w:shd w:fill="0F2A4A"/>
            <w:tcMar>
              <w:top w:w="140" w:type="dxa"/>
              <w:bottom w:w="140" w:type="dxa"/>
              <w:left w:w="150" w:type="dxa"/>
              <w:right w:w="150" w:type="dxa"/>
            </w:tcMar>
          </w:tcPr>
          <w:p>
            <w:pPr>
              <w:jc w:val="left"/>
            </w:pPr>
            <w:r>
              <w:rPr>
                <w:rFonts w:ascii="Calibri" w:hAnsi="Calibri"/>
                <w:b/>
                <w:color w:val="FFFFFF"/>
                <w:sz w:val="19"/>
              </w:rPr>
              <w:t>Risk Description</w:t>
            </w:r>
          </w:p>
        </w:tc>
        <w:tc>
          <w:tcPr>
            <w:tcW w:type="dxa" w:w="1152"/>
            <w:shd w:fill="0F2A4A"/>
            <w:tcMar>
              <w:top w:w="140" w:type="dxa"/>
              <w:bottom w:w="140" w:type="dxa"/>
              <w:left w:w="150" w:type="dxa"/>
              <w:right w:w="150" w:type="dxa"/>
            </w:tcMar>
          </w:tcPr>
          <w:p>
            <w:pPr>
              <w:jc w:val="left"/>
            </w:pPr>
            <w:r>
              <w:rPr>
                <w:rFonts w:ascii="Calibri" w:hAnsi="Calibri"/>
                <w:b/>
                <w:color w:val="FFFFFF"/>
                <w:sz w:val="19"/>
              </w:rPr>
              <w:t>Severity</w:t>
            </w:r>
          </w:p>
        </w:tc>
        <w:tc>
          <w:tcPr>
            <w:tcW w:type="dxa" w:w="1152"/>
            <w:shd w:fill="0F2A4A"/>
            <w:tcMar>
              <w:top w:w="140" w:type="dxa"/>
              <w:bottom w:w="140" w:type="dxa"/>
              <w:left w:w="150" w:type="dxa"/>
              <w:right w:w="150" w:type="dxa"/>
            </w:tcMar>
          </w:tcPr>
          <w:p>
            <w:pPr>
              <w:jc w:val="left"/>
            </w:pPr>
            <w:r>
              <w:rPr>
                <w:rFonts w:ascii="Calibri" w:hAnsi="Calibri"/>
                <w:b/>
                <w:color w:val="FFFFFF"/>
                <w:sz w:val="19"/>
              </w:rPr>
              <w:t>Likelihood</w:t>
            </w:r>
          </w:p>
        </w:tc>
        <w:tc>
          <w:tcPr>
            <w:tcW w:type="dxa" w:w="1152"/>
            <w:shd w:fill="0F2A4A"/>
            <w:tcMar>
              <w:top w:w="140" w:type="dxa"/>
              <w:bottom w:w="140" w:type="dxa"/>
              <w:left w:w="150" w:type="dxa"/>
              <w:right w:w="150" w:type="dxa"/>
            </w:tcMar>
          </w:tcPr>
          <w:p>
            <w:pPr>
              <w:jc w:val="left"/>
            </w:pPr>
            <w:r>
              <w:rPr>
                <w:rFonts w:ascii="Calibri" w:hAnsi="Calibri"/>
                <w:b/>
                <w:color w:val="FFFFFF"/>
                <w:sz w:val="19"/>
              </w:rPr>
              <w:t>Risk Level</w:t>
            </w:r>
          </w:p>
        </w:tc>
        <w:tc>
          <w:tcPr>
            <w:tcW w:type="dxa" w:w="2448"/>
            <w:shd w:fill="0F2A4A"/>
            <w:tcMar>
              <w:top w:w="140" w:type="dxa"/>
              <w:bottom w:w="140" w:type="dxa"/>
              <w:left w:w="150" w:type="dxa"/>
              <w:right w:w="150" w:type="dxa"/>
            </w:tcMar>
          </w:tcPr>
          <w:p>
            <w:pPr>
              <w:jc w:val="left"/>
            </w:pPr>
            <w:r>
              <w:rPr>
                <w:rFonts w:ascii="Calibri" w:hAnsi="Calibri"/>
                <w:b/>
                <w:color w:val="FFFFFF"/>
                <w:sz w:val="19"/>
              </w:rPr>
              <w:t>Proactive Mitigation Strategy</w:t>
            </w:r>
          </w:p>
        </w:tc>
      </w:tr>
      <w:tr>
        <w:tc>
          <w:tcPr>
            <w:tcW w:type="dxa" w:w="1008"/>
            <w:shd w:fill="FFFFFF"/>
            <w:tcMar>
              <w:top w:w="100" w:type="dxa"/>
              <w:bottom w:w="100" w:type="dxa"/>
              <w:left w:w="140" w:type="dxa"/>
              <w:right w:w="140" w:type="dxa"/>
            </w:tcMar>
          </w:tcPr>
          <w:p>
            <w:pPr>
              <w:spacing w:line="276" w:lineRule="auto"/>
              <w:jc w:val="left"/>
            </w:pPr>
            <w:r>
              <w:rPr>
                <w:rFonts w:ascii="Calibri" w:hAnsi="Calibri"/>
                <w:color w:val="2D3748"/>
                <w:sz w:val="18"/>
              </w:rPr>
              <w:t>R-01</w:t>
            </w:r>
          </w:p>
        </w:tc>
        <w:tc>
          <w:tcPr>
            <w:tcW w:type="dxa" w:w="2448"/>
            <w:shd w:fill="FFFFFF"/>
            <w:tcMar>
              <w:top w:w="100" w:type="dxa"/>
              <w:bottom w:w="100" w:type="dxa"/>
              <w:left w:w="140" w:type="dxa"/>
              <w:right w:w="140" w:type="dxa"/>
            </w:tcMar>
          </w:tcPr>
          <w:p>
            <w:pPr>
              <w:spacing w:line="276" w:lineRule="auto"/>
              <w:jc w:val="left"/>
            </w:pPr>
            <w:r>
              <w:rPr>
                <w:rFonts w:ascii="Calibri" w:hAnsi="Calibri"/>
                <w:color w:val="2D3748"/>
                <w:sz w:val="18"/>
              </w:rPr>
              <w:t>LLM Hallucination or Unstructured Format</w:t>
            </w:r>
          </w:p>
        </w:tc>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High</w:t>
            </w:r>
          </w:p>
        </w:tc>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Low</w:t>
            </w:r>
          </w:p>
        </w:tc>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Medium</w:t>
            </w:r>
          </w:p>
        </w:tc>
        <w:tc>
          <w:tcPr>
            <w:tcW w:type="dxa" w:w="2448"/>
            <w:shd w:fill="FFFFFF"/>
            <w:tcMar>
              <w:top w:w="100" w:type="dxa"/>
              <w:bottom w:w="100" w:type="dxa"/>
              <w:left w:w="140" w:type="dxa"/>
              <w:right w:w="140" w:type="dxa"/>
            </w:tcMar>
          </w:tcPr>
          <w:p>
            <w:pPr>
              <w:spacing w:line="276" w:lineRule="auto"/>
              <w:jc w:val="left"/>
            </w:pPr>
            <w:r>
              <w:rPr>
                <w:rFonts w:ascii="Calibri" w:hAnsi="Calibri"/>
                <w:color w:val="2D3748"/>
                <w:sz w:val="18"/>
              </w:rPr>
              <w:t>Enforced strict Pydantic JSON schema; automatic heuristic fallback if output fails validation.</w:t>
            </w:r>
          </w:p>
        </w:tc>
      </w:tr>
      <w:tr>
        <w:tc>
          <w:tcPr>
            <w:tcW w:type="dxa" w:w="1008"/>
            <w:shd w:fill="F7FAFC"/>
            <w:tcMar>
              <w:top w:w="100" w:type="dxa"/>
              <w:bottom w:w="100" w:type="dxa"/>
              <w:left w:w="140" w:type="dxa"/>
              <w:right w:w="140" w:type="dxa"/>
            </w:tcMar>
          </w:tcPr>
          <w:p>
            <w:pPr>
              <w:spacing w:line="276" w:lineRule="auto"/>
              <w:jc w:val="left"/>
            </w:pPr>
            <w:r>
              <w:rPr>
                <w:rFonts w:ascii="Calibri" w:hAnsi="Calibri"/>
                <w:color w:val="2D3748"/>
                <w:sz w:val="18"/>
              </w:rPr>
              <w:t>R-02</w:t>
            </w:r>
          </w:p>
        </w:tc>
        <w:tc>
          <w:tcPr>
            <w:tcW w:type="dxa" w:w="2448"/>
            <w:shd w:fill="F7FAFC"/>
            <w:tcMar>
              <w:top w:w="100" w:type="dxa"/>
              <w:bottom w:w="100" w:type="dxa"/>
              <w:left w:w="140" w:type="dxa"/>
              <w:right w:w="140" w:type="dxa"/>
            </w:tcMar>
          </w:tcPr>
          <w:p>
            <w:pPr>
              <w:spacing w:line="276" w:lineRule="auto"/>
              <w:jc w:val="left"/>
            </w:pPr>
            <w:r>
              <w:rPr>
                <w:rFonts w:ascii="Calibri" w:hAnsi="Calibri"/>
                <w:color w:val="2D3748"/>
                <w:sz w:val="18"/>
              </w:rPr>
              <w:t>Third-Party Cloud AI API Outage / Rate Limit</w:t>
            </w:r>
          </w:p>
        </w:tc>
        <w:tc>
          <w:tcPr>
            <w:tcW w:type="dxa" w:w="1152"/>
            <w:shd w:fill="F7FAFC"/>
            <w:tcMar>
              <w:top w:w="100" w:type="dxa"/>
              <w:bottom w:w="100" w:type="dxa"/>
              <w:left w:w="140" w:type="dxa"/>
              <w:right w:w="140" w:type="dxa"/>
            </w:tcMar>
          </w:tcPr>
          <w:p>
            <w:pPr>
              <w:spacing w:line="276" w:lineRule="auto"/>
              <w:jc w:val="left"/>
            </w:pPr>
            <w:r>
              <w:rPr>
                <w:rFonts w:ascii="Calibri" w:hAnsi="Calibri"/>
                <w:color w:val="2D3748"/>
                <w:sz w:val="18"/>
              </w:rPr>
              <w:t>High</w:t>
            </w:r>
          </w:p>
        </w:tc>
        <w:tc>
          <w:tcPr>
            <w:tcW w:type="dxa" w:w="1152"/>
            <w:shd w:fill="F7FAFC"/>
            <w:tcMar>
              <w:top w:w="100" w:type="dxa"/>
              <w:bottom w:w="100" w:type="dxa"/>
              <w:left w:w="140" w:type="dxa"/>
              <w:right w:w="140" w:type="dxa"/>
            </w:tcMar>
          </w:tcPr>
          <w:p>
            <w:pPr>
              <w:spacing w:line="276" w:lineRule="auto"/>
              <w:jc w:val="left"/>
            </w:pPr>
            <w:r>
              <w:rPr>
                <w:rFonts w:ascii="Calibri" w:hAnsi="Calibri"/>
                <w:color w:val="2D3748"/>
                <w:sz w:val="18"/>
              </w:rPr>
              <w:t>Medium</w:t>
            </w:r>
          </w:p>
        </w:tc>
        <w:tc>
          <w:tcPr>
            <w:tcW w:type="dxa" w:w="1152"/>
            <w:shd w:fill="F7FAFC"/>
            <w:tcMar>
              <w:top w:w="100" w:type="dxa"/>
              <w:bottom w:w="100" w:type="dxa"/>
              <w:left w:w="140" w:type="dxa"/>
              <w:right w:w="140" w:type="dxa"/>
            </w:tcMar>
          </w:tcPr>
          <w:p>
            <w:pPr>
              <w:spacing w:line="276" w:lineRule="auto"/>
              <w:jc w:val="left"/>
            </w:pPr>
            <w:r>
              <w:rPr>
                <w:rFonts w:ascii="Calibri" w:hAnsi="Calibri"/>
                <w:color w:val="2D3748"/>
                <w:sz w:val="18"/>
              </w:rPr>
              <w:t>High</w:t>
            </w:r>
          </w:p>
        </w:tc>
        <w:tc>
          <w:tcPr>
            <w:tcW w:type="dxa" w:w="2448"/>
            <w:shd w:fill="F7FAFC"/>
            <w:tcMar>
              <w:top w:w="100" w:type="dxa"/>
              <w:bottom w:w="100" w:type="dxa"/>
              <w:left w:w="140" w:type="dxa"/>
              <w:right w:w="140" w:type="dxa"/>
            </w:tcMar>
          </w:tcPr>
          <w:p>
            <w:pPr>
              <w:spacing w:line="276" w:lineRule="auto"/>
              <w:jc w:val="left"/>
            </w:pPr>
            <w:r>
              <w:rPr>
                <w:rFonts w:ascii="Calibri" w:hAnsi="Calibri"/>
                <w:color w:val="2D3748"/>
                <w:sz w:val="18"/>
              </w:rPr>
              <w:t>Built-in offline heuristic engine activates seamlessly; app functions 100% offline.</w:t>
            </w:r>
          </w:p>
        </w:tc>
      </w:tr>
      <w:tr>
        <w:tc>
          <w:tcPr>
            <w:tcW w:type="dxa" w:w="1008"/>
            <w:shd w:fill="FFFFFF"/>
            <w:tcMar>
              <w:top w:w="100" w:type="dxa"/>
              <w:bottom w:w="100" w:type="dxa"/>
              <w:left w:w="140" w:type="dxa"/>
              <w:right w:w="140" w:type="dxa"/>
            </w:tcMar>
          </w:tcPr>
          <w:p>
            <w:pPr>
              <w:spacing w:line="276" w:lineRule="auto"/>
              <w:jc w:val="left"/>
            </w:pPr>
            <w:r>
              <w:rPr>
                <w:rFonts w:ascii="Calibri" w:hAnsi="Calibri"/>
                <w:color w:val="2D3748"/>
                <w:sz w:val="18"/>
              </w:rPr>
              <w:t>R-03</w:t>
            </w:r>
          </w:p>
        </w:tc>
        <w:tc>
          <w:tcPr>
            <w:tcW w:type="dxa" w:w="2448"/>
            <w:shd w:fill="FFFFFF"/>
            <w:tcMar>
              <w:top w:w="100" w:type="dxa"/>
              <w:bottom w:w="100" w:type="dxa"/>
              <w:left w:w="140" w:type="dxa"/>
              <w:right w:w="140" w:type="dxa"/>
            </w:tcMar>
          </w:tcPr>
          <w:p>
            <w:pPr>
              <w:spacing w:line="276" w:lineRule="auto"/>
              <w:jc w:val="left"/>
            </w:pPr>
            <w:r>
              <w:rPr>
                <w:rFonts w:ascii="Calibri" w:hAnsi="Calibri"/>
                <w:color w:val="2D3748"/>
                <w:sz w:val="18"/>
              </w:rPr>
              <w:t>Zero-Day Obfuscated Scam Phrasing</w:t>
            </w:r>
          </w:p>
        </w:tc>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Medium</w:t>
            </w:r>
          </w:p>
        </w:tc>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Medium</w:t>
            </w:r>
          </w:p>
        </w:tc>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Medium</w:t>
            </w:r>
          </w:p>
        </w:tc>
        <w:tc>
          <w:tcPr>
            <w:tcW w:type="dxa" w:w="2448"/>
            <w:shd w:fill="FFFFFF"/>
            <w:tcMar>
              <w:top w:w="100" w:type="dxa"/>
              <w:bottom w:w="100" w:type="dxa"/>
              <w:left w:w="140" w:type="dxa"/>
              <w:right w:w="140" w:type="dxa"/>
            </w:tcMar>
          </w:tcPr>
          <w:p>
            <w:pPr>
              <w:spacing w:line="276" w:lineRule="auto"/>
              <w:jc w:val="left"/>
            </w:pPr>
            <w:r>
              <w:rPr>
                <w:rFonts w:ascii="Calibri" w:hAnsi="Calibri"/>
                <w:color w:val="2D3748"/>
                <w:sz w:val="18"/>
              </w:rPr>
              <w:t>Dual-engine captures intent: even if keywords change, semantic LLM identifies social engineering.</w:t>
            </w:r>
          </w:p>
        </w:tc>
      </w:tr>
      <w:tr>
        <w:tc>
          <w:tcPr>
            <w:tcW w:type="dxa" w:w="1008"/>
            <w:shd w:fill="F7FAFC"/>
            <w:tcMar>
              <w:top w:w="100" w:type="dxa"/>
              <w:bottom w:w="100" w:type="dxa"/>
              <w:left w:w="140" w:type="dxa"/>
              <w:right w:w="140" w:type="dxa"/>
            </w:tcMar>
          </w:tcPr>
          <w:p>
            <w:pPr>
              <w:spacing w:line="276" w:lineRule="auto"/>
              <w:jc w:val="left"/>
            </w:pPr>
            <w:r>
              <w:rPr>
                <w:rFonts w:ascii="Calibri" w:hAnsi="Calibri"/>
                <w:color w:val="2D3748"/>
                <w:sz w:val="18"/>
              </w:rPr>
              <w:t>R-04</w:t>
            </w:r>
          </w:p>
        </w:tc>
        <w:tc>
          <w:tcPr>
            <w:tcW w:type="dxa" w:w="2448"/>
            <w:shd w:fill="F7FAFC"/>
            <w:tcMar>
              <w:top w:w="100" w:type="dxa"/>
              <w:bottom w:w="100" w:type="dxa"/>
              <w:left w:w="140" w:type="dxa"/>
              <w:right w:w="140" w:type="dxa"/>
            </w:tcMar>
          </w:tcPr>
          <w:p>
            <w:pPr>
              <w:spacing w:line="276" w:lineRule="auto"/>
              <w:jc w:val="left"/>
            </w:pPr>
            <w:r>
              <w:rPr>
                <w:rFonts w:ascii="Calibri" w:hAnsi="Calibri"/>
                <w:color w:val="2D3748"/>
                <w:sz w:val="18"/>
              </w:rPr>
              <w:t>False Positive on Urgent Legitimate Alert</w:t>
            </w:r>
          </w:p>
        </w:tc>
        <w:tc>
          <w:tcPr>
            <w:tcW w:type="dxa" w:w="1152"/>
            <w:shd w:fill="F7FAFC"/>
            <w:tcMar>
              <w:top w:w="100" w:type="dxa"/>
              <w:bottom w:w="100" w:type="dxa"/>
              <w:left w:w="140" w:type="dxa"/>
              <w:right w:w="140" w:type="dxa"/>
            </w:tcMar>
          </w:tcPr>
          <w:p>
            <w:pPr>
              <w:spacing w:line="276" w:lineRule="auto"/>
              <w:jc w:val="left"/>
            </w:pPr>
            <w:r>
              <w:rPr>
                <w:rFonts w:ascii="Calibri" w:hAnsi="Calibri"/>
                <w:color w:val="2D3748"/>
                <w:sz w:val="18"/>
              </w:rPr>
              <w:t>Medium</w:t>
            </w:r>
          </w:p>
        </w:tc>
        <w:tc>
          <w:tcPr>
            <w:tcW w:type="dxa" w:w="1152"/>
            <w:shd w:fill="F7FAFC"/>
            <w:tcMar>
              <w:top w:w="100" w:type="dxa"/>
              <w:bottom w:w="100" w:type="dxa"/>
              <w:left w:w="140" w:type="dxa"/>
              <w:right w:w="140" w:type="dxa"/>
            </w:tcMar>
          </w:tcPr>
          <w:p>
            <w:pPr>
              <w:spacing w:line="276" w:lineRule="auto"/>
              <w:jc w:val="left"/>
            </w:pPr>
            <w:r>
              <w:rPr>
                <w:rFonts w:ascii="Calibri" w:hAnsi="Calibri"/>
                <w:color w:val="2D3748"/>
                <w:sz w:val="18"/>
              </w:rPr>
              <w:t>Low</w:t>
            </w:r>
          </w:p>
        </w:tc>
        <w:tc>
          <w:tcPr>
            <w:tcW w:type="dxa" w:w="1152"/>
            <w:shd w:fill="F7FAFC"/>
            <w:tcMar>
              <w:top w:w="100" w:type="dxa"/>
              <w:bottom w:w="100" w:type="dxa"/>
              <w:left w:w="140" w:type="dxa"/>
              <w:right w:w="140" w:type="dxa"/>
            </w:tcMar>
          </w:tcPr>
          <w:p>
            <w:pPr>
              <w:spacing w:line="276" w:lineRule="auto"/>
              <w:jc w:val="left"/>
            </w:pPr>
            <w:r>
              <w:rPr>
                <w:rFonts w:ascii="Calibri" w:hAnsi="Calibri"/>
                <w:color w:val="2D3748"/>
                <w:sz w:val="18"/>
              </w:rPr>
              <w:t>Low</w:t>
            </w:r>
          </w:p>
        </w:tc>
        <w:tc>
          <w:tcPr>
            <w:tcW w:type="dxa" w:w="2448"/>
            <w:shd w:fill="F7FAFC"/>
            <w:tcMar>
              <w:top w:w="100" w:type="dxa"/>
              <w:bottom w:w="100" w:type="dxa"/>
              <w:left w:w="140" w:type="dxa"/>
              <w:right w:w="140" w:type="dxa"/>
            </w:tcMar>
          </w:tcPr>
          <w:p>
            <w:pPr>
              <w:spacing w:line="276" w:lineRule="auto"/>
              <w:jc w:val="left"/>
            </w:pPr>
            <w:r>
              <w:rPr>
                <w:rFonts w:ascii="Calibri" w:hAnsi="Calibri"/>
                <w:color w:val="2D3748"/>
                <w:sz w:val="18"/>
              </w:rPr>
              <w:t>Balanced scoring algorithm requiring multiple corroborating threat vectors before flagging RED.</w:t>
            </w:r>
          </w:p>
        </w:tc>
      </w:tr>
      <w:tr>
        <w:tc>
          <w:tcPr>
            <w:tcW w:type="dxa" w:w="1008"/>
            <w:shd w:fill="FFFFFF"/>
            <w:tcMar>
              <w:top w:w="100" w:type="dxa"/>
              <w:bottom w:w="100" w:type="dxa"/>
              <w:left w:w="140" w:type="dxa"/>
              <w:right w:w="140" w:type="dxa"/>
            </w:tcMar>
          </w:tcPr>
          <w:p>
            <w:pPr>
              <w:spacing w:line="276" w:lineRule="auto"/>
              <w:jc w:val="left"/>
            </w:pPr>
            <w:r>
              <w:rPr>
                <w:rFonts w:ascii="Calibri" w:hAnsi="Calibri"/>
                <w:color w:val="2D3748"/>
                <w:sz w:val="18"/>
              </w:rPr>
              <w:t>R-05</w:t>
            </w:r>
          </w:p>
        </w:tc>
        <w:tc>
          <w:tcPr>
            <w:tcW w:type="dxa" w:w="2448"/>
            <w:shd w:fill="FFFFFF"/>
            <w:tcMar>
              <w:top w:w="100" w:type="dxa"/>
              <w:bottom w:w="100" w:type="dxa"/>
              <w:left w:w="140" w:type="dxa"/>
              <w:right w:w="140" w:type="dxa"/>
            </w:tcMar>
          </w:tcPr>
          <w:p>
            <w:pPr>
              <w:spacing w:line="276" w:lineRule="auto"/>
              <w:jc w:val="left"/>
            </w:pPr>
            <w:r>
              <w:rPr>
                <w:rFonts w:ascii="Calibri" w:hAnsi="Calibri"/>
                <w:color w:val="2D3748"/>
                <w:sz w:val="18"/>
              </w:rPr>
              <w:t>User Privacy Leak of Pasted Sensitive Data</w:t>
            </w:r>
          </w:p>
        </w:tc>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Critical</w:t>
            </w:r>
          </w:p>
        </w:tc>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Low</w:t>
            </w:r>
          </w:p>
        </w:tc>
        <w:tc>
          <w:tcPr>
            <w:tcW w:type="dxa" w:w="1152"/>
            <w:shd w:fill="FFFFFF"/>
            <w:tcMar>
              <w:top w:w="100" w:type="dxa"/>
              <w:bottom w:w="100" w:type="dxa"/>
              <w:left w:w="140" w:type="dxa"/>
              <w:right w:w="140" w:type="dxa"/>
            </w:tcMar>
          </w:tcPr>
          <w:p>
            <w:pPr>
              <w:spacing w:line="276" w:lineRule="auto"/>
              <w:jc w:val="left"/>
            </w:pPr>
            <w:r>
              <w:rPr>
                <w:rFonts w:ascii="Calibri" w:hAnsi="Calibri"/>
                <w:color w:val="2D3748"/>
                <w:sz w:val="18"/>
              </w:rPr>
              <w:t>Low</w:t>
            </w:r>
          </w:p>
        </w:tc>
        <w:tc>
          <w:tcPr>
            <w:tcW w:type="dxa" w:w="2448"/>
            <w:shd w:fill="FFFFFF"/>
            <w:tcMar>
              <w:top w:w="100" w:type="dxa"/>
              <w:bottom w:w="100" w:type="dxa"/>
              <w:left w:w="140" w:type="dxa"/>
              <w:right w:w="140" w:type="dxa"/>
            </w:tcMar>
          </w:tcPr>
          <w:p>
            <w:pPr>
              <w:spacing w:line="276" w:lineRule="auto"/>
              <w:jc w:val="left"/>
            </w:pPr>
            <w:r>
              <w:rPr>
                <w:rFonts w:ascii="Calibri" w:hAnsi="Calibri"/>
                <w:color w:val="2D3748"/>
                <w:sz w:val="18"/>
              </w:rPr>
              <w:t>Zero server-side persistence; no database; all scan history resides solely in browser localStorage.</w:t>
            </w:r>
          </w:p>
        </w:tc>
      </w:tr>
    </w:tbl>
    <w:p>
      <w:pPr>
        <w:keepNext/>
        <w:spacing w:before="360" w:after="120"/>
      </w:pPr>
      <w:r>
        <w:rPr>
          <w:rFonts w:ascii="Calibri" w:hAnsi="Calibri"/>
          <w:b/>
          <w:color w:val="0F2A4A"/>
          <w:sz w:val="32"/>
        </w:rPr>
        <w:t>11. Verification, Acceptance Criteria &amp; Formal Sign-Off</w:t>
      </w:r>
    </w:p>
    <w:p>
      <w:pPr>
        <w:keepNext/>
        <w:spacing w:before="240" w:after="80"/>
      </w:pPr>
      <w:r>
        <w:rPr>
          <w:rFonts w:ascii="Calibri" w:hAnsi="Calibri"/>
          <w:b/>
          <w:color w:val="1B6CA8"/>
          <w:sz w:val="26"/>
        </w:rPr>
        <w:t>11.1 Evaluator Rubric Alignment</w:t>
      </w:r>
    </w:p>
    <w:p>
      <w:pPr>
        <w:spacing w:before="40" w:after="80" w:line="276" w:lineRule="auto"/>
      </w:pPr>
      <w:r>
        <w:rPr>
          <w:rFonts w:ascii="Calibri" w:hAnsi="Calibri"/>
          <w:color w:val="2D3748"/>
          <w:sz w:val="20"/>
        </w:rPr>
        <w:t>PromptShield is specifically engineered to achieve maximum marks across standard academic and hackathon evaluation criteria:</w:t>
      </w:r>
    </w:p>
    <w:p>
      <w:pPr>
        <w:pStyle w:val="ListBullet"/>
        <w:spacing w:before="20" w:after="40" w:line="276" w:lineRule="auto"/>
      </w:pPr>
      <w:r>
        <w:rPr>
          <w:rFonts w:ascii="Calibri" w:hAnsi="Calibri"/>
          <w:b/>
          <w:color w:val="2D3748"/>
          <w:sz w:val="20"/>
        </w:rPr>
        <w:t xml:space="preserve">1. Innovation &amp; Novelty (25%): </w:t>
      </w:r>
      <w:r>
        <w:rPr>
          <w:rFonts w:ascii="Calibri" w:hAnsi="Calibri"/>
          <w:color w:val="2D3748"/>
          <w:sz w:val="20"/>
        </w:rPr>
        <w:t>Transitions cybersecurity from opaque black-box labels to transparent, educational, in-context cognitive explainability.</w:t>
      </w:r>
    </w:p>
    <w:p>
      <w:pPr>
        <w:pStyle w:val="ListBullet"/>
        <w:spacing w:before="20" w:after="40" w:line="276" w:lineRule="auto"/>
      </w:pPr>
      <w:r>
        <w:rPr>
          <w:rFonts w:ascii="Calibri" w:hAnsi="Calibri"/>
          <w:b/>
          <w:color w:val="2D3748"/>
          <w:sz w:val="20"/>
        </w:rPr>
        <w:t xml:space="preserve">2. Technical Execution &amp; Architecture (25%): </w:t>
      </w:r>
      <w:r>
        <w:rPr>
          <w:rFonts w:ascii="Calibri" w:hAnsi="Calibri"/>
          <w:color w:val="2D3748"/>
          <w:sz w:val="20"/>
        </w:rPr>
        <w:t>Full-stack integration featuring FastAPI, React 18, Vite, Docker, strict Pydantic schemas, and multi-model support.</w:t>
      </w:r>
    </w:p>
    <w:p>
      <w:pPr>
        <w:pStyle w:val="ListBullet"/>
        <w:spacing w:before="20" w:after="40" w:line="276" w:lineRule="auto"/>
      </w:pPr>
      <w:r>
        <w:rPr>
          <w:rFonts w:ascii="Calibri" w:hAnsi="Calibri"/>
          <w:b/>
          <w:color w:val="2D3748"/>
          <w:sz w:val="20"/>
        </w:rPr>
        <w:t xml:space="preserve">3. Societal Impact &amp; Relevance (25%): </w:t>
      </w:r>
      <w:r>
        <w:rPr>
          <w:rFonts w:ascii="Calibri" w:hAnsi="Calibri"/>
          <w:color w:val="2D3748"/>
          <w:sz w:val="20"/>
        </w:rPr>
        <w:t>Directly targets India's ₹10,000+ Cr cyber fraud epidemic; integrates with National Helpline 1930 and cybercrime.gov.in.</w:t>
      </w:r>
    </w:p>
    <w:p>
      <w:pPr>
        <w:pStyle w:val="ListBullet"/>
        <w:spacing w:before="20" w:after="40" w:line="276" w:lineRule="auto"/>
      </w:pPr>
      <w:r>
        <w:rPr>
          <w:rFonts w:ascii="Calibri" w:hAnsi="Calibri"/>
          <w:b/>
          <w:color w:val="2D3748"/>
          <w:sz w:val="20"/>
        </w:rPr>
        <w:t xml:space="preserve">4. Completeness &amp; Live Demonstration (25%): </w:t>
      </w:r>
      <w:r>
        <w:rPr>
          <w:rFonts w:ascii="Calibri" w:hAnsi="Calibri"/>
          <w:color w:val="2D3748"/>
          <w:sz w:val="20"/>
        </w:rPr>
        <w:t>Fully working live application with sample test presets, zero-crash heuristic fallback, and responsive UI design.</w:t>
      </w:r>
    </w:p>
    <w:p>
      <w:pPr>
        <w:keepNext/>
        <w:spacing w:before="240" w:after="80"/>
      </w:pPr>
      <w:r>
        <w:rPr>
          <w:rFonts w:ascii="Calibri" w:hAnsi="Calibri"/>
          <w:b/>
          <w:color w:val="1B6CA8"/>
          <w:sz w:val="26"/>
        </w:rPr>
        <w:t>11.2 Formal Evaluator Sign-Off</w:t>
      </w:r>
    </w:p>
    <w:tbl>
      <w:tblPr>
        <w:tblW w:type="auto" w:w="0"/>
        <w:jc w:val="center"/>
        <w:tblLook w:firstColumn="1" w:firstRow="1" w:lastColumn="0" w:lastRow="0" w:noHBand="0" w:noVBand="1" w:val="04A0"/>
      </w:tblPr>
      <w:tblGrid>
        <w:gridCol w:w="2340"/>
        <w:gridCol w:w="2340"/>
        <w:gridCol w:w="2340"/>
        <w:gridCol w:w="2340"/>
      </w:tblGrid>
      <w:tr>
        <w:tc>
          <w:tcPr>
            <w:tcW w:type="dxa" w:w="2592"/>
            <w:shd w:fill="0F2A4A"/>
            <w:tcMar>
              <w:top w:w="140" w:type="dxa"/>
              <w:bottom w:w="140" w:type="dxa"/>
              <w:left w:w="150" w:type="dxa"/>
              <w:right w:w="150" w:type="dxa"/>
            </w:tcMar>
          </w:tcPr>
          <w:p>
            <w:pPr>
              <w:jc w:val="left"/>
            </w:pPr>
            <w:r>
              <w:rPr>
                <w:rFonts w:ascii="Calibri" w:hAnsi="Calibri"/>
                <w:b/>
                <w:color w:val="FFFFFF"/>
                <w:sz w:val="19"/>
              </w:rPr>
              <w:t>Evaluation Role</w:t>
            </w:r>
          </w:p>
        </w:tc>
        <w:tc>
          <w:tcPr>
            <w:tcW w:type="dxa" w:w="2880"/>
            <w:shd w:fill="0F2A4A"/>
            <w:tcMar>
              <w:top w:w="140" w:type="dxa"/>
              <w:bottom w:w="140" w:type="dxa"/>
              <w:left w:w="150" w:type="dxa"/>
              <w:right w:w="150" w:type="dxa"/>
            </w:tcMar>
          </w:tcPr>
          <w:p>
            <w:pPr>
              <w:jc w:val="left"/>
            </w:pPr>
            <w:r>
              <w:rPr>
                <w:rFonts w:ascii="Calibri" w:hAnsi="Calibri"/>
                <w:b/>
                <w:color w:val="FFFFFF"/>
                <w:sz w:val="19"/>
              </w:rPr>
              <w:t>Evaluator Name / Jury Member</w:t>
            </w:r>
          </w:p>
        </w:tc>
        <w:tc>
          <w:tcPr>
            <w:tcW w:type="dxa" w:w="2304"/>
            <w:shd w:fill="0F2A4A"/>
            <w:tcMar>
              <w:top w:w="140" w:type="dxa"/>
              <w:bottom w:w="140" w:type="dxa"/>
              <w:left w:w="150" w:type="dxa"/>
              <w:right w:w="150" w:type="dxa"/>
            </w:tcMar>
          </w:tcPr>
          <w:p>
            <w:pPr>
              <w:jc w:val="left"/>
            </w:pPr>
            <w:r>
              <w:rPr>
                <w:rFonts w:ascii="Calibri" w:hAnsi="Calibri"/>
                <w:b/>
                <w:color w:val="FFFFFF"/>
                <w:sz w:val="19"/>
              </w:rPr>
              <w:t>Assessment Verdict</w:t>
            </w:r>
          </w:p>
        </w:tc>
        <w:tc>
          <w:tcPr>
            <w:tcW w:type="dxa" w:w="1584"/>
            <w:shd w:fill="0F2A4A"/>
            <w:tcMar>
              <w:top w:w="140" w:type="dxa"/>
              <w:bottom w:w="140" w:type="dxa"/>
              <w:left w:w="150" w:type="dxa"/>
              <w:right w:w="150" w:type="dxa"/>
            </w:tcMar>
          </w:tcPr>
          <w:p>
            <w:pPr>
              <w:jc w:val="left"/>
            </w:pPr>
            <w:r>
              <w:rPr>
                <w:rFonts w:ascii="Calibri" w:hAnsi="Calibri"/>
                <w:b/>
                <w:color w:val="FFFFFF"/>
                <w:sz w:val="19"/>
              </w:rPr>
              <w:t>Signature / Date</w:t>
            </w:r>
          </w:p>
        </w:tc>
      </w:tr>
      <w:tr>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Lead Project Evaluator</w:t>
            </w:r>
          </w:p>
        </w:tc>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_______________________________</w:t>
            </w:r>
          </w:p>
        </w:tc>
        <w:tc>
          <w:tcPr>
            <w:tcW w:type="dxa" w:w="2304"/>
            <w:shd w:fill="FFFFFF"/>
            <w:tcMar>
              <w:top w:w="100" w:type="dxa"/>
              <w:bottom w:w="100" w:type="dxa"/>
              <w:left w:w="140" w:type="dxa"/>
              <w:right w:w="140" w:type="dxa"/>
            </w:tcMar>
          </w:tcPr>
          <w:p>
            <w:pPr>
              <w:spacing w:line="276" w:lineRule="auto"/>
              <w:jc w:val="left"/>
            </w:pPr>
            <w:r>
              <w:rPr>
                <w:rFonts w:ascii="Calibri" w:hAnsi="Calibri"/>
                <w:color w:val="2D3748"/>
                <w:sz w:val="18"/>
              </w:rPr>
              <w:t>[ ] Outstanding  [ ] Approved</w:t>
            </w:r>
          </w:p>
        </w:tc>
        <w:tc>
          <w:tcPr>
            <w:tcW w:type="dxa" w:w="1584"/>
            <w:shd w:fill="FFFFFF"/>
            <w:tcMar>
              <w:top w:w="100" w:type="dxa"/>
              <w:bottom w:w="100" w:type="dxa"/>
              <w:left w:w="140" w:type="dxa"/>
              <w:right w:w="140" w:type="dxa"/>
            </w:tcMar>
          </w:tcPr>
          <w:p>
            <w:pPr>
              <w:spacing w:line="276" w:lineRule="auto"/>
              <w:jc w:val="left"/>
            </w:pPr>
            <w:r>
              <w:rPr>
                <w:rFonts w:ascii="Calibri" w:hAnsi="Calibri"/>
                <w:color w:val="2D3748"/>
                <w:sz w:val="18"/>
              </w:rPr>
              <w:t>_____ / _____ / 2026</w:t>
            </w:r>
          </w:p>
        </w:tc>
      </w:tr>
      <w:tr>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Technical Architecture Jury</w:t>
            </w:r>
          </w:p>
        </w:tc>
        <w:tc>
          <w:tcPr>
            <w:tcW w:type="dxa" w:w="2880"/>
            <w:shd w:fill="F7FAFC"/>
            <w:tcMar>
              <w:top w:w="100" w:type="dxa"/>
              <w:bottom w:w="100" w:type="dxa"/>
              <w:left w:w="140" w:type="dxa"/>
              <w:right w:w="140" w:type="dxa"/>
            </w:tcMar>
          </w:tcPr>
          <w:p>
            <w:pPr>
              <w:spacing w:line="276" w:lineRule="auto"/>
              <w:jc w:val="left"/>
            </w:pPr>
            <w:r>
              <w:rPr>
                <w:rFonts w:ascii="Calibri" w:hAnsi="Calibri"/>
                <w:color w:val="2D3748"/>
                <w:sz w:val="18"/>
              </w:rPr>
              <w:t>_______________________________</w:t>
            </w:r>
          </w:p>
        </w:tc>
        <w:tc>
          <w:tcPr>
            <w:tcW w:type="dxa" w:w="2304"/>
            <w:shd w:fill="F7FAFC"/>
            <w:tcMar>
              <w:top w:w="100" w:type="dxa"/>
              <w:bottom w:w="100" w:type="dxa"/>
              <w:left w:w="140" w:type="dxa"/>
              <w:right w:w="140" w:type="dxa"/>
            </w:tcMar>
          </w:tcPr>
          <w:p>
            <w:pPr>
              <w:spacing w:line="276" w:lineRule="auto"/>
              <w:jc w:val="left"/>
            </w:pPr>
            <w:r>
              <w:rPr>
                <w:rFonts w:ascii="Calibri" w:hAnsi="Calibri"/>
                <w:color w:val="2D3748"/>
                <w:sz w:val="18"/>
              </w:rPr>
              <w:t>[ ] Outstanding  [ ] Approved</w:t>
            </w:r>
          </w:p>
        </w:tc>
        <w:tc>
          <w:tcPr>
            <w:tcW w:type="dxa" w:w="1584"/>
            <w:shd w:fill="F7FAFC"/>
            <w:tcMar>
              <w:top w:w="100" w:type="dxa"/>
              <w:bottom w:w="100" w:type="dxa"/>
              <w:left w:w="140" w:type="dxa"/>
              <w:right w:w="140" w:type="dxa"/>
            </w:tcMar>
          </w:tcPr>
          <w:p>
            <w:pPr>
              <w:spacing w:line="276" w:lineRule="auto"/>
              <w:jc w:val="left"/>
            </w:pPr>
            <w:r>
              <w:rPr>
                <w:rFonts w:ascii="Calibri" w:hAnsi="Calibri"/>
                <w:color w:val="2D3748"/>
                <w:sz w:val="18"/>
              </w:rPr>
              <w:t>_____ / _____ / 2026</w:t>
            </w:r>
          </w:p>
        </w:tc>
      </w:tr>
      <w:tr>
        <w:tc>
          <w:tcPr>
            <w:tcW w:type="dxa" w:w="2592"/>
            <w:shd w:fill="FFFFFF"/>
            <w:tcMar>
              <w:top w:w="100" w:type="dxa"/>
              <w:bottom w:w="100" w:type="dxa"/>
              <w:left w:w="140" w:type="dxa"/>
              <w:right w:w="140" w:type="dxa"/>
            </w:tcMar>
          </w:tcPr>
          <w:p>
            <w:pPr>
              <w:spacing w:line="276" w:lineRule="auto"/>
              <w:jc w:val="left"/>
            </w:pPr>
            <w:r>
              <w:rPr>
                <w:rFonts w:ascii="Calibri" w:hAnsi="Calibri"/>
                <w:color w:val="2D3748"/>
                <w:sz w:val="18"/>
              </w:rPr>
              <w:t>Cybersecurity Domain Expert</w:t>
            </w:r>
          </w:p>
        </w:tc>
        <w:tc>
          <w:tcPr>
            <w:tcW w:type="dxa" w:w="2880"/>
            <w:shd w:fill="FFFFFF"/>
            <w:tcMar>
              <w:top w:w="100" w:type="dxa"/>
              <w:bottom w:w="100" w:type="dxa"/>
              <w:left w:w="140" w:type="dxa"/>
              <w:right w:w="140" w:type="dxa"/>
            </w:tcMar>
          </w:tcPr>
          <w:p>
            <w:pPr>
              <w:spacing w:line="276" w:lineRule="auto"/>
              <w:jc w:val="left"/>
            </w:pPr>
            <w:r>
              <w:rPr>
                <w:rFonts w:ascii="Calibri" w:hAnsi="Calibri"/>
                <w:color w:val="2D3748"/>
                <w:sz w:val="18"/>
              </w:rPr>
              <w:t>_______________________________</w:t>
            </w:r>
          </w:p>
        </w:tc>
        <w:tc>
          <w:tcPr>
            <w:tcW w:type="dxa" w:w="2304"/>
            <w:shd w:fill="FFFFFF"/>
            <w:tcMar>
              <w:top w:w="100" w:type="dxa"/>
              <w:bottom w:w="100" w:type="dxa"/>
              <w:left w:w="140" w:type="dxa"/>
              <w:right w:w="140" w:type="dxa"/>
            </w:tcMar>
          </w:tcPr>
          <w:p>
            <w:pPr>
              <w:spacing w:line="276" w:lineRule="auto"/>
              <w:jc w:val="left"/>
            </w:pPr>
            <w:r>
              <w:rPr>
                <w:rFonts w:ascii="Calibri" w:hAnsi="Calibri"/>
                <w:color w:val="2D3748"/>
                <w:sz w:val="18"/>
              </w:rPr>
              <w:t>[ ] Outstanding  [ ] Approved</w:t>
            </w:r>
          </w:p>
        </w:tc>
        <w:tc>
          <w:tcPr>
            <w:tcW w:type="dxa" w:w="1584"/>
            <w:shd w:fill="FFFFFF"/>
            <w:tcMar>
              <w:top w:w="100" w:type="dxa"/>
              <w:bottom w:w="100" w:type="dxa"/>
              <w:left w:w="140" w:type="dxa"/>
              <w:right w:w="140" w:type="dxa"/>
            </w:tcMar>
          </w:tcPr>
          <w:p>
            <w:pPr>
              <w:spacing w:line="276" w:lineRule="auto"/>
              <w:jc w:val="left"/>
            </w:pPr>
            <w:r>
              <w:rPr>
                <w:rFonts w:ascii="Calibri" w:hAnsi="Calibri"/>
                <w:color w:val="2D3748"/>
                <w:sz w:val="18"/>
              </w:rPr>
              <w:t>_____ / _____ / 2026</w:t>
            </w:r>
          </w:p>
        </w:tc>
      </w:tr>
      <w:tr>
        <w:tc>
          <w:tcPr>
            <w:tcW w:type="dxa" w:w="2592"/>
            <w:shd w:fill="F7FAFC"/>
            <w:tcMar>
              <w:top w:w="100" w:type="dxa"/>
              <w:bottom w:w="100" w:type="dxa"/>
              <w:left w:w="140" w:type="dxa"/>
              <w:right w:w="140" w:type="dxa"/>
            </w:tcMar>
          </w:tcPr>
          <w:p>
            <w:pPr>
              <w:spacing w:line="276" w:lineRule="auto"/>
              <w:jc w:val="left"/>
            </w:pPr>
            <w:r>
              <w:rPr>
                <w:rFonts w:ascii="Calibri" w:hAnsi="Calibri"/>
                <w:color w:val="2D3748"/>
                <w:sz w:val="18"/>
              </w:rPr>
              <w:t>Academic Committee Chair</w:t>
            </w:r>
          </w:p>
        </w:tc>
        <w:tc>
          <w:tcPr>
            <w:tcW w:type="dxa" w:w="2880"/>
            <w:shd w:fill="F7FAFC"/>
            <w:tcMar>
              <w:top w:w="100" w:type="dxa"/>
              <w:bottom w:w="100" w:type="dxa"/>
              <w:left w:w="140" w:type="dxa"/>
              <w:right w:w="140" w:type="dxa"/>
            </w:tcMar>
          </w:tcPr>
          <w:p>
            <w:pPr>
              <w:spacing w:line="276" w:lineRule="auto"/>
              <w:jc w:val="left"/>
            </w:pPr>
            <w:r>
              <w:rPr>
                <w:rFonts w:ascii="Calibri" w:hAnsi="Calibri"/>
                <w:color w:val="2D3748"/>
                <w:sz w:val="18"/>
              </w:rPr>
              <w:t>_______________________________</w:t>
            </w:r>
          </w:p>
        </w:tc>
        <w:tc>
          <w:tcPr>
            <w:tcW w:type="dxa" w:w="2304"/>
            <w:shd w:fill="F7FAFC"/>
            <w:tcMar>
              <w:top w:w="100" w:type="dxa"/>
              <w:bottom w:w="100" w:type="dxa"/>
              <w:left w:w="140" w:type="dxa"/>
              <w:right w:w="140" w:type="dxa"/>
            </w:tcMar>
          </w:tcPr>
          <w:p>
            <w:pPr>
              <w:spacing w:line="276" w:lineRule="auto"/>
              <w:jc w:val="left"/>
            </w:pPr>
            <w:r>
              <w:rPr>
                <w:rFonts w:ascii="Calibri" w:hAnsi="Calibri"/>
                <w:color w:val="2D3748"/>
                <w:sz w:val="18"/>
              </w:rPr>
              <w:t>[ ] Outstanding  [ ] Approved</w:t>
            </w:r>
          </w:p>
        </w:tc>
        <w:tc>
          <w:tcPr>
            <w:tcW w:type="dxa" w:w="1584"/>
            <w:shd w:fill="F7FAFC"/>
            <w:tcMar>
              <w:top w:w="100" w:type="dxa"/>
              <w:bottom w:w="100" w:type="dxa"/>
              <w:left w:w="140" w:type="dxa"/>
              <w:right w:w="140" w:type="dxa"/>
            </w:tcMar>
          </w:tcPr>
          <w:p>
            <w:pPr>
              <w:spacing w:line="276" w:lineRule="auto"/>
              <w:jc w:val="left"/>
            </w:pPr>
            <w:r>
              <w:rPr>
                <w:rFonts w:ascii="Calibri" w:hAnsi="Calibri"/>
                <w:color w:val="2D3748"/>
                <w:sz w:val="18"/>
              </w:rPr>
              <w:t>_____ / _____ / 2026</w:t>
            </w:r>
          </w:p>
        </w:tc>
      </w:tr>
    </w:tbl>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180" w:type="dxa"/>
              <w:right w:w="180" w:type="dxa"/>
            </w:tcMar>
            <w:tcBorders>
              <w:left w:val="single" w:sz="24" w:space="0" w:color="0F2A4A"/>
              <w:top w:val="none"/>
              <w:right w:val="none"/>
              <w:bottom w:val="none"/>
            </w:tcBorders>
          </w:tcPr>
          <w:p>
            <w:pPr>
              <w:spacing w:before="40" w:after="40"/>
            </w:pPr>
            <w:r>
              <w:rPr>
                <w:rFonts w:ascii="Calibri" w:hAnsi="Calibri"/>
                <w:b/>
                <w:color w:val="0F2A4A"/>
                <w:sz w:val="20"/>
              </w:rPr>
              <w:t>📌 SUBMITTED BY TEAM BYTEBUSTERS</w:t>
              <w:br/>
            </w:r>
            <w:r>
              <w:rPr>
                <w:rFonts w:ascii="Calibri" w:hAnsi="Calibri"/>
                <w:color w:val="2D3748"/>
                <w:sz w:val="19"/>
              </w:rPr>
              <w:t>Document compiled and verified by Team ByteBusters (Lead Developer: Yashwanth Pathiwada).</w:t>
              <w:br/>
              <w:t>Official Project Repository: https://github.com/yashwanthPathiwada/promptshield-ai</w:t>
              <w:br/>
              <w:t>Thank you to the evaluation committee for reviewing this submission.</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A0AEC0"/>
        <w:sz w:val="17"/>
      </w:rPr>
      <w:t>Team ByteBusters • Confidential • Academic &amp; Evaluator Review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PROMPTSHIELD | BUSINESS REQUIREMENTS DOCUMENT &amp; USE CASES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