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line="276" w:lineRule="auto"/>
        <w:jc w:val="center"/>
      </w:pPr>
      <w:r>
        <w:rPr>
          <w:rFonts w:ascii="Times New Roman" w:hAnsi="Times New Roman"/>
          <w:b/>
          <w:i w:val="0"/>
          <w:color w:val="000000"/>
          <w:sz w:val="32"/>
        </w:rPr>
        <w:t>A</w:t>
      </w:r>
    </w:p>
    <w:p>
      <w:pPr>
        <w:spacing w:before="0" w:after="120" w:line="276" w:lineRule="auto"/>
        <w:jc w:val="center"/>
      </w:pPr>
      <w:r>
        <w:rPr>
          <w:rFonts w:ascii="Times New Roman" w:hAnsi="Times New Roman"/>
          <w:b/>
          <w:i w:val="0"/>
          <w:color w:val="000000"/>
          <w:sz w:val="32"/>
        </w:rPr>
        <w:t>Special Project Mid-term Report</w:t>
      </w:r>
    </w:p>
    <w:p>
      <w:pPr>
        <w:spacing w:before="0" w:after="280" w:line="276" w:lineRule="auto"/>
        <w:jc w:val="center"/>
      </w:pPr>
      <w:r>
        <w:rPr>
          <w:rFonts w:ascii="Times New Roman" w:hAnsi="Times New Roman"/>
          <w:b/>
          <w:i w:val="0"/>
          <w:color w:val="000000"/>
          <w:sz w:val="28"/>
        </w:rPr>
        <w:t>on</w:t>
      </w:r>
    </w:p>
    <w:p>
      <w:pPr>
        <w:spacing w:before="0" w:after="400" w:line="276" w:lineRule="auto"/>
        <w:jc w:val="center"/>
      </w:pPr>
      <w:r>
        <w:rPr>
          <w:rFonts w:ascii="Times New Roman" w:hAnsi="Times New Roman"/>
          <w:b/>
          <w:i w:val="0"/>
          <w:color w:val="002D62"/>
          <w:sz w:val="36"/>
        </w:rPr>
        <w:t>VivaGuard: Adaptive AI Oral Defense and Authentic Comprehension Platform</w:t>
      </w:r>
    </w:p>
    <w:p>
      <w:pPr>
        <w:spacing w:before="0" w:after="200" w:line="276" w:lineRule="auto"/>
        <w:jc w:val="center"/>
      </w:pPr>
      <w:r>
        <w:rPr>
          <w:rFonts w:ascii="Times New Roman" w:hAnsi="Times New Roman"/>
          <w:b w:val="0"/>
          <w:i w:val="0"/>
          <w:color w:val="000000"/>
          <w:sz w:val="28"/>
        </w:rPr>
        <w:t>by</w:t>
      </w:r>
    </w:p>
    <w:p>
      <w:pPr>
        <w:spacing w:before="0" w:after="80" w:line="276" w:lineRule="auto"/>
        <w:jc w:val="center"/>
      </w:pPr>
      <w:r>
        <w:rPr>
          <w:rFonts w:ascii="Times New Roman" w:hAnsi="Times New Roman"/>
          <w:b/>
          <w:i w:val="0"/>
          <w:color w:val="000000"/>
          <w:sz w:val="26"/>
        </w:rPr>
        <w:t>NAGULAVARAM YASHWANTH KRISHNA (24STUCHH010864)</w:t>
      </w:r>
    </w:p>
    <w:p>
      <w:pPr>
        <w:spacing w:before="0" w:after="80" w:line="276" w:lineRule="auto"/>
        <w:jc w:val="center"/>
      </w:pPr>
      <w:r>
        <w:rPr>
          <w:rFonts w:ascii="Times New Roman" w:hAnsi="Times New Roman"/>
          <w:b w:val="0"/>
          <w:i w:val="0"/>
          <w:color w:val="000000"/>
          <w:sz w:val="24"/>
        </w:rPr>
        <w:t>Team Member 2 (Full Enrolment Number 2)</w:t>
      </w:r>
    </w:p>
    <w:p>
      <w:pPr>
        <w:spacing w:before="0" w:after="80" w:line="276" w:lineRule="auto"/>
        <w:jc w:val="center"/>
      </w:pPr>
      <w:r>
        <w:rPr>
          <w:rFonts w:ascii="Times New Roman" w:hAnsi="Times New Roman"/>
          <w:b w:val="0"/>
          <w:i w:val="0"/>
          <w:color w:val="000000"/>
          <w:sz w:val="24"/>
        </w:rPr>
        <w:t>Team Member 3 (Full Enrolment Number 3)</w:t>
      </w:r>
    </w:p>
    <w:p>
      <w:pPr>
        <w:spacing w:before="0" w:after="480" w:line="276" w:lineRule="auto"/>
        <w:jc w:val="center"/>
      </w:pPr>
      <w:r>
        <w:rPr>
          <w:rFonts w:ascii="Times New Roman" w:hAnsi="Times New Roman"/>
          <w:b w:val="0"/>
          <w:i w:val="0"/>
          <w:color w:val="000000"/>
          <w:sz w:val="24"/>
        </w:rPr>
        <w:t>Team Member 4 (Full Enrolment Number 4)</w:t>
      </w:r>
    </w:p>
    <w:p>
      <w:pPr>
        <w:spacing w:before="0" w:after="80" w:line="276" w:lineRule="auto"/>
        <w:jc w:val="center"/>
      </w:pPr>
      <w:r>
        <w:rPr>
          <w:rFonts w:ascii="Times New Roman" w:hAnsi="Times New Roman"/>
          <w:b w:val="0"/>
          <w:i w:val="0"/>
          <w:color w:val="000000"/>
          <w:sz w:val="26"/>
        </w:rPr>
        <w:t>Under the guidance of</w:t>
      </w:r>
    </w:p>
    <w:p>
      <w:pPr>
        <w:spacing w:before="0" w:after="80" w:line="276" w:lineRule="auto"/>
        <w:jc w:val="center"/>
      </w:pPr>
      <w:r>
        <w:rPr>
          <w:rFonts w:ascii="Times New Roman" w:hAnsi="Times New Roman"/>
          <w:b/>
          <w:i w:val="0"/>
          <w:color w:val="000000"/>
          <w:sz w:val="26"/>
        </w:rPr>
        <w:t>Supervisor(s) Name(s)</w:t>
      </w:r>
    </w:p>
    <w:p>
      <w:pPr>
        <w:spacing w:before="0" w:after="600" w:line="276" w:lineRule="auto"/>
        <w:jc w:val="center"/>
      </w:pPr>
      <w:r>
        <w:rPr>
          <w:rFonts w:ascii="Times New Roman" w:hAnsi="Times New Roman"/>
          <w:b w:val="0"/>
          <w:i w:val="0"/>
          <w:color w:val="000000"/>
          <w:sz w:val="24"/>
        </w:rPr>
        <w:t>with their Designation(s)</w:t>
      </w:r>
    </w:p>
    <w:p>
      <w:pPr>
        <w:spacing w:after="280"/>
        <w:jc w:val="center"/>
      </w:pPr>
      <w:r>
        <w:drawing>
          <wp:inline xmlns:a="http://schemas.openxmlformats.org/drawingml/2006/main" xmlns:pic="http://schemas.openxmlformats.org/drawingml/2006/picture">
            <wp:extent cx="1645920" cy="672277"/>
            <wp:docPr id="1" name="Picture 1"/>
            <wp:cNvGraphicFramePr>
              <a:graphicFrameLocks noChangeAspect="1"/>
            </wp:cNvGraphicFramePr>
            <a:graphic>
              <a:graphicData uri="http://schemas.openxmlformats.org/drawingml/2006/picture">
                <pic:pic>
                  <pic:nvPicPr>
                    <pic:cNvPr id="0" name="icfaitech_logo.png"/>
                    <pic:cNvPicPr/>
                  </pic:nvPicPr>
                  <pic:blipFill>
                    <a:blip r:embed="rId9"/>
                    <a:stretch>
                      <a:fillRect/>
                    </a:stretch>
                  </pic:blipFill>
                  <pic:spPr>
                    <a:xfrm>
                      <a:off x="0" y="0"/>
                      <a:ext cx="1645920" cy="672277"/>
                    </a:xfrm>
                    <a:prstGeom prst="rect"/>
                  </pic:spPr>
                </pic:pic>
              </a:graphicData>
            </a:graphic>
          </wp:inline>
        </w:drawing>
      </w:r>
    </w:p>
    <w:p>
      <w:pPr>
        <w:spacing w:before="0" w:after="80" w:line="276" w:lineRule="auto"/>
        <w:jc w:val="center"/>
      </w:pPr>
      <w:r>
        <w:rPr>
          <w:rFonts w:ascii="Times New Roman" w:hAnsi="Times New Roman"/>
          <w:b/>
          <w:i w:val="0"/>
          <w:color w:val="000000"/>
          <w:sz w:val="26"/>
        </w:rPr>
        <w:t>Faculty of Science &amp; Technology,</w:t>
      </w:r>
    </w:p>
    <w:p>
      <w:pPr>
        <w:spacing w:before="0" w:after="80" w:line="276" w:lineRule="auto"/>
        <w:jc w:val="center"/>
      </w:pPr>
      <w:r>
        <w:rPr>
          <w:rFonts w:ascii="Times New Roman" w:hAnsi="Times New Roman"/>
          <w:b/>
          <w:i w:val="0"/>
          <w:color w:val="000000"/>
          <w:sz w:val="26"/>
        </w:rPr>
        <w:t>The ICFAI Foundation for Higher Education, Hyderabad</w:t>
      </w:r>
    </w:p>
    <w:p>
      <w:pPr>
        <w:spacing w:before="0" w:after="0" w:line="276" w:lineRule="auto"/>
        <w:jc w:val="center"/>
      </w:pPr>
      <w:r>
        <w:rPr>
          <w:rFonts w:ascii="Times New Roman" w:hAnsi="Times New Roman"/>
          <w:b/>
          <w:i w:val="0"/>
          <w:color w:val="000000"/>
          <w:sz w:val="24"/>
        </w:rPr>
        <w:t>September, 2026</w:t>
      </w:r>
    </w:p>
    <w:p>
      <w:r>
        <w:br w:type="page"/>
      </w:r>
    </w:p>
    <w:p>
      <w:pPr>
        <w:spacing w:before="200" w:after="280" w:line="276" w:lineRule="auto"/>
        <w:jc w:val="center"/>
      </w:pPr>
      <w:r>
        <w:rPr>
          <w:rFonts w:ascii="Times New Roman" w:hAnsi="Times New Roman"/>
          <w:b/>
          <w:i w:val="0"/>
          <w:color w:val="000000"/>
          <w:sz w:val="28"/>
        </w:rPr>
        <w:t>CONTENTS</w:t>
      </w:r>
    </w:p>
    <w:tbl>
      <w:tblPr>
        <w:tblW w:type="auto" w:w="0"/>
        <w:jc w:val="center"/>
        <w:tblLayout w:type="fixed"/>
        <w:tblLook w:firstColumn="1" w:firstRow="1" w:lastColumn="0" w:lastRow="0" w:noHBand="0" w:noVBand="1" w:val="04A0"/>
      </w:tblPr>
      <w:tblGrid>
        <w:gridCol w:w="4680"/>
        <w:gridCol w:w="4680"/>
      </w:tblGrid>
      <w:tr>
        <w:tc>
          <w:tcPr>
            <w:tcW w:type="dxa" w:w="7920"/>
            <w:tcBorders>
              <w:top w:sz="4" w:val="single" w:color="000000"/>
              <w:left w:sz="4" w:val="single" w:color="000000"/>
              <w:bottom w:sz="4" w:val="single" w:color="000000"/>
              <w:right w:sz="4" w:val="single" w:color="000000"/>
            </w:tcBorders>
            <w:vAlign w:val="center"/>
          </w:tcPr>
          <w:p>
            <w:pPr>
              <w:spacing w:before="80" w:after="80" w:line="276" w:lineRule="auto"/>
            </w:pPr>
            <w:r>
              <w:rPr>
                <w:rFonts w:ascii="Times New Roman" w:hAnsi="Times New Roman"/>
                <w:b/>
                <w:sz w:val="22"/>
              </w:rPr>
              <w:t>Project Title Page</w:t>
            </w:r>
          </w:p>
        </w:tc>
        <w:tc>
          <w:tcPr>
            <w:tcW w:type="dxa" w:w="1296"/>
            <w:tcBorders>
              <w:top w:sz="4" w:val="single" w:color="000000"/>
              <w:left w:sz="4" w:val="single" w:color="000000"/>
              <w:bottom w:sz="4" w:val="single" w:color="000000"/>
              <w:right w:sz="4" w:val="single" w:color="000000"/>
            </w:tcBorders>
            <w:vAlign w:val="center"/>
          </w:tcPr>
          <w:p>
            <w:pPr>
              <w:spacing w:before="80" w:after="80"/>
              <w:jc w:val="center"/>
            </w:pPr>
            <w:r>
              <w:rPr>
                <w:rFonts w:ascii="Times New Roman" w:hAnsi="Times New Roman"/>
                <w:sz w:val="22"/>
              </w:rPr>
              <w:t>1</w:t>
            </w:r>
          </w:p>
        </w:tc>
      </w:tr>
      <w:tr>
        <w:tc>
          <w:tcPr>
            <w:tcW w:type="dxa" w:w="7920"/>
            <w:tcBorders>
              <w:top w:sz="4" w:val="single" w:color="000000"/>
              <w:left w:sz="4" w:val="single" w:color="000000"/>
              <w:bottom w:sz="4" w:val="single" w:color="000000"/>
              <w:right w:sz="4" w:val="single" w:color="000000"/>
            </w:tcBorders>
            <w:vAlign w:val="center"/>
          </w:tcPr>
          <w:p>
            <w:pPr>
              <w:spacing w:before="80" w:after="80" w:line="276" w:lineRule="auto"/>
            </w:pPr>
            <w:r>
              <w:rPr>
                <w:rFonts w:ascii="Times New Roman" w:hAnsi="Times New Roman"/>
                <w:sz w:val="22"/>
              </w:rPr>
              <w:t>1. Introduction</w:t>
              <w:br/>
              <w:t xml:space="preserve">    1.1. Problem Definition</w:t>
              <w:br/>
              <w:t xml:space="preserve">    1.2. Objective(s) of the Project</w:t>
              <w:br/>
              <w:t xml:space="preserve">    1.3. Limitations of the Project</w:t>
            </w:r>
          </w:p>
        </w:tc>
        <w:tc>
          <w:tcPr>
            <w:tcW w:type="dxa" w:w="1296"/>
            <w:tcBorders>
              <w:top w:sz="4" w:val="single" w:color="000000"/>
              <w:left w:sz="4" w:val="single" w:color="000000"/>
              <w:bottom w:sz="4" w:val="single" w:color="000000"/>
              <w:right w:sz="4" w:val="single" w:color="000000"/>
            </w:tcBorders>
            <w:vAlign w:val="center"/>
          </w:tcPr>
          <w:p>
            <w:pPr>
              <w:spacing w:before="80" w:after="80"/>
              <w:jc w:val="center"/>
            </w:pPr>
            <w:r>
              <w:rPr>
                <w:rFonts w:ascii="Times New Roman" w:hAnsi="Times New Roman"/>
                <w:sz w:val="22"/>
              </w:rPr>
              <w:t>3</w:t>
            </w:r>
          </w:p>
        </w:tc>
      </w:tr>
      <w:tr>
        <w:tc>
          <w:tcPr>
            <w:tcW w:type="dxa" w:w="7920"/>
            <w:tcBorders>
              <w:top w:sz="4" w:val="single" w:color="000000"/>
              <w:left w:sz="4" w:val="single" w:color="000000"/>
              <w:bottom w:sz="4" w:val="single" w:color="000000"/>
              <w:right w:sz="4" w:val="single" w:color="000000"/>
            </w:tcBorders>
            <w:vAlign w:val="center"/>
          </w:tcPr>
          <w:p>
            <w:pPr>
              <w:spacing w:before="80" w:after="80" w:line="276" w:lineRule="auto"/>
            </w:pPr>
            <w:r>
              <w:rPr>
                <w:rFonts w:ascii="Times New Roman" w:hAnsi="Times New Roman"/>
                <w:sz w:val="22"/>
              </w:rPr>
              <w:t>2. Literature Survey</w:t>
              <w:br/>
              <w:t xml:space="preserve">    2.1. Existing System</w:t>
              <w:br/>
              <w:t xml:space="preserve">    2.2. Limitations of Existing System</w:t>
            </w:r>
          </w:p>
        </w:tc>
        <w:tc>
          <w:tcPr>
            <w:tcW w:type="dxa" w:w="1296"/>
            <w:tcBorders>
              <w:top w:sz="4" w:val="single" w:color="000000"/>
              <w:left w:sz="4" w:val="single" w:color="000000"/>
              <w:bottom w:sz="4" w:val="single" w:color="000000"/>
              <w:right w:sz="4" w:val="single" w:color="000000"/>
            </w:tcBorders>
            <w:vAlign w:val="center"/>
          </w:tcPr>
          <w:p>
            <w:pPr>
              <w:spacing w:before="80" w:after="80"/>
              <w:jc w:val="center"/>
            </w:pPr>
            <w:r>
              <w:rPr>
                <w:rFonts w:ascii="Times New Roman" w:hAnsi="Times New Roman"/>
                <w:sz w:val="22"/>
              </w:rPr>
              <w:t>5</w:t>
            </w:r>
          </w:p>
        </w:tc>
      </w:tr>
      <w:tr>
        <w:tc>
          <w:tcPr>
            <w:tcW w:type="dxa" w:w="7920"/>
            <w:tcBorders>
              <w:top w:sz="4" w:val="single" w:color="000000"/>
              <w:left w:sz="4" w:val="single" w:color="000000"/>
              <w:bottom w:sz="4" w:val="single" w:color="000000"/>
              <w:right w:sz="4" w:val="single" w:color="000000"/>
            </w:tcBorders>
            <w:vAlign w:val="center"/>
          </w:tcPr>
          <w:p>
            <w:pPr>
              <w:spacing w:before="80" w:after="80" w:line="276" w:lineRule="auto"/>
            </w:pPr>
            <w:r>
              <w:rPr>
                <w:rFonts w:ascii="Times New Roman" w:hAnsi="Times New Roman"/>
                <w:sz w:val="22"/>
              </w:rPr>
              <w:t>3. Proposed System - Methodology (Tools and Technologies)</w:t>
              <w:br/>
              <w:t xml:space="preserve">    3.1 System Architecture / Data flow diagrams</w:t>
              <w:br/>
              <w:t xml:space="preserve">    3.2 System Requirements &amp; Specification</w:t>
              <w:br/>
              <w:t xml:space="preserve">        a. Software requirements</w:t>
              <w:br/>
              <w:t xml:space="preserve">        b. Hardware requirements</w:t>
              <w:br/>
              <w:t xml:space="preserve">        c. Data requirements (Inputs and Expected Outputs)</w:t>
              <w:br/>
              <w:t xml:space="preserve">        d. Description of Modules</w:t>
              <w:br/>
              <w:t xml:space="preserve">        e. UML Diagrams</w:t>
            </w:r>
          </w:p>
        </w:tc>
        <w:tc>
          <w:tcPr>
            <w:tcW w:type="dxa" w:w="1296"/>
            <w:tcBorders>
              <w:top w:sz="4" w:val="single" w:color="000000"/>
              <w:left w:sz="4" w:val="single" w:color="000000"/>
              <w:bottom w:sz="4" w:val="single" w:color="000000"/>
              <w:right w:sz="4" w:val="single" w:color="000000"/>
            </w:tcBorders>
            <w:vAlign w:val="center"/>
          </w:tcPr>
          <w:p>
            <w:pPr>
              <w:spacing w:before="80" w:after="80"/>
              <w:jc w:val="center"/>
            </w:pPr>
            <w:r>
              <w:rPr>
                <w:rFonts w:ascii="Times New Roman" w:hAnsi="Times New Roman"/>
                <w:sz w:val="22"/>
              </w:rPr>
              <w:t>7</w:t>
            </w:r>
          </w:p>
        </w:tc>
      </w:tr>
      <w:tr>
        <w:tc>
          <w:tcPr>
            <w:tcW w:type="dxa" w:w="7920"/>
            <w:tcBorders>
              <w:top w:sz="4" w:val="single" w:color="000000"/>
              <w:left w:sz="4" w:val="single" w:color="000000"/>
              <w:bottom w:sz="4" w:val="single" w:color="000000"/>
              <w:right w:sz="4" w:val="single" w:color="000000"/>
            </w:tcBorders>
            <w:vAlign w:val="center"/>
          </w:tcPr>
          <w:p>
            <w:pPr>
              <w:spacing w:before="80" w:after="80" w:line="276" w:lineRule="auto"/>
            </w:pPr>
            <w:r>
              <w:rPr>
                <w:rFonts w:ascii="Times New Roman" w:hAnsi="Times New Roman"/>
                <w:b/>
                <w:sz w:val="22"/>
              </w:rPr>
              <w:t>4. Initial Implementation (Optional)</w:t>
            </w:r>
          </w:p>
        </w:tc>
        <w:tc>
          <w:tcPr>
            <w:tcW w:type="dxa" w:w="1296"/>
            <w:tcBorders>
              <w:top w:sz="4" w:val="single" w:color="000000"/>
              <w:left w:sz="4" w:val="single" w:color="000000"/>
              <w:bottom w:sz="4" w:val="single" w:color="000000"/>
              <w:right w:sz="4" w:val="single" w:color="000000"/>
            </w:tcBorders>
            <w:vAlign w:val="center"/>
          </w:tcPr>
          <w:p>
            <w:pPr>
              <w:spacing w:before="80" w:after="80"/>
              <w:jc w:val="center"/>
            </w:pPr>
            <w:r>
              <w:rPr>
                <w:rFonts w:ascii="Times New Roman" w:hAnsi="Times New Roman"/>
                <w:sz w:val="22"/>
              </w:rPr>
              <w:t>11</w:t>
            </w:r>
          </w:p>
        </w:tc>
      </w:tr>
      <w:tr>
        <w:tc>
          <w:tcPr>
            <w:tcW w:type="dxa" w:w="7920"/>
            <w:tcBorders>
              <w:top w:sz="4" w:val="single" w:color="000000"/>
              <w:left w:sz="4" w:val="single" w:color="000000"/>
              <w:bottom w:sz="4" w:val="single" w:color="000000"/>
              <w:right w:sz="4" w:val="single" w:color="000000"/>
            </w:tcBorders>
            <w:vAlign w:val="center"/>
          </w:tcPr>
          <w:p>
            <w:pPr>
              <w:spacing w:before="80" w:after="80" w:line="276" w:lineRule="auto"/>
            </w:pPr>
            <w:r>
              <w:rPr>
                <w:rFonts w:ascii="Times New Roman" w:hAnsi="Times New Roman"/>
                <w:b/>
                <w:sz w:val="22"/>
              </w:rPr>
              <w:t>5. References</w:t>
            </w:r>
          </w:p>
        </w:tc>
        <w:tc>
          <w:tcPr>
            <w:tcW w:type="dxa" w:w="1296"/>
            <w:tcBorders>
              <w:top w:sz="4" w:val="single" w:color="000000"/>
              <w:left w:sz="4" w:val="single" w:color="000000"/>
              <w:bottom w:sz="4" w:val="single" w:color="000000"/>
              <w:right w:sz="4" w:val="single" w:color="000000"/>
            </w:tcBorders>
            <w:vAlign w:val="center"/>
          </w:tcPr>
          <w:p>
            <w:pPr>
              <w:spacing w:before="80" w:after="80"/>
              <w:jc w:val="center"/>
            </w:pPr>
            <w:r>
              <w:rPr>
                <w:rFonts w:ascii="Times New Roman" w:hAnsi="Times New Roman"/>
                <w:sz w:val="22"/>
              </w:rPr>
              <w:t>12</w:t>
            </w:r>
          </w:p>
        </w:tc>
      </w:tr>
    </w:tbl>
    <w:p>
      <w:pPr>
        <w:spacing w:before="320" w:after="120" w:line="276" w:lineRule="auto"/>
        <w:jc w:val="left"/>
      </w:pPr>
      <w:r>
        <w:rPr>
          <w:rFonts w:ascii="Times New Roman" w:hAnsi="Times New Roman"/>
          <w:b w:val="0"/>
          <w:i w:val="0"/>
          <w:color w:val="000000"/>
          <w:sz w:val="24"/>
        </w:rPr>
      </w:r>
    </w:p>
    <w:p>
      <w:pPr>
        <w:spacing w:before="0" w:after="60" w:line="276" w:lineRule="auto"/>
        <w:jc w:val="left"/>
      </w:pPr>
      <w:r>
        <w:rPr>
          <w:rFonts w:ascii="Times New Roman" w:hAnsi="Times New Roman"/>
          <w:b/>
          <w:i w:val="0"/>
          <w:color w:val="000000"/>
          <w:sz w:val="22"/>
        </w:rPr>
        <w:t>Note: Please prepare the report as per the following guidelines for the text content.</w:t>
      </w:r>
    </w:p>
    <w:p>
      <w:pPr>
        <w:spacing w:before="0" w:after="60" w:line="276" w:lineRule="auto"/>
        <w:jc w:val="left"/>
      </w:pPr>
      <w:r>
        <w:rPr>
          <w:rFonts w:ascii="Times New Roman" w:hAnsi="Times New Roman"/>
          <w:b/>
          <w:i w:val="0"/>
          <w:color w:val="000000"/>
          <w:sz w:val="22"/>
        </w:rPr>
        <w:t>Font: Times New Roman</w:t>
      </w:r>
    </w:p>
    <w:p>
      <w:pPr>
        <w:spacing w:before="0" w:after="60" w:line="276" w:lineRule="auto"/>
        <w:jc w:val="left"/>
      </w:pPr>
      <w:r>
        <w:rPr>
          <w:rFonts w:ascii="Times New Roman" w:hAnsi="Times New Roman"/>
          <w:b/>
          <w:i w:val="0"/>
          <w:color w:val="000000"/>
          <w:sz w:val="22"/>
        </w:rPr>
        <w:t>All Headings: Font size 14 pts</w:t>
      </w:r>
    </w:p>
    <w:p>
      <w:pPr>
        <w:spacing w:before="0" w:after="0" w:line="276" w:lineRule="auto"/>
        <w:jc w:val="left"/>
      </w:pPr>
      <w:r>
        <w:rPr>
          <w:rFonts w:ascii="Times New Roman" w:hAnsi="Times New Roman"/>
          <w:b/>
          <w:i w:val="0"/>
          <w:color w:val="000000"/>
          <w:sz w:val="22"/>
        </w:rPr>
        <w:t>All Text: Font size 12 pts</w:t>
      </w:r>
    </w:p>
    <w:p>
      <w:r>
        <w:br w:type="page"/>
      </w:r>
    </w:p>
    <w:p>
      <w:pPr>
        <w:spacing w:before="240" w:after="160" w:line="276" w:lineRule="auto"/>
        <w:jc w:val="left"/>
      </w:pPr>
      <w:r>
        <w:rPr>
          <w:rFonts w:ascii="Times New Roman" w:hAnsi="Times New Roman"/>
          <w:b/>
          <w:i w:val="0"/>
          <w:color w:val="000000"/>
          <w:sz w:val="28"/>
        </w:rPr>
        <w:t>1. Introduction</w:t>
      </w:r>
    </w:p>
    <w:p>
      <w:pPr>
        <w:spacing w:before="0" w:after="120" w:line="276" w:lineRule="auto"/>
        <w:jc w:val="left"/>
      </w:pPr>
      <w:r>
        <w:rPr>
          <w:rFonts w:ascii="Times New Roman" w:hAnsi="Times New Roman"/>
          <w:b w:val="0"/>
          <w:i w:val="0"/>
          <w:color w:val="000000"/>
          <w:sz w:val="24"/>
        </w:rPr>
        <w:t>The accelerating capability and widespread adoption of generative artificial intelligence (GenAI) and Large Language Models (LLMs) such as GPT-4, Claude, and Gemini have fundamentally disrupted traditional paradigms of higher education assessment. Undergraduate and postgraduate students can now synthesize highly articulate essays, literature surveys, source code implementations, and empirical research manuscripts within seconds. While these tools hold tremendous potential as intellectual accelerators, they have concurrently eroded the evidentiary value of written submissions as definitive proof of authentic student learning.</w:t>
      </w:r>
    </w:p>
    <w:p>
      <w:pPr>
        <w:spacing w:before="0" w:after="120" w:line="276" w:lineRule="auto"/>
        <w:jc w:val="left"/>
      </w:pPr>
      <w:r>
        <w:rPr>
          <w:rFonts w:ascii="Times New Roman" w:hAnsi="Times New Roman"/>
          <w:b w:val="0"/>
          <w:i w:val="0"/>
          <w:color w:val="000000"/>
          <w:sz w:val="24"/>
        </w:rPr>
        <w:t>Historically, educational institutions deployed text-scanning mechanisms and statistical classification algorithms to uphold academic integrity. However, contemporary research confirms that statistical AI detectors suffer from severe false-positive biases and can be bypassed through simple paraphrasing, leaving academic evaluators caught between unreliable accusations and unmonitored plagiarism. To restore credibility and diagnostic rigor to academic evaluations, this Special Project introduces VivaGuard: an evidence-based, document-grounded oral defense platform that automates the orchestration of authentic oral examinations (viva voce) while maintaining rigorous human-in-the-loop faculty governance.</w:t>
      </w:r>
    </w:p>
    <w:p>
      <w:pPr>
        <w:spacing w:before="200" w:after="120" w:line="276" w:lineRule="auto"/>
        <w:jc w:val="left"/>
      </w:pPr>
      <w:r>
        <w:rPr>
          <w:rFonts w:ascii="Times New Roman" w:hAnsi="Times New Roman"/>
          <w:b/>
          <w:i w:val="0"/>
          <w:color w:val="000000"/>
          <w:sz w:val="28"/>
        </w:rPr>
        <w:t>1.1. Problem Definition</w:t>
      </w:r>
    </w:p>
    <w:p>
      <w:pPr>
        <w:spacing w:before="0" w:after="120" w:line="276" w:lineRule="auto"/>
        <w:jc w:val="left"/>
      </w:pPr>
      <w:r>
        <w:rPr>
          <w:rFonts w:ascii="Times New Roman" w:hAnsi="Times New Roman"/>
          <w:b w:val="0"/>
          <w:i w:val="0"/>
          <w:color w:val="000000"/>
          <w:sz w:val="24"/>
        </w:rPr>
        <w:t>Contemporary academic evaluation faces a systemic crisis defined by three interconnected challenges:</w:t>
      </w:r>
    </w:p>
    <w:p>
      <w:pPr>
        <w:pStyle w:val="ListBullet"/>
        <w:spacing w:before="40" w:after="80" w:line="276" w:lineRule="auto"/>
      </w:pPr>
      <w:r>
        <w:rPr>
          <w:rFonts w:ascii="Times New Roman" w:hAnsi="Times New Roman"/>
          <w:b/>
          <w:sz w:val="24"/>
        </w:rPr>
        <w:t xml:space="preserve">Fragility and Inequity of Statistical AI Detection: </w:t>
      </w:r>
      <w:r>
        <w:rPr>
          <w:rFonts w:ascii="Times New Roman" w:hAnsi="Times New Roman"/>
          <w:sz w:val="24"/>
        </w:rPr>
        <w:t>Commercial AI detectors compute statistical token perplexity and burstiness to assign an accusatory percentage (e.g., '87% AI-generated'). Empirical studies (Liang et al., 2023) demonstrate that these classifiers misclassify authentic human essays by non-native English writers at rates exceeding 61%, creating profound demographic penalties and damaging student-faculty trust without pedagogical justification.</w:t>
      </w:r>
    </w:p>
    <w:p>
      <w:pPr>
        <w:pStyle w:val="ListBullet"/>
        <w:spacing w:before="40" w:after="80" w:line="276" w:lineRule="auto"/>
      </w:pPr>
      <w:r>
        <w:rPr>
          <w:rFonts w:ascii="Times New Roman" w:hAnsi="Times New Roman"/>
          <w:b/>
          <w:sz w:val="24"/>
        </w:rPr>
        <w:t xml:space="preserve">Adversarial Vulnerability and Contract Cheating: </w:t>
      </w:r>
      <w:r>
        <w:rPr>
          <w:rFonts w:ascii="Times New Roman" w:hAnsi="Times New Roman"/>
          <w:sz w:val="24"/>
        </w:rPr>
        <w:t>As proven by Sadasivan et al. (2023) and Krishna et al. (2023), statistical boundaries deteriorate rapidly when text undergoes light paraphrasing or prompt transformation. Furthermore, written artifacts can be outsourced through contract cheating services, rendering passive text analysis incapable of verifying whether the enrolled student personally understands or authored the delivered material.</w:t>
      </w:r>
    </w:p>
    <w:p>
      <w:pPr>
        <w:pStyle w:val="ListBullet"/>
        <w:spacing w:before="40" w:after="80" w:line="276" w:lineRule="auto"/>
      </w:pPr>
      <w:r>
        <w:rPr>
          <w:rFonts w:ascii="Times New Roman" w:hAnsi="Times New Roman"/>
          <w:b/>
          <w:sz w:val="24"/>
        </w:rPr>
        <w:t xml:space="preserve">The Scalability Barrier of Oral Defenses: </w:t>
      </w:r>
      <w:r>
        <w:rPr>
          <w:rFonts w:ascii="Times New Roman" w:hAnsi="Times New Roman"/>
          <w:sz w:val="24"/>
        </w:rPr>
        <w:t>Oral examinations (viva voce) represent the pedagogical gold standard for authentic comprehension assessment because spontaneous oral defense cannot be proxied or outsourced. However, conducting individual 15-to-30 minute oral vivas across cohorts of 100+ students requires hundreds of faculty hours, rendering comprehensive oral assessment logistically impossible for mid-term coursework and term projects.</w:t>
      </w:r>
    </w:p>
    <w:p>
      <w:pPr>
        <w:spacing w:before="200" w:after="120" w:line="276" w:lineRule="auto"/>
        <w:jc w:val="left"/>
      </w:pPr>
      <w:r>
        <w:rPr>
          <w:rFonts w:ascii="Times New Roman" w:hAnsi="Times New Roman"/>
          <w:b/>
          <w:i w:val="0"/>
          <w:color w:val="000000"/>
          <w:sz w:val="28"/>
        </w:rPr>
        <w:t>1.2. Objective(s) of the Project</w:t>
      </w:r>
    </w:p>
    <w:p>
      <w:pPr>
        <w:spacing w:before="0" w:after="120" w:line="276" w:lineRule="auto"/>
        <w:jc w:val="left"/>
      </w:pPr>
      <w:r>
        <w:rPr>
          <w:rFonts w:ascii="Times New Roman" w:hAnsi="Times New Roman"/>
          <w:b w:val="0"/>
          <w:i w:val="0"/>
          <w:color w:val="000000"/>
          <w:sz w:val="24"/>
        </w:rPr>
        <w:t>The overarching objective of the VivaGuard project is to build an automated, document-grounded oral defense platform that empowers educational institutions to evaluate authentic student understanding with speed, rigor, and equity. The specific technical and pedagogical objectives are:</w:t>
      </w:r>
    </w:p>
    <w:p>
      <w:pPr>
        <w:pStyle w:val="ListBullet"/>
        <w:spacing w:before="40" w:after="80" w:line="276" w:lineRule="auto"/>
      </w:pPr>
      <w:r>
        <w:rPr>
          <w:rFonts w:ascii="Times New Roman" w:hAnsi="Times New Roman"/>
          <w:b/>
          <w:sz w:val="24"/>
        </w:rPr>
        <w:t xml:space="preserve">1. Automated Submission Knowledge Graph Construction: </w:t>
      </w:r>
      <w:r>
        <w:rPr>
          <w:rFonts w:ascii="Times New Roman" w:hAnsi="Times New Roman"/>
          <w:sz w:val="24"/>
        </w:rPr>
        <w:t>To design and implement an extraction pipeline capable of parsing unstructured academic manuscripts (PDF, DOCX, TXT) and decomposing them into a structured Submission Knowledge Map encompassing core claims, empirical methodologies, datasets, algorithmic logic, cited authorities, and key findings.</w:t>
      </w:r>
    </w:p>
    <w:p>
      <w:pPr>
        <w:pStyle w:val="ListBullet"/>
        <w:spacing w:before="40" w:after="80" w:line="276" w:lineRule="auto"/>
      </w:pPr>
      <w:r>
        <w:rPr>
          <w:rFonts w:ascii="Times New Roman" w:hAnsi="Times New Roman"/>
          <w:b/>
          <w:sz w:val="24"/>
        </w:rPr>
        <w:t xml:space="preserve">2. Document-Grounded Question Synthesis: </w:t>
      </w:r>
      <w:r>
        <w:rPr>
          <w:rFonts w:ascii="Times New Roman" w:hAnsi="Times New Roman"/>
          <w:sz w:val="24"/>
        </w:rPr>
        <w:t>To generate an 8-category question pool (encompassing Conceptual Understanding, Methodology Defense, Practical Application, Reasoning, Critical Thinking, Citation Verification, Deep Dives, and Contradiction Testing) where every candidate question is deterministically anchored to exact page and paragraph citations from the student's submission.</w:t>
      </w:r>
    </w:p>
    <w:p>
      <w:pPr>
        <w:pStyle w:val="ListBullet"/>
        <w:spacing w:before="40" w:after="80" w:line="276" w:lineRule="auto"/>
      </w:pPr>
      <w:r>
        <w:rPr>
          <w:rFonts w:ascii="Times New Roman" w:hAnsi="Times New Roman"/>
          <w:b/>
          <w:sz w:val="24"/>
        </w:rPr>
        <w:t xml:space="preserve">3. Real-Time Adaptive Voice Examination Engine: </w:t>
      </w:r>
      <w:r>
        <w:rPr>
          <w:rFonts w:ascii="Times New Roman" w:hAnsi="Times New Roman"/>
          <w:sz w:val="24"/>
        </w:rPr>
        <w:t>To construct a conversational voice agent utilizing low-latency Speech-to-Text (STT) and natural Text-to-Speech (TTS) pipelines to conduct a 3-to-10 minute oral defense that dynamically adjusts question depth and triggers contextual follow-ups based on the student's verbal explanations.</w:t>
      </w:r>
    </w:p>
    <w:p>
      <w:pPr>
        <w:pStyle w:val="ListBullet"/>
        <w:spacing w:before="40" w:after="80" w:line="276" w:lineRule="auto"/>
      </w:pPr>
      <w:r>
        <w:rPr>
          <w:rFonts w:ascii="Times New Roman" w:hAnsi="Times New Roman"/>
          <w:b/>
          <w:sz w:val="24"/>
        </w:rPr>
        <w:t xml:space="preserve">4. Multi-Dimensional Cognitive Evaluation: </w:t>
      </w:r>
      <w:r>
        <w:rPr>
          <w:rFonts w:ascii="Times New Roman" w:hAnsi="Times New Roman"/>
          <w:sz w:val="24"/>
        </w:rPr>
        <w:t>To implement a multi-faceted evaluation model assessing candidate responses across six weighted dimensions: Conceptual Understanding (30%), Methodology (20%), Reasoning (15%), Critical Thinking (15%), Submission Familiarity (15%), and Oral Communication Clarity (5%).</w:t>
      </w:r>
    </w:p>
    <w:p>
      <w:pPr>
        <w:pStyle w:val="ListBullet"/>
        <w:spacing w:before="40" w:after="80" w:line="276" w:lineRule="auto"/>
      </w:pPr>
      <w:r>
        <w:rPr>
          <w:rFonts w:ascii="Times New Roman" w:hAnsi="Times New Roman"/>
          <w:b/>
          <w:sz w:val="24"/>
        </w:rPr>
        <w:t xml:space="preserve">5. Human-in-the-Loop Faculty Governance: </w:t>
      </w:r>
      <w:r>
        <w:rPr>
          <w:rFonts w:ascii="Times New Roman" w:hAnsi="Times New Roman"/>
          <w:sz w:val="24"/>
        </w:rPr>
        <w:t>To provide professors with an interactive evidence verification dashboard featuring timestamped audio replay, verbatim transcripts, side-by-side manuscript excerpts, automated anomaly flags, and manual grade override controls.</w:t>
      </w:r>
    </w:p>
    <w:p>
      <w:pPr>
        <w:spacing w:before="200" w:after="120" w:line="276" w:lineRule="auto"/>
        <w:jc w:val="left"/>
      </w:pPr>
      <w:r>
        <w:rPr>
          <w:rFonts w:ascii="Times New Roman" w:hAnsi="Times New Roman"/>
          <w:b/>
          <w:i w:val="0"/>
          <w:color w:val="000000"/>
          <w:sz w:val="28"/>
        </w:rPr>
        <w:t>1.3. Limitations of the Project</w:t>
      </w:r>
    </w:p>
    <w:p>
      <w:pPr>
        <w:spacing w:before="0" w:after="120" w:line="276" w:lineRule="auto"/>
        <w:jc w:val="left"/>
      </w:pPr>
      <w:r>
        <w:rPr>
          <w:rFonts w:ascii="Times New Roman" w:hAnsi="Times New Roman"/>
          <w:b w:val="0"/>
          <w:i w:val="0"/>
          <w:color w:val="000000"/>
          <w:sz w:val="24"/>
        </w:rPr>
        <w:t>While VivaGuard offers an innovative paradigm for academic assessment, several operational limitations are recognized:</w:t>
      </w:r>
    </w:p>
    <w:p>
      <w:pPr>
        <w:pStyle w:val="ListBullet"/>
        <w:spacing w:before="40" w:after="80" w:line="276" w:lineRule="auto"/>
      </w:pPr>
      <w:r>
        <w:rPr>
          <w:rFonts w:ascii="Times New Roman" w:hAnsi="Times New Roman"/>
          <w:b/>
          <w:sz w:val="24"/>
        </w:rPr>
        <w:t xml:space="preserve">Acoustic and Hardware Variability: </w:t>
      </w:r>
      <w:r>
        <w:rPr>
          <w:rFonts w:ascii="Times New Roman" w:hAnsi="Times New Roman"/>
          <w:sz w:val="24"/>
        </w:rPr>
        <w:t>Ambient acoustic noise, poor-quality microphone hardware, or packet loss over unstable internet connections can introduce speech-to-text transcription artifacts during live oral examinations.</w:t>
      </w:r>
    </w:p>
    <w:p>
      <w:pPr>
        <w:pStyle w:val="ListBullet"/>
        <w:spacing w:before="40" w:after="80" w:line="276" w:lineRule="auto"/>
      </w:pPr>
      <w:r>
        <w:rPr>
          <w:rFonts w:ascii="Times New Roman" w:hAnsi="Times New Roman"/>
          <w:b/>
          <w:sz w:val="24"/>
        </w:rPr>
        <w:t xml:space="preserve">Parsing Complex Multimodal Submissions: </w:t>
      </w:r>
      <w:r>
        <w:rPr>
          <w:rFonts w:ascii="Times New Roman" w:hAnsi="Times New Roman"/>
          <w:sz w:val="24"/>
        </w:rPr>
        <w:t>Hand-drawn diagrams, non-OCR scanned documents, and specialized mathematical notations (LaTeX equations) require specialized multi-modal vision models and may not achieve full structural decomposition in initial releases.</w:t>
      </w:r>
    </w:p>
    <w:p>
      <w:pPr>
        <w:pStyle w:val="ListBullet"/>
        <w:spacing w:before="40" w:after="80" w:line="276" w:lineRule="auto"/>
      </w:pPr>
      <w:r>
        <w:rPr>
          <w:rFonts w:ascii="Times New Roman" w:hAnsi="Times New Roman"/>
          <w:b/>
          <w:sz w:val="24"/>
        </w:rPr>
        <w:t xml:space="preserve">Real-Time Conversational Latency: </w:t>
      </w:r>
      <w:r>
        <w:rPr>
          <w:rFonts w:ascii="Times New Roman" w:hAnsi="Times New Roman"/>
          <w:sz w:val="24"/>
        </w:rPr>
        <w:t>Orchestrating chained STT processing, LLM context generation, and audio stream synthesis requires stringent edge caching and optimized API responses to maintain natural conversational turn-taking under 1.5 seconds.</w:t>
      </w:r>
    </w:p>
    <w:p>
      <w:pPr>
        <w:pStyle w:val="ListBullet"/>
        <w:spacing w:before="40" w:after="80" w:line="276" w:lineRule="auto"/>
      </w:pPr>
      <w:r>
        <w:rPr>
          <w:rFonts w:ascii="Times New Roman" w:hAnsi="Times New Roman"/>
          <w:b/>
          <w:sz w:val="24"/>
        </w:rPr>
        <w:t xml:space="preserve">Advisory Nature of Autonomous Scoring: </w:t>
      </w:r>
      <w:r>
        <w:rPr>
          <w:rFonts w:ascii="Times New Roman" w:hAnsi="Times New Roman"/>
          <w:sz w:val="24"/>
        </w:rPr>
        <w:t>VivaGuard is engineered strictly as an evidence-gathering and decision-support system for human faculty. It does not autonomously issue disciplinary sanctions or final course grades without professor review.</w:t>
      </w:r>
    </w:p>
    <w:p>
      <w:r>
        <w:br w:type="page"/>
      </w:r>
    </w:p>
    <w:p>
      <w:pPr>
        <w:spacing w:before="240" w:after="160" w:line="276" w:lineRule="auto"/>
        <w:jc w:val="left"/>
      </w:pPr>
      <w:r>
        <w:rPr>
          <w:rFonts w:ascii="Times New Roman" w:hAnsi="Times New Roman"/>
          <w:b/>
          <w:i w:val="0"/>
          <w:color w:val="000000"/>
          <w:sz w:val="28"/>
        </w:rPr>
        <w:t>2. Literature Survey</w:t>
      </w:r>
    </w:p>
    <w:p>
      <w:pPr>
        <w:spacing w:before="0" w:after="120" w:line="276" w:lineRule="auto"/>
        <w:jc w:val="left"/>
      </w:pPr>
      <w:r>
        <w:rPr>
          <w:rFonts w:ascii="Times New Roman" w:hAnsi="Times New Roman"/>
          <w:b w:val="0"/>
          <w:i w:val="0"/>
          <w:color w:val="000000"/>
          <w:sz w:val="24"/>
        </w:rPr>
        <w:t>The literature survey reviews existing theoretical, empirical, and architectural paradigms across three foundational domains: statistical text-scanning detection systems, the pedagogical efficacy of oral viva voce examinations, and retrieval-augmented generation (RAG) for hallucination-free educational evaluation.</w:t>
      </w:r>
    </w:p>
    <w:p>
      <w:pPr>
        <w:spacing w:before="200" w:after="120" w:line="276" w:lineRule="auto"/>
        <w:jc w:val="left"/>
      </w:pPr>
      <w:r>
        <w:rPr>
          <w:rFonts w:ascii="Times New Roman" w:hAnsi="Times New Roman"/>
          <w:b/>
          <w:i w:val="0"/>
          <w:color w:val="000000"/>
          <w:sz w:val="28"/>
        </w:rPr>
        <w:t>2.1. Existing System</w:t>
      </w:r>
    </w:p>
    <w:p>
      <w:pPr>
        <w:spacing w:before="0" w:after="120" w:line="276" w:lineRule="auto"/>
        <w:jc w:val="left"/>
      </w:pPr>
      <w:r>
        <w:rPr>
          <w:rFonts w:ascii="Times New Roman" w:hAnsi="Times New Roman"/>
          <w:b w:val="0"/>
          <w:i w:val="0"/>
          <w:color w:val="000000"/>
          <w:sz w:val="24"/>
        </w:rPr>
        <w:t>Contemporary academic integrity verification relies almost entirely on automated text-scanning platforms. Commercial systems such as Turnitin, CopyLeaks, GPTZero, and original OpenAI classifiers operate by processing static written submissions through statistical language models. These tools evaluate two primary metrics:</w:t>
      </w:r>
    </w:p>
    <w:p>
      <w:pPr>
        <w:pStyle w:val="ListBullet"/>
        <w:spacing w:before="40" w:after="80" w:line="276" w:lineRule="auto"/>
      </w:pPr>
      <w:r>
        <w:rPr>
          <w:rFonts w:ascii="Times New Roman" w:hAnsi="Times New Roman"/>
          <w:b/>
          <w:sz w:val="24"/>
        </w:rPr>
        <w:t xml:space="preserve">Perplexity: </w:t>
      </w:r>
      <w:r>
        <w:rPr>
          <w:rFonts w:ascii="Times New Roman" w:hAnsi="Times New Roman"/>
          <w:sz w:val="24"/>
        </w:rPr>
        <w:t>A mathematical measure of how likely a sequence of tokens is under a pre-trained language model distribution. Text exhibiting low perplexity (highly predictable word transitions) is categorized as machine-generated.</w:t>
      </w:r>
    </w:p>
    <w:p>
      <w:pPr>
        <w:pStyle w:val="ListBullet"/>
        <w:spacing w:before="40" w:after="80" w:line="276" w:lineRule="auto"/>
      </w:pPr>
      <w:r>
        <w:rPr>
          <w:rFonts w:ascii="Times New Roman" w:hAnsi="Times New Roman"/>
          <w:b/>
          <w:sz w:val="24"/>
        </w:rPr>
        <w:t xml:space="preserve">Burstiness: </w:t>
      </w:r>
      <w:r>
        <w:rPr>
          <w:rFonts w:ascii="Times New Roman" w:hAnsi="Times New Roman"/>
          <w:sz w:val="24"/>
        </w:rPr>
        <w:t>The degree of variation in sentence length and syntactic complexity across a document. Human writers naturally exhibit irregular, highly variable syntactic structures, whereas LLMs tend toward uniform sentence lengths.</w:t>
      </w:r>
    </w:p>
    <w:p>
      <w:pPr>
        <w:spacing w:before="0" w:after="120" w:line="276" w:lineRule="auto"/>
        <w:jc w:val="left"/>
      </w:pPr>
      <w:r>
        <w:rPr>
          <w:rFonts w:ascii="Times New Roman" w:hAnsi="Times New Roman"/>
          <w:b w:val="0"/>
          <w:i w:val="0"/>
          <w:color w:val="000000"/>
          <w:sz w:val="24"/>
        </w:rPr>
        <w:t>In parallel, traditional oral defense examinations (viva voce) have persisted as the pinnacle of qualitative academic defense. Rooted in ancient Socratic dialogic examination and formalized in European university statutes since the 12th century, the viva voce requires candidates to articulate, justify, and defend their research in direct conversation with subject matter experts.</w:t>
      </w:r>
    </w:p>
    <w:p>
      <w:pPr>
        <w:spacing w:before="200" w:after="120" w:line="276" w:lineRule="auto"/>
        <w:jc w:val="left"/>
      </w:pPr>
      <w:r>
        <w:rPr>
          <w:rFonts w:ascii="Times New Roman" w:hAnsi="Times New Roman"/>
          <w:b/>
          <w:i w:val="0"/>
          <w:color w:val="000000"/>
          <w:sz w:val="28"/>
        </w:rPr>
        <w:t>2.2. Limitations of Existing System</w:t>
      </w:r>
    </w:p>
    <w:p>
      <w:pPr>
        <w:spacing w:before="0" w:after="120" w:line="276" w:lineRule="auto"/>
        <w:jc w:val="left"/>
      </w:pPr>
      <w:r>
        <w:rPr>
          <w:rFonts w:ascii="Times New Roman" w:hAnsi="Times New Roman"/>
          <w:b w:val="0"/>
          <w:i w:val="0"/>
          <w:color w:val="000000"/>
          <w:sz w:val="24"/>
        </w:rPr>
        <w:t>Despite their widespread institutional adoption, existing text-scanning systems exhibit critical methodological defects:</w:t>
      </w:r>
    </w:p>
    <w:p>
      <w:pPr>
        <w:pStyle w:val="ListBullet"/>
        <w:spacing w:before="40" w:after="80" w:line="276" w:lineRule="auto"/>
      </w:pPr>
      <w:r>
        <w:rPr>
          <w:rFonts w:ascii="Times New Roman" w:hAnsi="Times New Roman"/>
          <w:b/>
          <w:sz w:val="24"/>
        </w:rPr>
        <w:t xml:space="preserve">Severe False-Positive Bias on Non-Native English Speakers: </w:t>
      </w:r>
      <w:r>
        <w:rPr>
          <w:rFonts w:ascii="Times New Roman" w:hAnsi="Times New Roman"/>
          <w:sz w:val="24"/>
        </w:rPr>
        <w:t>Liang et al. (2023) conducted an empirical benchmark of seven leading commercial AI detectors using human-authored essays from the international TOEFL dataset. The study revealed that over 61% of authentic human essays written by non-native students were falsely flagged as AI-generated. Non-native speakers typically write with more restricted vocabulary and simpler grammatical structures, which statistical detectors mistake for low-perplexity machine text.</w:t>
      </w:r>
    </w:p>
    <w:p>
      <w:pPr>
        <w:pStyle w:val="ListBullet"/>
        <w:spacing w:before="40" w:after="80" w:line="276" w:lineRule="auto"/>
      </w:pPr>
      <w:r>
        <w:rPr>
          <w:rFonts w:ascii="Times New Roman" w:hAnsi="Times New Roman"/>
          <w:b/>
          <w:sz w:val="24"/>
        </w:rPr>
        <w:t xml:space="preserve">Adversarial Vulnerability and Paraphrasing Evasion: </w:t>
      </w:r>
      <w:r>
        <w:rPr>
          <w:rFonts w:ascii="Times New Roman" w:hAnsi="Times New Roman"/>
          <w:sz w:val="24"/>
        </w:rPr>
        <w:t>Sadasivan et al. (2023) established theoretically that as generative models approach human writing competence, statistical discriminators inevitably decay toward random chance. Krishna et al. (2023) corroborated this empirically, demonstrating that paraphrasing tools (e.g., QuillBot) and recursive prompting render commercial AI detectors virtually ineffective.</w:t>
      </w:r>
    </w:p>
    <w:p>
      <w:pPr>
        <w:pStyle w:val="ListBullet"/>
        <w:spacing w:before="40" w:after="80" w:line="276" w:lineRule="auto"/>
      </w:pPr>
      <w:r>
        <w:rPr>
          <w:rFonts w:ascii="Times New Roman" w:hAnsi="Times New Roman"/>
          <w:b/>
          <w:sz w:val="24"/>
        </w:rPr>
        <w:t xml:space="preserve">Pedagogical Failure of Probability Scores: </w:t>
      </w:r>
      <w:r>
        <w:rPr>
          <w:rFonts w:ascii="Times New Roman" w:hAnsi="Times New Roman"/>
          <w:sz w:val="24"/>
        </w:rPr>
        <w:t>Dawson &amp; Sutherland-Smith (2018) highlighted that an arbitrary probability score (e.g., '78% AI Probability') provides zero diagnostic evidence regarding what the student actually learned or understands. When challenged, professors cannot point to specific factual inconsistencies, leading to protracted disputes and damaged instructional relationships.</w:t>
      </w:r>
    </w:p>
    <w:p>
      <w:pPr>
        <w:pStyle w:val="ListBullet"/>
        <w:spacing w:before="40" w:after="80" w:line="276" w:lineRule="auto"/>
      </w:pPr>
      <w:r>
        <w:rPr>
          <w:rFonts w:ascii="Times New Roman" w:hAnsi="Times New Roman"/>
          <w:b/>
          <w:sz w:val="24"/>
        </w:rPr>
        <w:t xml:space="preserve">The Scalability Bottleneck of Manual Viva Voce: </w:t>
      </w:r>
      <w:r>
        <w:rPr>
          <w:rFonts w:ascii="Times New Roman" w:hAnsi="Times New Roman"/>
          <w:sz w:val="24"/>
        </w:rPr>
        <w:t>While traditional oral examinations eliminate contract cheating and verify authentic comprehension (Joughin, 1998, 2010), their faculty-intensive nature restricts them to doctoral dissertations and master's theses. Conducting 20-minute viva examinations for a cohort of 120 undergraduate students requires 40 uninterrupted hours of faculty time, making it impractical for mid-term coursework.</w:t>
      </w:r>
    </w:p>
    <w:p>
      <w:pPr>
        <w:spacing w:before="240" w:after="120" w:line="276" w:lineRule="auto"/>
        <w:jc w:val="left"/>
      </w:pPr>
      <w:r>
        <w:rPr>
          <w:rFonts w:ascii="Times New Roman" w:hAnsi="Times New Roman"/>
          <w:b/>
          <w:i w:val="0"/>
          <w:color w:val="000000"/>
          <w:sz w:val="24"/>
        </w:rPr>
        <w:t>Table 2.1: Comparative Synthesis Matrix of Academic Integrity Approaches</w:t>
      </w:r>
    </w:p>
    <w:tbl>
      <w:tblPr>
        <w:tblW w:type="auto" w:w="0"/>
        <w:jc w:val="center"/>
        <w:tblLook w:firstColumn="1" w:firstRow="1" w:lastColumn="0" w:lastRow="0" w:noHBand="0" w:noVBand="1" w:val="04A0"/>
      </w:tblPr>
      <w:tblGrid>
        <w:gridCol w:w="2340"/>
        <w:gridCol w:w="2340"/>
        <w:gridCol w:w="2340"/>
        <w:gridCol w:w="2340"/>
      </w:tblGrid>
      <w:tr>
        <w:tc>
          <w:tcPr>
            <w:tcW w:type="dxa" w:w="2160"/>
            <w:tcBorders>
              <w:top w:sz="4" w:val="single" w:color="000000"/>
              <w:left w:sz="4" w:val="single" w:color="000000"/>
              <w:bottom w:sz="4" w:val="single" w:color="000000"/>
              <w:right w:sz="4" w:val="single" w:color="000000"/>
            </w:tcBorders>
            <w:shd w:fill="002D62"/>
          </w:tcPr>
          <w:p>
            <w:pPr>
              <w:spacing w:before="60" w:after="60"/>
            </w:pPr>
            <w:r>
              <w:rPr>
                <w:rFonts w:ascii="Times New Roman" w:hAnsi="Times New Roman"/>
                <w:b/>
                <w:color w:val="FFFFFF"/>
                <w:sz w:val="19"/>
              </w:rPr>
              <w:t>Evaluation Dimension</w:t>
            </w:r>
          </w:p>
        </w:tc>
        <w:tc>
          <w:tcPr>
            <w:tcW w:type="dxa" w:w="2304"/>
            <w:tcBorders>
              <w:top w:sz="4" w:val="single" w:color="000000"/>
              <w:left w:sz="4" w:val="single" w:color="000000"/>
              <w:bottom w:sz="4" w:val="single" w:color="000000"/>
              <w:right w:sz="4" w:val="single" w:color="000000"/>
            </w:tcBorders>
            <w:shd w:fill="002D62"/>
          </w:tcPr>
          <w:p>
            <w:pPr>
              <w:spacing w:before="60" w:after="60"/>
            </w:pPr>
            <w:r>
              <w:rPr>
                <w:rFonts w:ascii="Times New Roman" w:hAnsi="Times New Roman"/>
                <w:b/>
                <w:color w:val="FFFFFF"/>
                <w:sz w:val="19"/>
              </w:rPr>
              <w:t>Statistical Text Detectors</w:t>
            </w:r>
          </w:p>
        </w:tc>
        <w:tc>
          <w:tcPr>
            <w:tcW w:type="dxa" w:w="2304"/>
            <w:tcBorders>
              <w:top w:sz="4" w:val="single" w:color="000000"/>
              <w:left w:sz="4" w:val="single" w:color="000000"/>
              <w:bottom w:sz="4" w:val="single" w:color="000000"/>
              <w:right w:sz="4" w:val="single" w:color="000000"/>
            </w:tcBorders>
            <w:shd w:fill="002D62"/>
          </w:tcPr>
          <w:p>
            <w:pPr>
              <w:spacing w:before="60" w:after="60"/>
            </w:pPr>
            <w:r>
              <w:rPr>
                <w:rFonts w:ascii="Times New Roman" w:hAnsi="Times New Roman"/>
                <w:b/>
                <w:color w:val="FFFFFF"/>
                <w:sz w:val="19"/>
              </w:rPr>
              <w:t>Traditional Oral Viva</w:t>
            </w:r>
          </w:p>
        </w:tc>
        <w:tc>
          <w:tcPr>
            <w:tcW w:type="dxa" w:w="2592"/>
            <w:tcBorders>
              <w:top w:sz="4" w:val="single" w:color="000000"/>
              <w:left w:sz="4" w:val="single" w:color="000000"/>
              <w:bottom w:sz="4" w:val="single" w:color="000000"/>
              <w:right w:sz="4" w:val="single" w:color="000000"/>
            </w:tcBorders>
            <w:shd w:fill="002D62"/>
          </w:tcPr>
          <w:p>
            <w:pPr>
              <w:spacing w:before="60" w:after="60"/>
            </w:pPr>
            <w:r>
              <w:rPr>
                <w:rFonts w:ascii="Times New Roman" w:hAnsi="Times New Roman"/>
                <w:b/>
                <w:color w:val="FFFFFF"/>
                <w:sz w:val="19"/>
              </w:rPr>
              <w:t>VivaGuard Platform (Proposed)</w:t>
            </w:r>
          </w:p>
        </w:tc>
      </w:tr>
      <w:tr>
        <w:tc>
          <w:tcPr>
            <w:tcW w:type="dxa" w:w="216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Core Mechanism</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Statistical n-gram &amp; perplexity scanning</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Manual face-to-face dialogue</w:t>
            </w:r>
          </w:p>
        </w:tc>
        <w:tc>
          <w:tcPr>
            <w:tcW w:type="dxa" w:w="2592"/>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Document-grounded adaptive voice AI</w:t>
            </w:r>
          </w:p>
        </w:tc>
      </w:tr>
      <w:tr>
        <w:tc>
          <w:tcPr>
            <w:tcW w:type="dxa" w:w="216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Primary Deliverable</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Accusatory probability score (%)</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Subjective pass/fail consensus</w:t>
            </w:r>
          </w:p>
        </w:tc>
        <w:tc>
          <w:tcPr>
            <w:tcW w:type="dxa" w:w="2592"/>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Evidence Dossier + 6D Cognitive Scores</w:t>
            </w:r>
          </w:p>
        </w:tc>
      </w:tr>
      <w:tr>
        <w:tc>
          <w:tcPr>
            <w:tcW w:type="dxa" w:w="216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Evidence Grounding</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None (Static token predictions)</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Faculty memory &amp; manuscript notes</w:t>
            </w:r>
          </w:p>
        </w:tc>
        <w:tc>
          <w:tcPr>
            <w:tcW w:type="dxa" w:w="2592"/>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Exact Page &amp; Paragraph Citations</w:t>
            </w:r>
          </w:p>
        </w:tc>
      </w:tr>
      <w:tr>
        <w:tc>
          <w:tcPr>
            <w:tcW w:type="dxa" w:w="216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Scalability (100+ Cohorts)</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High (Batch instant scan)</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Severely Low (40+ faculty hours)</w:t>
            </w:r>
          </w:p>
        </w:tc>
        <w:tc>
          <w:tcPr>
            <w:tcW w:type="dxa" w:w="2592"/>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High (Automated concurrent vivas)</w:t>
            </w:r>
          </w:p>
        </w:tc>
      </w:tr>
      <w:tr>
        <w:tc>
          <w:tcPr>
            <w:tcW w:type="dxa" w:w="216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Non-Native Demographic Bias</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Severe (&gt;61% false positives)</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Low to Moderate</w:t>
            </w:r>
          </w:p>
        </w:tc>
        <w:tc>
          <w:tcPr>
            <w:tcW w:type="dxa" w:w="2592"/>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Low (Evaluates conceptual logic)</w:t>
            </w:r>
          </w:p>
        </w:tc>
      </w:tr>
      <w:tr>
        <w:tc>
          <w:tcPr>
            <w:tcW w:type="dxa" w:w="216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Resistance to Ghostwriting</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Zero (Scans submitted text only)</w:t>
            </w:r>
          </w:p>
        </w:tc>
        <w:tc>
          <w:tcPr>
            <w:tcW w:type="dxa" w:w="2304"/>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Absolute (Exposes proxy authors)</w:t>
            </w:r>
          </w:p>
        </w:tc>
        <w:tc>
          <w:tcPr>
            <w:tcW w:type="dxa" w:w="2592"/>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High (Spontaneous live oral defense)</w:t>
            </w:r>
          </w:p>
        </w:tc>
      </w:tr>
    </w:tbl>
    <w:p>
      <w:r>
        <w:br w:type="page"/>
      </w:r>
    </w:p>
    <w:p>
      <w:pPr>
        <w:spacing w:before="240" w:after="160" w:line="276" w:lineRule="auto"/>
        <w:jc w:val="left"/>
      </w:pPr>
      <w:r>
        <w:rPr>
          <w:rFonts w:ascii="Times New Roman" w:hAnsi="Times New Roman"/>
          <w:b/>
          <w:i w:val="0"/>
          <w:color w:val="000000"/>
          <w:sz w:val="28"/>
        </w:rPr>
        <w:t>3. Proposed System - Methodology (Tools and Technologies)</w:t>
      </w:r>
    </w:p>
    <w:p>
      <w:pPr>
        <w:spacing w:before="0" w:after="120" w:line="276" w:lineRule="auto"/>
        <w:jc w:val="left"/>
      </w:pPr>
      <w:r>
        <w:rPr>
          <w:rFonts w:ascii="Times New Roman" w:hAnsi="Times New Roman"/>
          <w:b w:val="0"/>
          <w:i w:val="0"/>
          <w:color w:val="000000"/>
          <w:sz w:val="24"/>
        </w:rPr>
        <w:t>VivaGuard shifts the paradigm from punitive text detection to affirmative oral defense. The methodology integrates modern web standards, speech synthesis, document grounding via retrieval-augmented pipelines, and an adaptive state engine to deliver a trustworthy, scalable academic assessment ecosystem.</w:t>
      </w:r>
    </w:p>
    <w:p>
      <w:pPr>
        <w:spacing w:before="200" w:after="120" w:line="276" w:lineRule="auto"/>
        <w:jc w:val="left"/>
      </w:pPr>
      <w:r>
        <w:rPr>
          <w:rFonts w:ascii="Times New Roman" w:hAnsi="Times New Roman"/>
          <w:b/>
          <w:i w:val="0"/>
          <w:color w:val="000000"/>
          <w:sz w:val="28"/>
        </w:rPr>
        <w:t>3.1 System Architecture / Data flow diagrams</w:t>
      </w:r>
    </w:p>
    <w:p>
      <w:pPr>
        <w:spacing w:before="0" w:after="120" w:line="276" w:lineRule="auto"/>
        <w:jc w:val="left"/>
      </w:pPr>
      <w:r>
        <w:rPr>
          <w:rFonts w:ascii="Times New Roman" w:hAnsi="Times New Roman"/>
          <w:b w:val="0"/>
          <w:i w:val="0"/>
          <w:color w:val="000000"/>
          <w:sz w:val="24"/>
        </w:rPr>
        <w:t>VivaGuard follows a modern modular cloud architecture organized into four primary functional layers:</w:t>
      </w:r>
    </w:p>
    <w:p>
      <w:pPr>
        <w:pStyle w:val="ListBullet"/>
        <w:spacing w:before="40" w:after="80" w:line="276" w:lineRule="auto"/>
      </w:pPr>
      <w:r>
        <w:rPr>
          <w:rFonts w:ascii="Times New Roman" w:hAnsi="Times New Roman"/>
          <w:b/>
          <w:sz w:val="24"/>
        </w:rPr>
        <w:t xml:space="preserve">Client Presentation Layer: </w:t>
      </w:r>
      <w:r>
        <w:rPr>
          <w:rFonts w:ascii="Times New Roman" w:hAnsi="Times New Roman"/>
          <w:sz w:val="24"/>
        </w:rPr>
        <w:t>Implemented in Next.js 14, React 18, and Tailwind CSS. Provides separate, secure interfaces for students (assignment submission portal, interactive viva voice examination chamber, feedback dashboard) and faculty (assignment orchestrator, class-wide authenticity monitor, and individual evidence dossier audit view).</w:t>
      </w:r>
    </w:p>
    <w:p>
      <w:pPr>
        <w:pStyle w:val="ListBullet"/>
        <w:spacing w:before="40" w:after="80" w:line="276" w:lineRule="auto"/>
      </w:pPr>
      <w:r>
        <w:rPr>
          <w:rFonts w:ascii="Times New Roman" w:hAnsi="Times New Roman"/>
          <w:b/>
          <w:sz w:val="24"/>
        </w:rPr>
        <w:t xml:space="preserve">Audio &amp; Speech Processing Pipeline: </w:t>
      </w:r>
      <w:r>
        <w:rPr>
          <w:rFonts w:ascii="Times New Roman" w:hAnsi="Times New Roman"/>
          <w:sz w:val="24"/>
        </w:rPr>
        <w:t>Leverages the Web Audio API for continuous microphone capture, visual audio waveform rendering, and silence detection. Client audio is transcribed via OpenAI Whisper STT / Web Speech recognition, while examiner prompts are vocalized using neural text-to-speech engines.</w:t>
      </w:r>
    </w:p>
    <w:p>
      <w:pPr>
        <w:pStyle w:val="ListBullet"/>
        <w:spacing w:before="40" w:after="80" w:line="276" w:lineRule="auto"/>
      </w:pPr>
      <w:r>
        <w:rPr>
          <w:rFonts w:ascii="Times New Roman" w:hAnsi="Times New Roman"/>
          <w:b/>
          <w:sz w:val="24"/>
        </w:rPr>
        <w:t xml:space="preserve">Intelligence &amp; Orchestration Layer: </w:t>
      </w:r>
      <w:r>
        <w:rPr>
          <w:rFonts w:ascii="Times New Roman" w:hAnsi="Times New Roman"/>
          <w:sz w:val="24"/>
        </w:rPr>
        <w:t>Houses the Knowledge Map Extractor, the Grounded Question Generator, the Adaptive Viva State Engine, and the Cognitive Rubric Evaluator. These services interact to parse manuscripts, structure question trees, guide live dialogue, and evaluate candidate comprehension.</w:t>
      </w:r>
    </w:p>
    <w:p>
      <w:pPr>
        <w:pStyle w:val="ListBullet"/>
        <w:spacing w:before="40" w:after="80" w:line="276" w:lineRule="auto"/>
      </w:pPr>
      <w:r>
        <w:rPr>
          <w:rFonts w:ascii="Times New Roman" w:hAnsi="Times New Roman"/>
          <w:b/>
          <w:sz w:val="24"/>
        </w:rPr>
        <w:t xml:space="preserve">Persistence &amp; Verification Layer: </w:t>
      </w:r>
      <w:r>
        <w:rPr>
          <w:rFonts w:ascii="Times New Roman" w:hAnsi="Times New Roman"/>
          <w:sz w:val="24"/>
        </w:rPr>
        <w:t>Manages relational schemas for users, assignments, submissions, knowledge map graphs, audio transcripts, and final cognitive evaluation scores.</w:t>
      </w:r>
    </w:p>
    <w:p>
      <w:pPr>
        <w:spacing w:before="200" w:after="80" w:line="276" w:lineRule="auto"/>
        <w:jc w:val="left"/>
      </w:pPr>
      <w:r>
        <w:rPr>
          <w:rFonts w:ascii="Times New Roman" w:hAnsi="Times New Roman"/>
          <w:b/>
          <w:i w:val="0"/>
          <w:color w:val="000000"/>
          <w:sz w:val="24"/>
        </w:rPr>
        <w:t>Figure 3.1: Data Flow Architecture (DFD Level 0 &amp; Level 1)</w:t>
      </w:r>
    </w:p>
    <w:p>
      <w:pPr>
        <w:spacing w:before="80" w:after="160"/>
      </w:pPr>
      <w:r>
        <w:rPr>
          <w:rFonts w:ascii="Courier New" w:hAnsi="Courier New"/>
          <w:sz w:val="16"/>
        </w:rPr>
        <w:t>+-------------------+        Submits Manuscript (PDF/DOCX)        +--------------------------------+</w:t>
        <w:br/>
        <w:t>|      STUDENT      | =========================================&gt; |                                |</w:t>
        <w:br/>
        <w:t>|                   | &lt;----------------------------------------- |  VivaGuard Platform            |</w:t>
        <w:br/>
        <w:t>|                   |        Adaptive Voice Prompts (TTS)        |  (Document Parsing &amp;           |</w:t>
        <w:br/>
        <w:t>|                   | =========================================&gt; |   Knowledge Map Extractor)     |</w:t>
        <w:br/>
        <w:t>|                   |        Student Voice Audio Stream (STT)    |                                |</w:t>
        <w:br/>
        <w:t>+-------------------+                                            +--------------------------------+</w:t>
        <w:br/>
        <w:t xml:space="preserve">                                                                                 ||</w:t>
        <w:br/>
        <w:t xml:space="preserve">                                                                      Synthesizes Structured Pool</w:t>
        <w:br/>
        <w:t xml:space="preserve">                                                                      (8 Grounded Question Categories)</w:t>
        <w:br/>
        <w:t xml:space="preserve">                                                                                 \/</w:t>
        <w:br/>
        <w:t>+-------------------+        Evidence Dossier &amp; Transcripts      +--------------------------------+</w:t>
        <w:br/>
        <w:t>|     PROFESSOR     | &lt;========================================= |  Adaptive Viva Engine &amp;        |</w:t>
        <w:br/>
        <w:t>|                   | -----------------------------------------&gt; |  Multi-Dimensional Evaluator   |</w:t>
        <w:br/>
        <w:t>|                   |        Manual Score Overrides &amp; Approval   |  (6 Cognitive Dimensions)      |</w:t>
        <w:br/>
        <w:t>+-------------------+                                            +--------------------------------+</w:t>
      </w:r>
    </w:p>
    <w:p>
      <w:pPr>
        <w:spacing w:before="200" w:after="120" w:line="276" w:lineRule="auto"/>
        <w:jc w:val="left"/>
      </w:pPr>
      <w:r>
        <w:rPr>
          <w:rFonts w:ascii="Times New Roman" w:hAnsi="Times New Roman"/>
          <w:b/>
          <w:i w:val="0"/>
          <w:color w:val="000000"/>
          <w:sz w:val="28"/>
        </w:rPr>
        <w:t>3.2 System Requirements &amp; Specification</w:t>
      </w:r>
    </w:p>
    <w:p>
      <w:pPr>
        <w:spacing w:before="120" w:after="80" w:line="276" w:lineRule="auto"/>
        <w:jc w:val="left"/>
      </w:pPr>
      <w:r>
        <w:rPr>
          <w:rFonts w:ascii="Times New Roman" w:hAnsi="Times New Roman"/>
          <w:b/>
          <w:i w:val="0"/>
          <w:color w:val="000000"/>
          <w:sz w:val="24"/>
        </w:rPr>
        <w:t>a. Software requirements</w:t>
      </w:r>
    </w:p>
    <w:p>
      <w:pPr>
        <w:pStyle w:val="ListBullet"/>
        <w:spacing w:before="40" w:after="80" w:line="276" w:lineRule="auto"/>
      </w:pPr>
      <w:r>
        <w:rPr>
          <w:rFonts w:ascii="Times New Roman" w:hAnsi="Times New Roman"/>
          <w:b/>
          <w:sz w:val="24"/>
        </w:rPr>
        <w:t xml:space="preserve">Operating System: </w:t>
      </w:r>
      <w:r>
        <w:rPr>
          <w:rFonts w:ascii="Times New Roman" w:hAnsi="Times New Roman"/>
          <w:sz w:val="24"/>
        </w:rPr>
        <w:t>Cross-platform compatible (macOS Sonoma+, Windows 11, Ubuntu 22.04 LTS).</w:t>
      </w:r>
    </w:p>
    <w:p>
      <w:pPr>
        <w:pStyle w:val="ListBullet"/>
        <w:spacing w:before="40" w:after="80" w:line="276" w:lineRule="auto"/>
      </w:pPr>
      <w:r>
        <w:rPr>
          <w:rFonts w:ascii="Times New Roman" w:hAnsi="Times New Roman"/>
          <w:b/>
          <w:sz w:val="24"/>
        </w:rPr>
        <w:t xml:space="preserve">Web Development Framework: </w:t>
      </w:r>
      <w:r>
        <w:rPr>
          <w:rFonts w:ascii="Times New Roman" w:hAnsi="Times New Roman"/>
          <w:sz w:val="24"/>
        </w:rPr>
        <w:t>Next.js 14.2.24 (App Router), React 18.3.1, TypeScript 5.x.</w:t>
      </w:r>
    </w:p>
    <w:p>
      <w:pPr>
        <w:pStyle w:val="ListBullet"/>
        <w:spacing w:before="40" w:after="80" w:line="276" w:lineRule="auto"/>
      </w:pPr>
      <w:r>
        <w:rPr>
          <w:rFonts w:ascii="Times New Roman" w:hAnsi="Times New Roman"/>
          <w:b/>
          <w:sz w:val="24"/>
        </w:rPr>
        <w:t xml:space="preserve">Styling &amp; Animation: </w:t>
      </w:r>
      <w:r>
        <w:rPr>
          <w:rFonts w:ascii="Times New Roman" w:hAnsi="Times New Roman"/>
          <w:sz w:val="24"/>
        </w:rPr>
        <w:t>Tailwind CSS 3.4.17, Framer Motion 11.18.2, Lucide React Icons.</w:t>
      </w:r>
    </w:p>
    <w:p>
      <w:pPr>
        <w:pStyle w:val="ListBullet"/>
        <w:spacing w:before="40" w:after="80" w:line="276" w:lineRule="auto"/>
      </w:pPr>
      <w:r>
        <w:rPr>
          <w:rFonts w:ascii="Times New Roman" w:hAnsi="Times New Roman"/>
          <w:b/>
          <w:sz w:val="24"/>
        </w:rPr>
        <w:t xml:space="preserve">Speech Processing: </w:t>
      </w:r>
      <w:r>
        <w:rPr>
          <w:rFonts w:ascii="Times New Roman" w:hAnsi="Times New Roman"/>
          <w:sz w:val="24"/>
        </w:rPr>
        <w:t>Web Audio API, Web Speech Recognition API, OpenAI Whisper STT, Neural Edge TTS.</w:t>
      </w:r>
    </w:p>
    <w:p>
      <w:pPr>
        <w:pStyle w:val="ListBullet"/>
        <w:spacing w:before="40" w:after="80" w:line="276" w:lineRule="auto"/>
      </w:pPr>
      <w:r>
        <w:rPr>
          <w:rFonts w:ascii="Times New Roman" w:hAnsi="Times New Roman"/>
          <w:b/>
          <w:sz w:val="24"/>
        </w:rPr>
        <w:t xml:space="preserve">Report &amp; Document Engine: </w:t>
      </w:r>
      <w:r>
        <w:rPr>
          <w:rFonts w:ascii="Times New Roman" w:hAnsi="Times New Roman"/>
          <w:sz w:val="24"/>
        </w:rPr>
        <w:t>Python 3.12, ReportLab 4.x, python-docx 1.2.0, PyPDF 5.x.</w:t>
      </w:r>
    </w:p>
    <w:p>
      <w:pPr>
        <w:pStyle w:val="ListBullet"/>
        <w:spacing w:before="40" w:after="80" w:line="276" w:lineRule="auto"/>
      </w:pPr>
      <w:r>
        <w:rPr>
          <w:rFonts w:ascii="Times New Roman" w:hAnsi="Times New Roman"/>
          <w:b/>
          <w:sz w:val="24"/>
        </w:rPr>
        <w:t xml:space="preserve">Execution Environment: </w:t>
      </w:r>
      <w:r>
        <w:rPr>
          <w:rFonts w:ascii="Times New Roman" w:hAnsi="Times New Roman"/>
          <w:sz w:val="24"/>
        </w:rPr>
        <w:t>Node.js v18.17+ and Python 3.10+ virtual environments.</w:t>
      </w:r>
    </w:p>
    <w:p>
      <w:pPr>
        <w:spacing w:before="120" w:after="80" w:line="276" w:lineRule="auto"/>
        <w:jc w:val="left"/>
      </w:pPr>
      <w:r>
        <w:rPr>
          <w:rFonts w:ascii="Times New Roman" w:hAnsi="Times New Roman"/>
          <w:b/>
          <w:i w:val="0"/>
          <w:color w:val="000000"/>
          <w:sz w:val="24"/>
        </w:rPr>
        <w:t>b. Hardware requirements</w:t>
      </w:r>
    </w:p>
    <w:p>
      <w:pPr>
        <w:pStyle w:val="ListBullet"/>
        <w:spacing w:before="40" w:after="80" w:line="276" w:lineRule="auto"/>
      </w:pPr>
      <w:r>
        <w:rPr>
          <w:rFonts w:ascii="Times New Roman" w:hAnsi="Times New Roman"/>
          <w:b/>
          <w:sz w:val="24"/>
        </w:rPr>
        <w:t xml:space="preserve">Client Workstation: </w:t>
      </w:r>
      <w:r>
        <w:rPr>
          <w:rFonts w:ascii="Times New Roman" w:hAnsi="Times New Roman"/>
          <w:sz w:val="24"/>
        </w:rPr>
        <w:t>Any desktop, laptop, or tablet device equipped with standard audio I/O.</w:t>
      </w:r>
    </w:p>
    <w:p>
      <w:pPr>
        <w:pStyle w:val="ListBullet"/>
        <w:spacing w:before="40" w:after="80" w:line="276" w:lineRule="auto"/>
      </w:pPr>
      <w:r>
        <w:rPr>
          <w:rFonts w:ascii="Times New Roman" w:hAnsi="Times New Roman"/>
          <w:b/>
          <w:sz w:val="24"/>
        </w:rPr>
        <w:t xml:space="preserve">Processor: </w:t>
      </w:r>
      <w:r>
        <w:rPr>
          <w:rFonts w:ascii="Times New Roman" w:hAnsi="Times New Roman"/>
          <w:sz w:val="24"/>
        </w:rPr>
        <w:t>Dual-Core 2.0 GHz CPU or higher (Apple Silicon M-Series or Intel Core i5/i7/AMD Ryzen).</w:t>
      </w:r>
    </w:p>
    <w:p>
      <w:pPr>
        <w:pStyle w:val="ListBullet"/>
        <w:spacing w:before="40" w:after="80" w:line="276" w:lineRule="auto"/>
      </w:pPr>
      <w:r>
        <w:rPr>
          <w:rFonts w:ascii="Times New Roman" w:hAnsi="Times New Roman"/>
          <w:b/>
          <w:sz w:val="24"/>
        </w:rPr>
        <w:t xml:space="preserve">Memory (RAM): </w:t>
      </w:r>
      <w:r>
        <w:rPr>
          <w:rFonts w:ascii="Times New Roman" w:hAnsi="Times New Roman"/>
          <w:sz w:val="24"/>
        </w:rPr>
        <w:t>Minimum 4 GB RAM (8 GB RAM recommended for local model execution).</w:t>
      </w:r>
    </w:p>
    <w:p>
      <w:pPr>
        <w:pStyle w:val="ListBullet"/>
        <w:spacing w:before="40" w:after="80" w:line="276" w:lineRule="auto"/>
      </w:pPr>
      <w:r>
        <w:rPr>
          <w:rFonts w:ascii="Times New Roman" w:hAnsi="Times New Roman"/>
          <w:b/>
          <w:sz w:val="24"/>
        </w:rPr>
        <w:t xml:space="preserve">Audio Peripherals: </w:t>
      </w:r>
      <w:r>
        <w:rPr>
          <w:rFonts w:ascii="Times New Roman" w:hAnsi="Times New Roman"/>
          <w:sz w:val="24"/>
        </w:rPr>
        <w:t>Integrated or USB omnidirectional microphone and stereo speakers/headphones.</w:t>
      </w:r>
    </w:p>
    <w:p>
      <w:pPr>
        <w:pStyle w:val="ListBullet"/>
        <w:spacing w:before="40" w:after="80" w:line="276" w:lineRule="auto"/>
      </w:pPr>
      <w:r>
        <w:rPr>
          <w:rFonts w:ascii="Times New Roman" w:hAnsi="Times New Roman"/>
          <w:b/>
          <w:sz w:val="24"/>
        </w:rPr>
        <w:t xml:space="preserve">Network Connectivity: </w:t>
      </w:r>
      <w:r>
        <w:rPr>
          <w:rFonts w:ascii="Times New Roman" w:hAnsi="Times New Roman"/>
          <w:sz w:val="24"/>
        </w:rPr>
        <w:t>Stable broadband connection with minimum 5 Mbps upload/download throughput.</w:t>
      </w:r>
    </w:p>
    <w:p>
      <w:pPr>
        <w:spacing w:before="120" w:after="80" w:line="276" w:lineRule="auto"/>
        <w:jc w:val="left"/>
      </w:pPr>
      <w:r>
        <w:rPr>
          <w:rFonts w:ascii="Times New Roman" w:hAnsi="Times New Roman"/>
          <w:b/>
          <w:i w:val="0"/>
          <w:color w:val="000000"/>
          <w:sz w:val="24"/>
        </w:rPr>
        <w:t>c. Data requirements (Inputs and Expected Outputs)</w:t>
      </w:r>
    </w:p>
    <w:p>
      <w:pPr>
        <w:pStyle w:val="ListBullet"/>
        <w:spacing w:before="40" w:after="80" w:line="276" w:lineRule="auto"/>
      </w:pPr>
      <w:r>
        <w:rPr>
          <w:rFonts w:ascii="Times New Roman" w:hAnsi="Times New Roman"/>
          <w:b/>
          <w:sz w:val="24"/>
        </w:rPr>
        <w:t xml:space="preserve">Input Data: </w:t>
      </w:r>
      <w:r>
        <w:rPr>
          <w:rFonts w:ascii="Times New Roman" w:hAnsi="Times New Roman"/>
          <w:sz w:val="24"/>
        </w:rPr>
        <w:t>Student manuscript files in Portable Document Format (.pdf), Microsoft Word (.docx), or Plain Text (.txt); assignment parameters (course identifier, viva duration limit, rubric weights, difficulty threshold); live candidate audio streams.</w:t>
      </w:r>
    </w:p>
    <w:p>
      <w:pPr>
        <w:pStyle w:val="ListBullet"/>
        <w:spacing w:before="40" w:after="80" w:line="276" w:lineRule="auto"/>
      </w:pPr>
      <w:r>
        <w:rPr>
          <w:rFonts w:ascii="Times New Roman" w:hAnsi="Times New Roman"/>
          <w:b/>
          <w:sz w:val="24"/>
        </w:rPr>
        <w:t xml:space="preserve">Output Data: </w:t>
      </w:r>
      <w:r>
        <w:rPr>
          <w:rFonts w:ascii="Times New Roman" w:hAnsi="Times New Roman"/>
          <w:sz w:val="24"/>
        </w:rPr>
        <w:t>Structured Submission Knowledge Map (claims, methodology nodes, citation graph); synthesized examiner voice prompts; time-indexed verbal transcripts; six-dimensional cognitive scores (0-100 scale); comprehensive evidence dossier with page/paragraph citations.</w:t>
      </w:r>
    </w:p>
    <w:p>
      <w:pPr>
        <w:spacing w:before="120" w:after="80" w:line="276" w:lineRule="auto"/>
        <w:jc w:val="left"/>
      </w:pPr>
      <w:r>
        <w:rPr>
          <w:rFonts w:ascii="Times New Roman" w:hAnsi="Times New Roman"/>
          <w:b/>
          <w:i w:val="0"/>
          <w:color w:val="000000"/>
          <w:sz w:val="24"/>
        </w:rPr>
        <w:t>d. Description of Modules</w:t>
      </w:r>
    </w:p>
    <w:p>
      <w:pPr>
        <w:pStyle w:val="ListBullet"/>
        <w:spacing w:before="40" w:after="80" w:line="276" w:lineRule="auto"/>
      </w:pPr>
      <w:r>
        <w:rPr>
          <w:rFonts w:ascii="Times New Roman" w:hAnsi="Times New Roman"/>
          <w:b/>
          <w:sz w:val="24"/>
        </w:rPr>
        <w:t xml:space="preserve">1. Document Parsing &amp; Knowledge Map Extractor: </w:t>
      </w:r>
      <w:r>
        <w:rPr>
          <w:rFonts w:ascii="Times New Roman" w:hAnsi="Times New Roman"/>
          <w:sz w:val="24"/>
        </w:rPr>
        <w:t>Ingests student submissions and extracts clean structural representations. It segments text into sections, extracts empirical claims, identifies core methodology tools, catalogs cited references, and links each entity to its exact page number and paragraph offset.</w:t>
      </w:r>
    </w:p>
    <w:p>
      <w:pPr>
        <w:pStyle w:val="ListBullet"/>
        <w:spacing w:before="40" w:after="80" w:line="276" w:lineRule="auto"/>
      </w:pPr>
      <w:r>
        <w:rPr>
          <w:rFonts w:ascii="Times New Roman" w:hAnsi="Times New Roman"/>
          <w:b/>
          <w:sz w:val="24"/>
        </w:rPr>
        <w:t xml:space="preserve">2. Document-Grounded Question Generation Engine: </w:t>
      </w:r>
      <w:r>
        <w:rPr>
          <w:rFonts w:ascii="Times New Roman" w:hAnsi="Times New Roman"/>
          <w:sz w:val="24"/>
        </w:rPr>
        <w:t>Synthesizes candidate questions across 8 defined typologies: Understanding (core thesis), Methodology (technical choices), Defense (trade-offs and limitations), Application (real-world scenarios), Critical Thinking (novel implications), Citation Check (verifying cited literature), Deep Dive (probing algorithmic specifics), and Contradiction (addressing incongruous statements).</w:t>
      </w:r>
    </w:p>
    <w:p>
      <w:pPr>
        <w:pStyle w:val="ListBullet"/>
        <w:spacing w:before="40" w:after="80" w:line="276" w:lineRule="auto"/>
      </w:pPr>
      <w:r>
        <w:rPr>
          <w:rFonts w:ascii="Times New Roman" w:hAnsi="Times New Roman"/>
          <w:b/>
          <w:sz w:val="24"/>
        </w:rPr>
        <w:t xml:space="preserve">3. Adaptive Examination State Engine: </w:t>
      </w:r>
      <w:r>
        <w:rPr>
          <w:rFonts w:ascii="Times New Roman" w:hAnsi="Times New Roman"/>
          <w:sz w:val="24"/>
        </w:rPr>
        <w:t>Regulates the live conversational flow. It maintains an examination state machine (Idle -&gt; Active Examination -&gt; Question Delivery -&gt; Student Response Capture -&gt; Dynamic Difficulty Adjustment -&gt; Follow-up Probing -&gt; Session Conclusion). It dynamically scales question difficulty from Level 1 to Level 5 based on response quality.</w:t>
      </w:r>
    </w:p>
    <w:p>
      <w:pPr>
        <w:pStyle w:val="ListBullet"/>
        <w:spacing w:before="40" w:after="80" w:line="276" w:lineRule="auto"/>
      </w:pPr>
      <w:r>
        <w:rPr>
          <w:rFonts w:ascii="Times New Roman" w:hAnsi="Times New Roman"/>
          <w:b/>
          <w:sz w:val="24"/>
        </w:rPr>
        <w:t xml:space="preserve">4. Audio Streaming &amp; Transcription Engine: </w:t>
      </w:r>
      <w:r>
        <w:rPr>
          <w:rFonts w:ascii="Times New Roman" w:hAnsi="Times New Roman"/>
          <w:sz w:val="24"/>
        </w:rPr>
        <w:t>Provides full-duplex conversational audio. It captures microphone input, detects conversational pauses using energy thresholds, routes speech data through STT models, and streams synthetic examiner voice audio back to the candidate with sub-second latency.</w:t>
      </w:r>
    </w:p>
    <w:p>
      <w:pPr>
        <w:pStyle w:val="ListBullet"/>
        <w:spacing w:before="40" w:after="80" w:line="276" w:lineRule="auto"/>
      </w:pPr>
      <w:r>
        <w:rPr>
          <w:rFonts w:ascii="Times New Roman" w:hAnsi="Times New Roman"/>
          <w:b/>
          <w:sz w:val="24"/>
        </w:rPr>
        <w:t xml:space="preserve">5. Multi-Dimensional Cognitive Scoring Engine: </w:t>
      </w:r>
      <w:r>
        <w:rPr>
          <w:rFonts w:ascii="Times New Roman" w:hAnsi="Times New Roman"/>
          <w:sz w:val="24"/>
        </w:rPr>
        <w:t>Analyzes student transcripts against document knowledge anchors. It evaluates performance across six pedagogical dimensions: Conceptual Understanding (30%), Methodology (20%), Reasoning (15%), Critical Thinking (15%), Submission Familiarity (15%), and Oral Communication (5%).</w:t>
      </w:r>
    </w:p>
    <w:p>
      <w:pPr>
        <w:pStyle w:val="ListBullet"/>
        <w:spacing w:before="40" w:after="80" w:line="276" w:lineRule="auto"/>
      </w:pPr>
      <w:r>
        <w:rPr>
          <w:rFonts w:ascii="Times New Roman" w:hAnsi="Times New Roman"/>
          <w:b/>
          <w:sz w:val="24"/>
        </w:rPr>
        <w:t xml:space="preserve">6. Professor Governance &amp; Evidence Audit Console: </w:t>
      </w:r>
      <w:r>
        <w:rPr>
          <w:rFonts w:ascii="Times New Roman" w:hAnsi="Times New Roman"/>
          <w:sz w:val="24"/>
        </w:rPr>
        <w:t>Enables educators to review cohort authenticity trends, inspect flagged discrepancies, listen to timestamped audio clips, cross-reference student claims with original submission pages, and approve or adjust grades.</w:t>
      </w:r>
    </w:p>
    <w:p>
      <w:pPr>
        <w:spacing w:before="120" w:after="80" w:line="276" w:lineRule="auto"/>
        <w:jc w:val="left"/>
      </w:pPr>
      <w:r>
        <w:rPr>
          <w:rFonts w:ascii="Times New Roman" w:hAnsi="Times New Roman"/>
          <w:b/>
          <w:i w:val="0"/>
          <w:color w:val="000000"/>
          <w:sz w:val="24"/>
        </w:rPr>
        <w:t>e. UML Diagrams</w:t>
      </w:r>
    </w:p>
    <w:p>
      <w:pPr>
        <w:spacing w:before="0" w:after="120" w:line="276" w:lineRule="auto"/>
        <w:jc w:val="left"/>
      </w:pPr>
      <w:r>
        <w:rPr>
          <w:rFonts w:ascii="Times New Roman" w:hAnsi="Times New Roman"/>
          <w:b w:val="0"/>
          <w:i w:val="0"/>
          <w:color w:val="000000"/>
          <w:sz w:val="24"/>
        </w:rPr>
        <w:t>The system's structural and behavioral characteristics are formally modeled using standard UML specifications:</w:t>
      </w:r>
    </w:p>
    <w:p>
      <w:pPr>
        <w:pStyle w:val="ListBullet"/>
        <w:spacing w:before="40" w:after="80" w:line="276" w:lineRule="auto"/>
      </w:pPr>
      <w:r>
        <w:rPr>
          <w:rFonts w:ascii="Times New Roman" w:hAnsi="Times New Roman"/>
          <w:b/>
          <w:sz w:val="24"/>
        </w:rPr>
        <w:t xml:space="preserve">Use Case Model: </w:t>
      </w:r>
      <w:r>
        <w:rPr>
          <w:rFonts w:ascii="Times New Roman" w:hAnsi="Times New Roman"/>
          <w:sz w:val="24"/>
        </w:rPr>
        <w:t>Primary actors include Student (uploads paper, participates in adaptive oral viva, reviews cognitive score report), Professor (configures assignments, monitors cohort vivas, conducts evidence audits, applies score overrides), and AI Examiner (generates grounded questions, delivers speech prompts, evaluates responses).</w:t>
      </w:r>
    </w:p>
    <w:p>
      <w:pPr>
        <w:pStyle w:val="ListBullet"/>
        <w:spacing w:before="40" w:after="80" w:line="276" w:lineRule="auto"/>
      </w:pPr>
      <w:r>
        <w:rPr>
          <w:rFonts w:ascii="Times New Roman" w:hAnsi="Times New Roman"/>
          <w:b/>
          <w:sz w:val="24"/>
        </w:rPr>
        <w:t xml:space="preserve">Domain Class Structure: </w:t>
      </w:r>
      <w:r>
        <w:rPr>
          <w:rFonts w:ascii="Times New Roman" w:hAnsi="Times New Roman"/>
          <w:sz w:val="24"/>
        </w:rPr>
        <w:t>Core entities include User, Assignment, Submission, KnowledgeMap, Question, VivaSession, VivaTurn, and ScoreEvaluation.</w:t>
      </w:r>
    </w:p>
    <w:p>
      <w:pPr>
        <w:pStyle w:val="ListBullet"/>
        <w:spacing w:before="40" w:after="80" w:line="276" w:lineRule="auto"/>
      </w:pPr>
      <w:r>
        <w:rPr>
          <w:rFonts w:ascii="Times New Roman" w:hAnsi="Times New Roman"/>
          <w:b/>
          <w:sz w:val="24"/>
        </w:rPr>
        <w:t xml:space="preserve">Sequence Workflow: </w:t>
      </w:r>
      <w:r>
        <w:rPr>
          <w:rFonts w:ascii="Times New Roman" w:hAnsi="Times New Roman"/>
          <w:sz w:val="24"/>
        </w:rPr>
        <w:t>Step-by-step turn-taking between Student client, Audio Engine, Knowledge Base, and Cognitive Evaluator.</w:t>
      </w:r>
    </w:p>
    <w:p>
      <w:pPr>
        <w:spacing w:before="80" w:after="160"/>
      </w:pPr>
      <w:r>
        <w:rPr>
          <w:rFonts w:ascii="Courier New" w:hAnsi="Courier New"/>
          <w:sz w:val="16"/>
        </w:rPr>
        <w:t xml:space="preserve"> Student (Client)           Viva Engine (Server)        Knowledge Base         Evaluator</w:t>
        <w:br/>
        <w:t xml:space="preserve">     |                              |                          |                   |</w:t>
        <w:br/>
        <w:t xml:space="preserve">     |--- 1. Connects &amp; Starts ----&gt;|                          |                   |</w:t>
        <w:br/>
        <w:t xml:space="preserve">     |                              |--- 2. Fetch Q1 Pool ----&gt;|                   |</w:t>
        <w:br/>
        <w:t xml:space="preserve">     |                              |&lt;-- 3. Grounded Q1 -------|                   |</w:t>
        <w:br/>
        <w:t xml:space="preserve">     |&lt;-- 4. Audio Prompt (TTS) ----|                          |                   |</w:t>
        <w:br/>
        <w:t xml:space="preserve">     |                              |                          |                   |</w:t>
        <w:br/>
        <w:t xml:space="preserve">     |=== 5. Speaks Response ======&gt;|                          |                   |</w:t>
        <w:br/>
        <w:t xml:space="preserve">     |    (Audio Stream)            |--- 6. Transcribe (STT) --+                   |</w:t>
        <w:br/>
        <w:t xml:space="preserve">     |                              |--- 7. Evaluate Answer ----------------------&gt;|</w:t>
        <w:br/>
        <w:t xml:space="preserve">     |                              |&lt;-- 8. Cognitive Scores &amp; Follow-up Trigger --|</w:t>
        <w:br/>
        <w:t xml:space="preserve">     |&lt;-- 9. Dynamic Follow-up -----|                          |                   |</w:t>
        <w:br/>
        <w:t xml:space="preserve">     |                              |                          |                   |</w:t>
      </w:r>
    </w:p>
    <w:p>
      <w:r>
        <w:br w:type="page"/>
      </w:r>
    </w:p>
    <w:p>
      <w:pPr>
        <w:spacing w:before="240" w:after="160" w:line="276" w:lineRule="auto"/>
        <w:jc w:val="left"/>
      </w:pPr>
      <w:r>
        <w:rPr>
          <w:rFonts w:ascii="Times New Roman" w:hAnsi="Times New Roman"/>
          <w:b/>
          <w:i w:val="0"/>
          <w:color w:val="000000"/>
          <w:sz w:val="28"/>
        </w:rPr>
        <w:t>4. Initial Implementation (Optional)</w:t>
      </w:r>
    </w:p>
    <w:p>
      <w:pPr>
        <w:spacing w:before="0" w:after="120" w:line="276" w:lineRule="auto"/>
        <w:jc w:val="left"/>
      </w:pPr>
      <w:r>
        <w:rPr>
          <w:rFonts w:ascii="Times New Roman" w:hAnsi="Times New Roman"/>
          <w:b w:val="0"/>
          <w:i w:val="0"/>
          <w:color w:val="000000"/>
          <w:sz w:val="24"/>
        </w:rPr>
        <w:t>A fully functional interactive prototype of the VivaGuard platform has been developed and verified. The software architecture is implemented using TypeScript, Next.js 14 App Router, and Tailwind CSS, featuring robust state management and real-time audio orchestration.</w:t>
      </w:r>
    </w:p>
    <w:p>
      <w:pPr>
        <w:spacing w:before="200" w:after="120" w:line="276" w:lineRule="auto"/>
        <w:jc w:val="left"/>
      </w:pPr>
      <w:r>
        <w:rPr>
          <w:rFonts w:ascii="Times New Roman" w:hAnsi="Times New Roman"/>
          <w:b/>
          <w:i w:val="0"/>
          <w:color w:val="000000"/>
          <w:sz w:val="28"/>
        </w:rPr>
        <w:t>4.1 Implemented Components and Modules</w:t>
      </w:r>
    </w:p>
    <w:p>
      <w:pPr>
        <w:pStyle w:val="ListBullet"/>
        <w:spacing w:before="40" w:after="80" w:line="276" w:lineRule="auto"/>
      </w:pPr>
      <w:r>
        <w:rPr>
          <w:rFonts w:ascii="Times New Roman" w:hAnsi="Times New Roman"/>
          <w:b/>
          <w:sz w:val="24"/>
        </w:rPr>
        <w:t xml:space="preserve">Live Interactive Viva Chamber (LiveVivaRoom.tsx): </w:t>
      </w:r>
      <w:r>
        <w:rPr>
          <w:rFonts w:ascii="Times New Roman" w:hAnsi="Times New Roman"/>
          <w:sz w:val="24"/>
        </w:rPr>
        <w:t>A production-grade student examination interface featuring real-time microphone audio capture, dynamic audio waveform visualizers, active speaker detection indicators, real-time question display, and live transcription feeds.</w:t>
      </w:r>
    </w:p>
    <w:p>
      <w:pPr>
        <w:pStyle w:val="ListBullet"/>
        <w:spacing w:before="40" w:after="80" w:line="276" w:lineRule="auto"/>
      </w:pPr>
      <w:r>
        <w:rPr>
          <w:rFonts w:ascii="Times New Roman" w:hAnsi="Times New Roman"/>
          <w:b/>
          <w:sz w:val="24"/>
        </w:rPr>
        <w:t xml:space="preserve">Knowledge Map Extraction Pipeline (knowledge-map-extractor.ts): </w:t>
      </w:r>
      <w:r>
        <w:rPr>
          <w:rFonts w:ascii="Times New Roman" w:hAnsi="Times New Roman"/>
          <w:sz w:val="24"/>
        </w:rPr>
        <w:t>Core parsing algorithms that extract key claims, methodological tools, and citations from submitted documents, attaching exact page and paragraph references to each extracted entity.</w:t>
      </w:r>
    </w:p>
    <w:p>
      <w:pPr>
        <w:pStyle w:val="ListBullet"/>
        <w:spacing w:before="40" w:after="80" w:line="276" w:lineRule="auto"/>
      </w:pPr>
      <w:r>
        <w:rPr>
          <w:rFonts w:ascii="Times New Roman" w:hAnsi="Times New Roman"/>
          <w:b/>
          <w:sz w:val="24"/>
        </w:rPr>
        <w:t xml:space="preserve">Adaptive Examination State Machine (viva-engine.ts): </w:t>
      </w:r>
      <w:r>
        <w:rPr>
          <w:rFonts w:ascii="Times New Roman" w:hAnsi="Times New Roman"/>
          <w:sz w:val="24"/>
        </w:rPr>
        <w:t>Manages examination progression across question categories, handles dynamic follow-up triggers when a candidate provides partial answers, and computes final multi-dimensional rubric scores.</w:t>
      </w:r>
    </w:p>
    <w:p>
      <w:pPr>
        <w:pStyle w:val="ListBullet"/>
        <w:spacing w:before="40" w:after="80" w:line="276" w:lineRule="auto"/>
      </w:pPr>
      <w:r>
        <w:rPr>
          <w:rFonts w:ascii="Times New Roman" w:hAnsi="Times New Roman"/>
          <w:b/>
          <w:sz w:val="24"/>
        </w:rPr>
        <w:t xml:space="preserve">Faculty Governance Dashboard (ProfessorDashboard.tsx &amp; SubmissionReportView.tsx): </w:t>
      </w:r>
      <w:r>
        <w:rPr>
          <w:rFonts w:ascii="Times New Roman" w:hAnsi="Times New Roman"/>
          <w:sz w:val="24"/>
        </w:rPr>
        <w:t>Enables professors to review cohort-wide viva completion, inspect candidate authenticity confidence indicators, listen to student audio recordings, and inspect side-by-side submission citations.</w:t>
      </w:r>
    </w:p>
    <w:p>
      <w:pPr>
        <w:pStyle w:val="ListBullet"/>
        <w:spacing w:before="40" w:after="80" w:line="276" w:lineRule="auto"/>
      </w:pPr>
      <w:r>
        <w:rPr>
          <w:rFonts w:ascii="Times New Roman" w:hAnsi="Times New Roman"/>
          <w:b/>
          <w:sz w:val="24"/>
        </w:rPr>
        <w:t xml:space="preserve">Comprehensive Candidate Feedback View (StudentResultsView.tsx): </w:t>
      </w:r>
      <w:r>
        <w:rPr>
          <w:rFonts w:ascii="Times New Roman" w:hAnsi="Times New Roman"/>
          <w:sz w:val="24"/>
        </w:rPr>
        <w:t>Provides students with transparent score breakdowns across the six cognitive evaluation dimensions, highlighting strengths and specific areas for conceptual improvement.</w:t>
      </w:r>
    </w:p>
    <w:p>
      <w:pPr>
        <w:spacing w:before="200" w:after="120" w:line="276" w:lineRule="auto"/>
        <w:jc w:val="left"/>
      </w:pPr>
      <w:r>
        <w:rPr>
          <w:rFonts w:ascii="Times New Roman" w:hAnsi="Times New Roman"/>
          <w:b/>
          <w:i w:val="0"/>
          <w:color w:val="000000"/>
          <w:sz w:val="28"/>
        </w:rPr>
        <w:t>4.2 Evaluation Rubric Configuration</w:t>
      </w:r>
    </w:p>
    <w:p>
      <w:pPr>
        <w:spacing w:before="0" w:after="120" w:line="276" w:lineRule="auto"/>
        <w:jc w:val="left"/>
      </w:pPr>
      <w:r>
        <w:rPr>
          <w:rFonts w:ascii="Times New Roman" w:hAnsi="Times New Roman"/>
          <w:b w:val="0"/>
          <w:i w:val="0"/>
          <w:color w:val="000000"/>
          <w:sz w:val="24"/>
        </w:rPr>
        <w:t>The implemented scoring engine evaluates candidate performance using the normalized rubric parameters specified in Table 4.1:</w:t>
      </w:r>
    </w:p>
    <w:p>
      <w:pPr>
        <w:spacing w:before="160" w:after="120" w:line="276" w:lineRule="auto"/>
        <w:jc w:val="left"/>
      </w:pPr>
      <w:r>
        <w:rPr>
          <w:rFonts w:ascii="Times New Roman" w:hAnsi="Times New Roman"/>
          <w:b/>
          <w:i w:val="0"/>
          <w:color w:val="000000"/>
          <w:sz w:val="24"/>
        </w:rPr>
        <w:t>Table 4.1: Six-Dimensional Cognitive Evaluation Rubric Weights</w:t>
      </w:r>
    </w:p>
    <w:tbl>
      <w:tblPr>
        <w:tblW w:type="auto" w:w="0"/>
        <w:jc w:val="center"/>
        <w:tblLook w:firstColumn="1" w:firstRow="1" w:lastColumn="0" w:lastRow="0" w:noHBand="0" w:noVBand="1" w:val="04A0"/>
      </w:tblPr>
      <w:tblGrid>
        <w:gridCol w:w="3120"/>
        <w:gridCol w:w="3120"/>
        <w:gridCol w:w="3120"/>
      </w:tblGrid>
      <w:tr>
        <w:tc>
          <w:tcPr>
            <w:tcW w:type="dxa" w:w="2880"/>
            <w:tcBorders>
              <w:top w:sz="4" w:val="single" w:color="000000"/>
              <w:left w:sz="4" w:val="single" w:color="000000"/>
              <w:bottom w:sz="4" w:val="single" w:color="000000"/>
              <w:right w:sz="4" w:val="single" w:color="000000"/>
            </w:tcBorders>
            <w:shd w:fill="002D62"/>
          </w:tcPr>
          <w:p>
            <w:pPr>
              <w:spacing w:before="60" w:after="60"/>
            </w:pPr>
            <w:r>
              <w:rPr>
                <w:rFonts w:ascii="Times New Roman" w:hAnsi="Times New Roman"/>
                <w:b/>
                <w:color w:val="FFFFFF"/>
                <w:sz w:val="19"/>
              </w:rPr>
              <w:t>Cognitive Dimension</w:t>
            </w:r>
          </w:p>
        </w:tc>
        <w:tc>
          <w:tcPr>
            <w:tcW w:type="dxa" w:w="1440"/>
            <w:tcBorders>
              <w:top w:sz="4" w:val="single" w:color="000000"/>
              <w:left w:sz="4" w:val="single" w:color="000000"/>
              <w:bottom w:sz="4" w:val="single" w:color="000000"/>
              <w:right w:sz="4" w:val="single" w:color="000000"/>
            </w:tcBorders>
            <w:shd w:fill="002D62"/>
          </w:tcPr>
          <w:p>
            <w:pPr>
              <w:spacing w:before="60" w:after="60"/>
            </w:pPr>
            <w:r>
              <w:rPr>
                <w:rFonts w:ascii="Times New Roman" w:hAnsi="Times New Roman"/>
                <w:b/>
                <w:color w:val="FFFFFF"/>
                <w:sz w:val="19"/>
              </w:rPr>
              <w:t>Weight</w:t>
            </w:r>
          </w:p>
        </w:tc>
        <w:tc>
          <w:tcPr>
            <w:tcW w:type="dxa" w:w="5040"/>
            <w:tcBorders>
              <w:top w:sz="4" w:val="single" w:color="000000"/>
              <w:left w:sz="4" w:val="single" w:color="000000"/>
              <w:bottom w:sz="4" w:val="single" w:color="000000"/>
              <w:right w:sz="4" w:val="single" w:color="000000"/>
            </w:tcBorders>
            <w:shd w:fill="002D62"/>
          </w:tcPr>
          <w:p>
            <w:pPr>
              <w:spacing w:before="60" w:after="60"/>
            </w:pPr>
            <w:r>
              <w:rPr>
                <w:rFonts w:ascii="Times New Roman" w:hAnsi="Times New Roman"/>
                <w:b/>
                <w:color w:val="FFFFFF"/>
                <w:sz w:val="19"/>
              </w:rPr>
              <w:t>Target Assessment Criteria</w:t>
            </w:r>
          </w:p>
        </w:tc>
      </w:tr>
      <w:tr>
        <w:tc>
          <w:tcPr>
            <w:tcW w:type="dxa" w:w="288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Conceptual Understanding</w:t>
            </w:r>
          </w:p>
        </w:tc>
        <w:tc>
          <w:tcPr>
            <w:tcW w:type="dxa" w:w="144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30%</w:t>
            </w:r>
          </w:p>
        </w:tc>
        <w:tc>
          <w:tcPr>
            <w:tcW w:type="dxa" w:w="5040"/>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Comprehension of fundamental theory, definitions, and problem space.</w:t>
            </w:r>
          </w:p>
        </w:tc>
      </w:tr>
      <w:tr>
        <w:tc>
          <w:tcPr>
            <w:tcW w:type="dxa" w:w="288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Methodology Defense</w:t>
            </w:r>
          </w:p>
        </w:tc>
        <w:tc>
          <w:tcPr>
            <w:tcW w:type="dxa" w:w="144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20%</w:t>
            </w:r>
          </w:p>
        </w:tc>
        <w:tc>
          <w:tcPr>
            <w:tcW w:type="dxa" w:w="5040"/>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Ability to justify algorithmic, architectural, and data choices over alternatives.</w:t>
            </w:r>
          </w:p>
        </w:tc>
      </w:tr>
      <w:tr>
        <w:tc>
          <w:tcPr>
            <w:tcW w:type="dxa" w:w="288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Analytical Reasoning</w:t>
            </w:r>
          </w:p>
        </w:tc>
        <w:tc>
          <w:tcPr>
            <w:tcW w:type="dxa" w:w="144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15%</w:t>
            </w:r>
          </w:p>
        </w:tc>
        <w:tc>
          <w:tcPr>
            <w:tcW w:type="dxa" w:w="5040"/>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Logical clarity in explaining causal relationships and experimental trade-offs.</w:t>
            </w:r>
          </w:p>
        </w:tc>
      </w:tr>
      <w:tr>
        <w:tc>
          <w:tcPr>
            <w:tcW w:type="dxa" w:w="288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Critical Thinking</w:t>
            </w:r>
          </w:p>
        </w:tc>
        <w:tc>
          <w:tcPr>
            <w:tcW w:type="dxa" w:w="144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15%</w:t>
            </w:r>
          </w:p>
        </w:tc>
        <w:tc>
          <w:tcPr>
            <w:tcW w:type="dxa" w:w="5040"/>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Awareness of submission limitations, edge cases, and future research vectors.</w:t>
            </w:r>
          </w:p>
        </w:tc>
      </w:tr>
      <w:tr>
        <w:tc>
          <w:tcPr>
            <w:tcW w:type="dxa" w:w="288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Submission Familiarity</w:t>
            </w:r>
          </w:p>
        </w:tc>
        <w:tc>
          <w:tcPr>
            <w:tcW w:type="dxa" w:w="144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15%</w:t>
            </w:r>
          </w:p>
        </w:tc>
        <w:tc>
          <w:tcPr>
            <w:tcW w:type="dxa" w:w="5040"/>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Detailed recall and knowledge of exact sections, citations, and formulas in the paper.</w:t>
            </w:r>
          </w:p>
        </w:tc>
      </w:tr>
      <w:tr>
        <w:tc>
          <w:tcPr>
            <w:tcW w:type="dxa" w:w="288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Oral Communication</w:t>
            </w:r>
          </w:p>
        </w:tc>
        <w:tc>
          <w:tcPr>
            <w:tcW w:type="dxa" w:w="1440"/>
            <w:tcBorders>
              <w:top w:sz="4" w:val="single" w:color="000000"/>
              <w:left w:sz="4" w:val="single" w:color="000000"/>
              <w:bottom w:sz="4" w:val="single" w:color="000000"/>
              <w:right w:sz="4" w:val="single" w:color="000000"/>
            </w:tcBorders>
          </w:tcPr>
          <w:p>
            <w:pPr>
              <w:spacing w:before="60" w:after="60"/>
            </w:pPr>
            <w:r>
              <w:rPr>
                <w:rFonts w:ascii="Times New Roman" w:hAnsi="Times New Roman"/>
                <w:b/>
                <w:sz w:val="19"/>
              </w:rPr>
              <w:t>5%</w:t>
            </w:r>
          </w:p>
        </w:tc>
        <w:tc>
          <w:tcPr>
            <w:tcW w:type="dxa" w:w="5040"/>
            <w:tcBorders>
              <w:top w:sz="4" w:val="single" w:color="000000"/>
              <w:left w:sz="4" w:val="single" w:color="000000"/>
              <w:bottom w:sz="4" w:val="single" w:color="000000"/>
              <w:right w:sz="4" w:val="single" w:color="000000"/>
            </w:tcBorders>
          </w:tcPr>
          <w:p>
            <w:pPr>
              <w:spacing w:before="60" w:after="60"/>
            </w:pPr>
            <w:r>
              <w:rPr>
                <w:rFonts w:ascii="Times New Roman" w:hAnsi="Times New Roman"/>
                <w:sz w:val="19"/>
              </w:rPr>
              <w:t>Clarity, conciseness, and precision of verbal technical terminology.</w:t>
            </w:r>
          </w:p>
        </w:tc>
      </w:tr>
    </w:tbl>
    <w:p>
      <w:r>
        <w:br w:type="page"/>
      </w:r>
    </w:p>
    <w:p>
      <w:pPr>
        <w:spacing w:before="240" w:after="160" w:line="276" w:lineRule="auto"/>
        <w:jc w:val="left"/>
      </w:pPr>
      <w:r>
        <w:rPr>
          <w:rFonts w:ascii="Times New Roman" w:hAnsi="Times New Roman"/>
          <w:b/>
          <w:i w:val="0"/>
          <w:color w:val="000000"/>
          <w:sz w:val="28"/>
        </w:rPr>
        <w:t>5. References</w:t>
      </w:r>
    </w:p>
    <w:p>
      <w:pPr>
        <w:pStyle w:val="ListBullet"/>
        <w:spacing w:before="40" w:after="80" w:line="276" w:lineRule="auto"/>
      </w:pPr>
      <w:r>
        <w:rPr>
          <w:rFonts w:ascii="Times New Roman" w:hAnsi="Times New Roman"/>
          <w:sz w:val="24"/>
        </w:rPr>
        <w:t>Anderson, L. W., &amp; Krathwohl, D. R. (2001). A Taxonomy for Learning, Teaching, and Assessing: A Revision of Bloom's Taxonomy of Educational Objectives. New York: Longman.</w:t>
      </w:r>
    </w:p>
    <w:p>
      <w:pPr>
        <w:pStyle w:val="ListBullet"/>
        <w:spacing w:before="40" w:after="80" w:line="276" w:lineRule="auto"/>
      </w:pPr>
      <w:r>
        <w:rPr>
          <w:rFonts w:ascii="Times New Roman" w:hAnsi="Times New Roman"/>
          <w:sz w:val="24"/>
        </w:rPr>
        <w:t>Bloom, B. S., Engelhart, M. D., Furst, E. J., Hill, W. H., &amp; Krathwohl, D. R. (1956). Taxonomy of Educational Objectives: The Classification of Educational Goals. Handbook I: Cognitive Domain. New York: David McKay Company.</w:t>
      </w:r>
    </w:p>
    <w:p>
      <w:pPr>
        <w:pStyle w:val="ListBullet"/>
        <w:spacing w:before="40" w:after="80" w:line="276" w:lineRule="auto"/>
      </w:pPr>
      <w:r>
        <w:rPr>
          <w:rFonts w:ascii="Times New Roman" w:hAnsi="Times New Roman"/>
          <w:sz w:val="24"/>
        </w:rPr>
        <w:t>Brown, S., &amp; Knight, P. (1994). Assessing Learners in Higher Education. London: Kogan Page.</w:t>
      </w:r>
    </w:p>
    <w:p>
      <w:pPr>
        <w:pStyle w:val="ListBullet"/>
        <w:spacing w:before="40" w:after="80" w:line="276" w:lineRule="auto"/>
      </w:pPr>
      <w:r>
        <w:rPr>
          <w:rFonts w:ascii="Times New Roman" w:hAnsi="Times New Roman"/>
          <w:sz w:val="24"/>
        </w:rPr>
        <w:t>Dawson, P., &amp; Sutherland-Smith, W. (2018). Can markers detect contract cheating? Results from a software following empirical study. Assessment &amp; Evaluation in Higher Education, 43(6), 920-930.</w:t>
      </w:r>
    </w:p>
    <w:p>
      <w:pPr>
        <w:pStyle w:val="ListBullet"/>
        <w:spacing w:before="40" w:after="80" w:line="276" w:lineRule="auto"/>
      </w:pPr>
      <w:r>
        <w:rPr>
          <w:rFonts w:ascii="Times New Roman" w:hAnsi="Times New Roman"/>
          <w:sz w:val="24"/>
        </w:rPr>
        <w:t>Gao, Y., Xiong, Y., Wang, X., Wang, K., Jiang, Z., et al. (2023). Retrieval-augmented generation for large language models: A survey. arXiv preprint arXiv:2312.10997.</w:t>
      </w:r>
    </w:p>
    <w:p>
      <w:pPr>
        <w:pStyle w:val="ListBullet"/>
        <w:spacing w:before="40" w:after="80" w:line="276" w:lineRule="auto"/>
      </w:pPr>
      <w:r>
        <w:rPr>
          <w:rFonts w:ascii="Times New Roman" w:hAnsi="Times New Roman"/>
          <w:sz w:val="24"/>
        </w:rPr>
        <w:t>Joughin, G. (1998). Dimensions of oral assessment. Assessment &amp; Evaluation in Higher Education, 23(4), 367-378.</w:t>
      </w:r>
    </w:p>
    <w:p>
      <w:pPr>
        <w:pStyle w:val="ListBullet"/>
        <w:spacing w:before="40" w:after="80" w:line="276" w:lineRule="auto"/>
      </w:pPr>
      <w:r>
        <w:rPr>
          <w:rFonts w:ascii="Times New Roman" w:hAnsi="Times New Roman"/>
          <w:sz w:val="24"/>
        </w:rPr>
        <w:t>Joughin, G. (2010). The sound of learning: Why listening to students in oral assessment improves learning and pedagogy. Assessment &amp; Evaluation in Higher Education, 35(5), 587-598.</w:t>
      </w:r>
    </w:p>
    <w:p>
      <w:pPr>
        <w:pStyle w:val="ListBullet"/>
        <w:spacing w:before="40" w:after="80" w:line="276" w:lineRule="auto"/>
      </w:pPr>
      <w:r>
        <w:rPr>
          <w:rFonts w:ascii="Times New Roman" w:hAnsi="Times New Roman"/>
          <w:sz w:val="24"/>
        </w:rPr>
        <w:t>Krishna, K., Song, Y., Karpinska, M., Wieting, J., &amp; Iyyer, M. (2023). Paraphrasing evades detector watermarks in language models. arXiv preprint arXiv:2303.13408.</w:t>
      </w:r>
    </w:p>
    <w:p>
      <w:pPr>
        <w:pStyle w:val="ListBullet"/>
        <w:spacing w:before="40" w:after="80" w:line="276" w:lineRule="auto"/>
      </w:pPr>
      <w:r>
        <w:rPr>
          <w:rFonts w:ascii="Times New Roman" w:hAnsi="Times New Roman"/>
          <w:sz w:val="24"/>
        </w:rPr>
        <w:t>Lewis, P., Perez, E., Piktus, A., Petroni, F., Karpukhin, V., et al. (2020). Retrieval-augmented generation for knowledge-intensive NLP tasks. Advances in Neural Information Processing Systems (NeurIPS), 33, 9459-9474.</w:t>
      </w:r>
    </w:p>
    <w:p>
      <w:pPr>
        <w:pStyle w:val="ListBullet"/>
        <w:spacing w:before="40" w:after="80" w:line="276" w:lineRule="auto"/>
      </w:pPr>
      <w:r>
        <w:rPr>
          <w:rFonts w:ascii="Times New Roman" w:hAnsi="Times New Roman"/>
          <w:sz w:val="24"/>
        </w:rPr>
        <w:t>Liang, W., Yuksekgonul, M., Mao, Y., Wu, E., &amp; Zou, J. (2023). GPT detectors are biased against non-native English writers. Patterns (Cell Press), 4(7), 100779.</w:t>
      </w:r>
    </w:p>
    <w:p>
      <w:pPr>
        <w:pStyle w:val="ListBullet"/>
        <w:spacing w:before="40" w:after="80" w:line="276" w:lineRule="auto"/>
      </w:pPr>
      <w:r>
        <w:rPr>
          <w:rFonts w:ascii="Times New Roman" w:hAnsi="Times New Roman"/>
          <w:sz w:val="24"/>
        </w:rPr>
        <w:t>Sadasivan, V. S., Kumar, A., Balasubramanian, S., Wang, W., &amp; Feizi, S. (2023). Can AI-generated text be reliably detected? arXiv preprint arXiv:2303.11156.</w:t>
      </w:r>
    </w:p>
    <w:p>
      <w:pPr>
        <w:pStyle w:val="ListBullet"/>
        <w:spacing w:before="40" w:after="80" w:line="276" w:lineRule="auto"/>
      </w:pPr>
      <w:r>
        <w:rPr>
          <w:rFonts w:ascii="Times New Roman" w:hAnsi="Times New Roman"/>
          <w:sz w:val="24"/>
        </w:rPr>
        <w:t>Vaswani, A., Shazeer, N., Parmar, N., Uszkoreit, J., Jones, L., Gomez, A. N., Kaiser, L., &amp; Polosukhin, I. (2017). Attention is all you need. Advances in Neural Information Processing Systems (NeurIPS), 30, 5998-6008.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