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Data Governance and Cleaning</w:t>
      </w:r>
    </w:p>
    <w:p>
      <w:r>
        <w:t>The dataset was reviewed for privacy and quality. It is de-identified because it contains synthetic patient IDs and no direct identifiers. Cleaning rules preserve original values and do not invent clinical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YASHWANTH RAM R-[NC.AI.U4AID25049]</dc:creator>
  <keywords/>
  <dc:description>generated by python-docx</dc:description>
  <lastModifiedBy>YASHWANTH RAM R-[NC.AI.U4AID25049]</lastModifiedBy>
  <revision>1</revision>
  <dcterms:created xsi:type="dcterms:W3CDTF">2026-10-29T16:49:59.4593161Z</dcterms:created>
  <dcterms:modified xsi:type="dcterms:W3CDTF">2026-10-29T16:49:59.4593161Z</dcterms:modified>
  <category/>
</coreProperties>
</file>