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 October 2026</w:t>
            </w:r>
          </w:p>
        </w:tc>
      </w:tr>
      <w:tr>
        <w:trPr>
          <w:cantSplit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SWTID-2026-3708</w:t>
            </w:r>
          </w:p>
        </w:tc>
      </w:tr>
      <w:tr>
        <w:trPr>
          <w:cantSplit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>
        <w:rPr>
          <w:b/>
        </w:rPr>
        <w:t>Technical architecture of the Standard Laptop order automation (ServiceNow Flow Designer)</w:t>
      </w:r>
    </w:p>
    <w:p>
      <w:pPr>
        <w:jc w:val="center"/>
      </w:pPr>
      <w:r>
        <w:drawing>
          <wp:inline>
            <wp:extent cx="5120640" cy="24653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st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6536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Employee, approver and Hardware team interact with the platform through the browser: Service Catalog (Hardware &gt; Standard Laptop), Request / Requested Item forms and the task form.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Service Portal / Next Experience UI (HTML, CSS, JavaScript)</w:t>
            </w:r>
          </w:p>
        </w:tc>
      </w:tr>
      <w:tr>
        <w:trPr>
          <w:cantSplit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Flow 'Standard Laptop task' with a Service Catalog trigger (Global application, runs as System User).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Flow Designer</w:t>
            </w:r>
          </w:p>
        </w:tc>
      </w:tr>
      <w:tr>
        <w:trPr>
          <w:cantSplit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Create Catalog Task action; sets short description, description, assignment group (Hardware) and approval (Approved).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Core spoke action</w:t>
            </w:r>
          </w:p>
        </w:tc>
      </w:tr>
      <w:tr>
        <w:trPr>
          <w:cantSplit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Approval handling for the request (Approvers tab) and flow assignment through the catalog item's Process Engine tab.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approval engine / Process Engine</w:t>
            </w:r>
          </w:p>
        </w:tc>
      </w:tr>
      <w:tr>
        <w:trPr>
          <w:cantSplit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Request (sc_request), Requested Item (sc_req_item), Catalog Task (sc_task) and user group records.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relational database</w:t>
            </w:r>
          </w:p>
        </w:tc>
      </w:tr>
      <w:tr>
        <w:trPr>
          <w:cantSplit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Database hosted by the ServiceNow cloud instance; no separate cloud database service is used.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cloud instance database</w:t>
            </w:r>
          </w:p>
        </w:tc>
      </w:tr>
      <w:tr>
        <w:trPr>
          <w:cantSplit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Attachments (if any) stored with the records on the instance.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attachment storage (sys_attachment)</w:t>
            </w:r>
          </w:p>
        </w:tc>
      </w:tr>
      <w:tr>
        <w:trPr>
          <w:cantSplit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required for the current scope. Platform email notifications can be added later.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email notifications (optional)</w:t>
            </w:r>
          </w:p>
        </w:tc>
      </w:tr>
      <w:tr>
        <w:trPr>
          <w:cantSplit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required for the current scope. Possible future use: inventory or vendor system integration.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REST API (future scope)</w:t>
            </w:r>
          </w:p>
        </w:tc>
      </w:tr>
      <w:tr>
        <w:trPr>
          <w:cantSplit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used in this project.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Not applicable</w:t>
            </w:r>
          </w:p>
        </w:tc>
      </w:tr>
      <w:tr>
        <w:trPr>
          <w:cantSplit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Application deployment on cloud (ServiceNow instance).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Local Server Configuration: not required, accessed through a web browser.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Cloud Server Configuration: ServiceNow instance, Global application scope.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Cloud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is a proprietary platform; the interface uses open web standards.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HTML5, CSS3, JavaScript, REST / JSON</w:t>
            </w:r>
          </w:p>
        </w:tc>
      </w:tr>
      <w:tr>
        <w:trPr>
          <w:cantSplit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Role-based access control and ACLs, approval step before fulfilment, flow runs as System User, audit logs of flow executions, encrypted HTTPS access.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roles and ACLs, TLS (HTTPS), audit logs</w:t>
            </w:r>
          </w:p>
        </w:tc>
      </w:tr>
      <w:tr>
        <w:trPr>
          <w:cantSplit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Multi-tier platform (presentation, application, database). The flow is reusable for other catalog items and assignment groups.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multi-tier architecture, Flow Designer</w:t>
            </w:r>
          </w:p>
        </w:tc>
      </w:tr>
      <w:tr>
        <w:trPr>
          <w:cantSplit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Hosted on the ServiceNow cloud with platform-managed availability; the flow engine runs in the background without extra servers.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ServiceNow cloud platform</w:t>
            </w:r>
          </w:p>
        </w:tc>
      </w:tr>
      <w:tr>
        <w:trPr>
          <w:cantSplit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Task creation runs asynchronously so ordering stays fast; standard actions only, no custom scripts.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Flow Designer engine, platform caching and indexing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