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SWTID-2026-3708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Rishwana Parveen S, Deepika Sri M, Pooja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Submitted by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 (Team Leader)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creation and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Designer &gt; New &gt; Flow; enter name "Standard laptop task", Application Global, Run As System User;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is created with the given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"Standard Laptop task" created (Global, System User)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Trigger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Add a trigger, search "Service Catalog", select it and click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Service Catalog trigger is added to the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Service Catalog trigger added and saved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Create Catalog Task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Add action "Create Catalog Task"; map Requested Item from the trigger; set short description, Description, Assignment group = Hardware, Approval = Approved;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Action is saved with the mapped record and field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Action configured; table auto-populated as Catalog Task [sc_task]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activation and catalog item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Save and Activate the flow; Maintain Items &gt; Standard Laptop &gt; Process Engine &gt; add the flow; update the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shows Active and is linked to the Standard Laptop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Flow Active and linked under Process Engine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Task creation after ordering and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Order Standard Laptop, approve the request, open the Requested Item &gt; Catalog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Catalog task is created without manual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SCTASK0010001 created, Hardware group, short description "Laptop needs to Configured" (exact time not measured)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Multiple simultaneous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Place several Standard Laptop orders at the same time and check the tasks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One catalog task per order, no slowdown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Not tested - not covered in the project document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Order with quantity greater than 1 / optional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Order with quantity &gt; 1 or with Adobe Acrobat / Photoshop selected and check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Tasks are created correctly for the larger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Not tested - not covered in the project document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