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SWTID-2026-3708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Size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Leader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A Yashmin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Rishwana Parveen S, Deepika Sri M, Pooja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Submitted by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A Yashmin (Team Leader)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ServiceNow Flow Designer automation "Standard Laptop task" (Application: Global, Run As: System User).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Trigger: Service Catalog. Action: Create Catalog Task for the Requested Item, with Short description and Description "Laptop needs to Configured", Assignment group = Hardware and Approval = Approved.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The flow is attached to the Standard Laptop catalog item under Process Engine, so every approved laptop order automatically creates a configuration task for the Hardware team.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Note: </w:t>
            </w:r>
            <w:r>
              <w:rPr>
                <w:rFonts w:ascii="Calibri" w:cs="Calibri" w:eastAsia="Calibri" w:hAnsi="Calibri"/>
                <w:b w:val="0"/>
                <w:rtl w:val="0"/>
              </w:rPr>
              <w:t>The catalog task is created only when the flow runs on a Standard Laptop order; if the flow is not attached to the catalog item, no task is created.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828800" cy="85492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54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828800" cy="10579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2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57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Training Accuracy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Validation Accuracy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Not applicable - this is a rule-based ServiceNow Flow Designer automation, not a trained model.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Functional result: test order REQ0010001 -&gt; RITM0010001 -&gt; catalog task SCTASK0010001 was created automatically, assigned to the Hardware group, with the expected short description and Approval = Approved.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828800" cy="9862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3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828800" cy="80146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4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01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Class Detected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 (not a YOLO project)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Confidence Score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 (not a YOLO project)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N/A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