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CF1F" w14:textId="77777777" w:rsidR="003A7010" w:rsidRDefault="00000000">
      <w:pPr>
        <w:pBdr>
          <w:bottom w:val="single" w:sz="10" w:space="6" w:color="1F3864"/>
        </w:pBdr>
        <w:spacing w:after="40"/>
        <w:jc w:val="center"/>
      </w:pPr>
      <w:r>
        <w:rPr>
          <w:b/>
          <w:bCs/>
          <w:color w:val="1F3864"/>
          <w:sz w:val="30"/>
          <w:szCs w:val="30"/>
        </w:rPr>
        <w:t>BIST Blue-</w:t>
      </w:r>
      <w:proofErr w:type="spellStart"/>
      <w:r>
        <w:rPr>
          <w:b/>
          <w:bCs/>
          <w:color w:val="1F3864"/>
          <w:sz w:val="30"/>
          <w:szCs w:val="30"/>
        </w:rPr>
        <w:t>Chip</w:t>
      </w:r>
      <w:proofErr w:type="spellEnd"/>
      <w:r>
        <w:rPr>
          <w:b/>
          <w:bCs/>
          <w:color w:val="1F3864"/>
          <w:sz w:val="30"/>
          <w:szCs w:val="30"/>
        </w:rPr>
        <w:t xml:space="preserve"> Şirketlerinin </w:t>
      </w:r>
      <w:proofErr w:type="gramStart"/>
      <w:r>
        <w:rPr>
          <w:b/>
          <w:bCs/>
          <w:color w:val="1F3864"/>
          <w:sz w:val="30"/>
          <w:szCs w:val="30"/>
        </w:rPr>
        <w:t>Dolar</w:t>
      </w:r>
      <w:proofErr w:type="gramEnd"/>
      <w:r>
        <w:rPr>
          <w:b/>
          <w:bCs/>
          <w:color w:val="1F3864"/>
          <w:sz w:val="30"/>
          <w:szCs w:val="30"/>
        </w:rPr>
        <w:t xml:space="preserve"> ve Altına Duyarlılığı</w:t>
      </w:r>
    </w:p>
    <w:p w14:paraId="39E6C881" w14:textId="77777777" w:rsidR="003A7010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Veri Bilimi Dönem </w:t>
      </w:r>
      <w:proofErr w:type="gramStart"/>
      <w:r>
        <w:rPr>
          <w:i/>
          <w:iCs/>
          <w:color w:val="595959"/>
          <w:sz w:val="17"/>
          <w:szCs w:val="17"/>
        </w:rPr>
        <w:t>Projesi  •</w:t>
      </w:r>
      <w:proofErr w:type="gramEnd"/>
      <w:r>
        <w:rPr>
          <w:i/>
          <w:iCs/>
          <w:color w:val="595959"/>
          <w:sz w:val="17"/>
          <w:szCs w:val="17"/>
        </w:rPr>
        <w:t xml:space="preserve">  Veri Kaynağı: Yahoo Finance (</w:t>
      </w:r>
      <w:proofErr w:type="spellStart"/>
      <w:proofErr w:type="gramStart"/>
      <w:r>
        <w:rPr>
          <w:i/>
          <w:iCs/>
          <w:color w:val="595959"/>
          <w:sz w:val="17"/>
          <w:szCs w:val="17"/>
        </w:rPr>
        <w:t>yfinance</w:t>
      </w:r>
      <w:proofErr w:type="spellEnd"/>
      <w:r>
        <w:rPr>
          <w:i/>
          <w:iCs/>
          <w:color w:val="595959"/>
          <w:sz w:val="17"/>
          <w:szCs w:val="17"/>
        </w:rPr>
        <w:t>)  •</w:t>
      </w:r>
      <w:proofErr w:type="gramEnd"/>
      <w:r>
        <w:rPr>
          <w:i/>
          <w:iCs/>
          <w:color w:val="595959"/>
          <w:sz w:val="17"/>
          <w:szCs w:val="17"/>
        </w:rPr>
        <w:t xml:space="preserve">  Dönem: 2021–2026</w:t>
      </w:r>
    </w:p>
    <w:p w14:paraId="65A6DA72" w14:textId="77777777" w:rsidR="003A7010" w:rsidRDefault="00000000">
      <w:pPr>
        <w:pStyle w:val="Balk1"/>
      </w:pPr>
      <w:r>
        <w:t>1. Problem Tanımı ve Araştırma Soruları</w:t>
      </w:r>
    </w:p>
    <w:p w14:paraId="4D174298" w14:textId="77777777" w:rsidR="003A7010" w:rsidRDefault="00000000">
      <w:pPr>
        <w:spacing w:after="80"/>
        <w:jc w:val="both"/>
      </w:pPr>
      <w:r>
        <w:rPr>
          <w:sz w:val="19"/>
          <w:szCs w:val="19"/>
        </w:rPr>
        <w:t xml:space="preserve">Bu proje, dönem boyunca öğrenilen veri bilimi iş akışını — veri toplama, temizleme, keşifsel analiz, görselleştirme ve modelleme — gerçek bir finansal zaman serisi üzerinde uçtan uca uygulamayı amaçlar. İnceleme evreni, BIST30'da yer alan, işlem hacmi en yüksek 12 </w:t>
      </w:r>
      <w:proofErr w:type="spellStart"/>
      <w:r>
        <w:rPr>
          <w:sz w:val="19"/>
          <w:szCs w:val="19"/>
        </w:rPr>
        <w:t>blue-chip</w:t>
      </w:r>
      <w:proofErr w:type="spellEnd"/>
      <w:r>
        <w:rPr>
          <w:sz w:val="19"/>
          <w:szCs w:val="19"/>
        </w:rPr>
        <w:t xml:space="preserve"> (öncü) şirkettir (en likit hisse THYAO). Odak, ekonomik teori üretmek değil, çok kaynaklı ve gürültülü bir veri setini analize hazır hale getirip savunulabilir bulgular çıkarmaktır.</w:t>
      </w:r>
    </w:p>
    <w:p w14:paraId="1062B2BD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>Analizden önce üç somut araştırma sorusu tanımlanmıştır:</w:t>
      </w:r>
    </w:p>
    <w:p w14:paraId="356FB741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AS-1: </w:t>
      </w:r>
      <w:r>
        <w:rPr>
          <w:sz w:val="19"/>
          <w:szCs w:val="19"/>
        </w:rPr>
        <w:t>Blue-</w:t>
      </w:r>
      <w:proofErr w:type="spellStart"/>
      <w:r>
        <w:rPr>
          <w:sz w:val="19"/>
          <w:szCs w:val="19"/>
        </w:rPr>
        <w:t>chip</w:t>
      </w:r>
      <w:proofErr w:type="spellEnd"/>
      <w:r>
        <w:rPr>
          <w:sz w:val="19"/>
          <w:szCs w:val="19"/>
        </w:rPr>
        <w:t xml:space="preserve"> şirketlerin getirileri dolar (USD/TRY) ve altına ne ölçüde duyarlıdır; hangi sektörler daha çok tepki verir?</w:t>
      </w:r>
    </w:p>
    <w:p w14:paraId="19D6141A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AS-2: </w:t>
      </w:r>
      <w:proofErr w:type="gramStart"/>
      <w:r>
        <w:rPr>
          <w:sz w:val="19"/>
          <w:szCs w:val="19"/>
        </w:rPr>
        <w:t>Doların</w:t>
      </w:r>
      <w:proofErr w:type="gramEnd"/>
      <w:r>
        <w:rPr>
          <w:sz w:val="19"/>
          <w:szCs w:val="19"/>
        </w:rPr>
        <w:t xml:space="preserve"> sert yükseldiği (aykırı) günlerde hisseler nasıl ayrışır?</w:t>
      </w:r>
    </w:p>
    <w:p w14:paraId="44CDFAF8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AS-3: </w:t>
      </w:r>
      <w:proofErr w:type="gramStart"/>
      <w:r>
        <w:rPr>
          <w:sz w:val="19"/>
          <w:szCs w:val="19"/>
        </w:rPr>
        <w:t>Dolar</w:t>
      </w:r>
      <w:proofErr w:type="gramEnd"/>
      <w:r>
        <w:rPr>
          <w:sz w:val="19"/>
          <w:szCs w:val="19"/>
        </w:rPr>
        <w:t xml:space="preserve"> hareketleri hisseleri mi, hisseler doları mı önceller; ilişki eşzamanlı mıdır?</w:t>
      </w:r>
    </w:p>
    <w:p w14:paraId="2D21C78C" w14:textId="77777777" w:rsidR="003A7010" w:rsidRDefault="00000000">
      <w:pPr>
        <w:pStyle w:val="Balk1"/>
      </w:pPr>
      <w:r>
        <w:t>2. Kullanılan Veri Seti ve Kaynağı</w:t>
      </w:r>
    </w:p>
    <w:p w14:paraId="03F11C55" w14:textId="77777777" w:rsidR="003A7010" w:rsidRDefault="00000000">
      <w:pPr>
        <w:spacing w:after="80"/>
        <w:jc w:val="both"/>
      </w:pPr>
      <w:r>
        <w:rPr>
          <w:sz w:val="19"/>
          <w:szCs w:val="19"/>
        </w:rPr>
        <w:t xml:space="preserve">Veriler </w:t>
      </w:r>
      <w:r>
        <w:rPr>
          <w:b/>
          <w:bCs/>
          <w:sz w:val="19"/>
          <w:szCs w:val="19"/>
        </w:rPr>
        <w:t xml:space="preserve">Yahoo </w:t>
      </w:r>
      <w:proofErr w:type="spellStart"/>
      <w:r>
        <w:rPr>
          <w:b/>
          <w:bCs/>
          <w:sz w:val="19"/>
          <w:szCs w:val="19"/>
        </w:rPr>
        <w:t>Finance</w:t>
      </w:r>
      <w:r>
        <w:rPr>
          <w:sz w:val="19"/>
          <w:szCs w:val="19"/>
        </w:rPr>
        <w:t>’ten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yfinance</w:t>
      </w:r>
      <w:proofErr w:type="spellEnd"/>
      <w:r>
        <w:rPr>
          <w:sz w:val="19"/>
          <w:szCs w:val="19"/>
        </w:rPr>
        <w:t xml:space="preserve"> (Apache-2.0) </w:t>
      </w:r>
      <w:proofErr w:type="spellStart"/>
      <w:r>
        <w:rPr>
          <w:sz w:val="19"/>
          <w:szCs w:val="19"/>
        </w:rPr>
        <w:t>API'si</w:t>
      </w:r>
      <w:proofErr w:type="spellEnd"/>
      <w:r>
        <w:rPr>
          <w:sz w:val="19"/>
          <w:szCs w:val="19"/>
        </w:rPr>
        <w:t xml:space="preserve"> ile çekilmiştir. Kapsam: 12 BIST hissesi (THYAO, GARAN, AKBNK, ISCTR, ASELS, KCHOL, SAHOL, EREGL, TUPRS, BIMAS, SISE, TCELL), USD/TRY kuru (TRY=X) ve ons altın (GC=F, USD). Dönem 1 Temmuz 2021 – 30 Haziran 2026; temizlik sonrası </w:t>
      </w:r>
      <w:r>
        <w:rPr>
          <w:b/>
          <w:bCs/>
          <w:sz w:val="19"/>
          <w:szCs w:val="19"/>
        </w:rPr>
        <w:t>1.250 işlem günü</w:t>
      </w:r>
      <w:r>
        <w:rPr>
          <w:sz w:val="19"/>
          <w:szCs w:val="19"/>
        </w:rPr>
        <w:t xml:space="preserve"> ve 15 sütun. Veri, Yahoo'nun şartları gereği yalnızca eğitim/araştırma amacıyla kullanılmıştır.</w:t>
      </w:r>
    </w:p>
    <w:p w14:paraId="53D88D85" w14:textId="77777777" w:rsidR="003A7010" w:rsidRDefault="00000000">
      <w:pPr>
        <w:pStyle w:val="Balk1"/>
      </w:pPr>
      <w:r>
        <w:t>3. Yöntem: Veri Hazırlama ve Analiz</w:t>
      </w:r>
    </w:p>
    <w:p w14:paraId="35B9FA57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3.1 Veri yükleme. </w:t>
      </w:r>
      <w:r>
        <w:rPr>
          <w:sz w:val="19"/>
          <w:szCs w:val="19"/>
        </w:rPr>
        <w:t xml:space="preserve">Her sembol ayrı indirilip tek bir tarih indeksinde birleştirildi. Fiyatlar </w:t>
      </w:r>
      <w:proofErr w:type="spellStart"/>
      <w:r>
        <w:rPr>
          <w:i/>
          <w:iCs/>
          <w:sz w:val="19"/>
          <w:szCs w:val="19"/>
        </w:rPr>
        <w:t>auto_adjust</w:t>
      </w:r>
      <w:proofErr w:type="spellEnd"/>
      <w:r>
        <w:rPr>
          <w:sz w:val="19"/>
          <w:szCs w:val="19"/>
        </w:rPr>
        <w:t xml:space="preserve"> ile temettü ve bölünmelere göre düzeltildi; aksi halde bölünme günleri sahte %50 düşüş olarak görünürdü.</w:t>
      </w:r>
    </w:p>
    <w:p w14:paraId="3AC598F9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3.2 Temizleme ve optimizasyon (projenin çekirdeği). </w:t>
      </w:r>
      <w:r>
        <w:rPr>
          <w:sz w:val="19"/>
          <w:szCs w:val="19"/>
        </w:rPr>
        <w:t>Dört adım uygulandı:</w:t>
      </w:r>
    </w:p>
    <w:p w14:paraId="498A593B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Tip dönüşümü: </w:t>
      </w:r>
      <w:r>
        <w:rPr>
          <w:sz w:val="19"/>
          <w:szCs w:val="19"/>
        </w:rPr>
        <w:t>İndeks tarih tipine, tüm fiyat sütunları sayısal (</w:t>
      </w:r>
      <w:proofErr w:type="spellStart"/>
      <w:r>
        <w:rPr>
          <w:sz w:val="19"/>
          <w:szCs w:val="19"/>
        </w:rPr>
        <w:t>float</w:t>
      </w:r>
      <w:proofErr w:type="spellEnd"/>
      <w:r>
        <w:rPr>
          <w:sz w:val="19"/>
          <w:szCs w:val="19"/>
        </w:rPr>
        <w:t>) tipe çevrildi.</w:t>
      </w:r>
    </w:p>
    <w:p w14:paraId="5B8DFEEE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Tarih hizalama ve eksik veri: </w:t>
      </w:r>
      <w:r>
        <w:rPr>
          <w:sz w:val="19"/>
          <w:szCs w:val="19"/>
        </w:rPr>
        <w:t>BIST ile ABD piyasasının tatil takvimleri farklıdır. Tarihler BIST işlem günlerine hizalandı; dolar/altın serilerindeki takvim boşlukları bir önceki değerle (</w:t>
      </w:r>
      <w:proofErr w:type="spellStart"/>
      <w:r>
        <w:rPr>
          <w:sz w:val="19"/>
          <w:szCs w:val="19"/>
        </w:rPr>
        <w:t>forward-fill</w:t>
      </w:r>
      <w:proofErr w:type="spellEnd"/>
      <w:r>
        <w:rPr>
          <w:sz w:val="19"/>
          <w:szCs w:val="19"/>
        </w:rPr>
        <w:t>) dolduruldu. Nihai sette eksik değer sıfırdır.</w:t>
      </w:r>
    </w:p>
    <w:p w14:paraId="7179C9C6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Aykırı değer: </w:t>
      </w:r>
      <w:r>
        <w:rPr>
          <w:sz w:val="19"/>
          <w:szCs w:val="19"/>
        </w:rPr>
        <w:t>Getirilerdeki uç değerler z-skoru ile tespit edildi. Bunlar veri hatası değil gerçek piyasa şoklarıdır; silinmeyip AS-2'de ayrı analiz konusu yapıldı (bilinçli bir modelleme kararı).</w:t>
      </w:r>
    </w:p>
    <w:p w14:paraId="683E9E8C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 xml:space="preserve">Durağanlaştırma: </w:t>
      </w:r>
      <w:proofErr w:type="spellStart"/>
      <w:r>
        <w:rPr>
          <w:sz w:val="19"/>
          <w:szCs w:val="19"/>
        </w:rPr>
        <w:t>Trendli</w:t>
      </w:r>
      <w:proofErr w:type="spellEnd"/>
      <w:r>
        <w:rPr>
          <w:sz w:val="19"/>
          <w:szCs w:val="19"/>
        </w:rPr>
        <w:t xml:space="preserve"> (durağan olmayan) fiyat serileri doğrudan kullanılırsa sahte korelasyon üretir. Bu nedenle fiyatlar günlük getiriye (yüzde değişim) dönüştürüldü; ayrıca ons altından TL bazlı altın serisi türetildi.</w:t>
      </w:r>
    </w:p>
    <w:p w14:paraId="4555572C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3.3 Keşifsel analiz. </w:t>
      </w:r>
      <w:r>
        <w:rPr>
          <w:sz w:val="19"/>
          <w:szCs w:val="19"/>
        </w:rPr>
        <w:t xml:space="preserve">Dört farklı görselleştirme türü kullanıldı: normalize fiyat çizgi grafiği, getiri korelasyonu ısı haritası (Şekil 1), risk–getiri saçılım grafiği ve 60 günlük yuvarlanır korelasyon zaman serisi. Ayrıca getiriler için temel istatistikler (ortalama, </w:t>
      </w:r>
      <w:proofErr w:type="spellStart"/>
      <w:r>
        <w:rPr>
          <w:sz w:val="19"/>
          <w:szCs w:val="19"/>
        </w:rPr>
        <w:t>std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maks</w:t>
      </w:r>
      <w:proofErr w:type="spellEnd"/>
      <w:r>
        <w:rPr>
          <w:sz w:val="19"/>
          <w:szCs w:val="19"/>
        </w:rPr>
        <w:t>) hesaplandı.</w:t>
      </w:r>
    </w:p>
    <w:p w14:paraId="75FE058D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3.4 Modelleme. </w:t>
      </w:r>
      <w:r>
        <w:rPr>
          <w:sz w:val="19"/>
          <w:szCs w:val="19"/>
        </w:rPr>
        <w:t xml:space="preserve">Her hisse için doğrusal regresyon (OLS) kuruldu: </w:t>
      </w:r>
      <w:r>
        <w:rPr>
          <w:i/>
          <w:iCs/>
          <w:sz w:val="19"/>
          <w:szCs w:val="19"/>
        </w:rPr>
        <w:t>R(hisse) = α + β(USD)·R(USD) + β(Altın)·R(Altın) + ε</w:t>
      </w:r>
      <w:r>
        <w:rPr>
          <w:sz w:val="19"/>
          <w:szCs w:val="19"/>
        </w:rPr>
        <w:t xml:space="preserve">. β(USD) “kur </w:t>
      </w:r>
      <w:proofErr w:type="spellStart"/>
      <w:r>
        <w:rPr>
          <w:sz w:val="19"/>
          <w:szCs w:val="19"/>
        </w:rPr>
        <w:t>betası”dır</w:t>
      </w:r>
      <w:proofErr w:type="spellEnd"/>
      <w:r>
        <w:rPr>
          <w:sz w:val="19"/>
          <w:szCs w:val="19"/>
        </w:rPr>
        <w:t xml:space="preserve"> ve p&lt;0,05 anlamlılık ölçütü kullanıldı. AS-2 için şok/normal gün karşılaştırması, AS-3 için gecikmeli çapraz korelasyon uygulandı.</w:t>
      </w:r>
    </w:p>
    <w:p w14:paraId="2D27F8DF" w14:textId="77777777" w:rsidR="003A7010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1B73B0F9" wp14:editId="56629C0D">
            <wp:extent cx="4724400" cy="3937000"/>
            <wp:effectExtent l="0" t="0" r="0" b="6350"/>
            <wp:docPr id="1" name="02_korelasyon.png" descr="02_korelasyon.png" title="02_korelasy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4638" w14:textId="77777777" w:rsidR="003A7010" w:rsidRDefault="00000000">
      <w:pPr>
        <w:spacing w:after="100"/>
        <w:jc w:val="center"/>
      </w:pPr>
      <w:r>
        <w:rPr>
          <w:i/>
          <w:iCs/>
          <w:color w:val="595959"/>
          <w:sz w:val="15"/>
          <w:szCs w:val="15"/>
        </w:rPr>
        <w:t>Şekil 1. Günlük getiri korelasyon ısı haritası (EDA).</w:t>
      </w:r>
    </w:p>
    <w:p w14:paraId="5429CFEC" w14:textId="77777777" w:rsidR="003A7010" w:rsidRDefault="00000000">
      <w:pPr>
        <w:pStyle w:val="Balk1"/>
      </w:pPr>
      <w:r>
        <w:t>4. Bulgular</w:t>
      </w:r>
    </w:p>
    <w:p w14:paraId="631A7B0E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EDA. </w:t>
      </w:r>
      <w:r>
        <w:rPr>
          <w:sz w:val="19"/>
          <w:szCs w:val="19"/>
        </w:rPr>
        <w:t>Bankalar kendi aralarında ~0,80 korelasyonla neredeyse tek blok gibi hareket eder; dolarla korelasyonlar zayıftır (≤0,10) ancak ihracatçılarda pozitif, bankalarda sıfır/negatiftir. Altınla ilişki zayıftır.</w:t>
      </w:r>
    </w:p>
    <w:p w14:paraId="09EFBEA0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AS-1 (regresyon). </w:t>
      </w:r>
      <w:r>
        <w:rPr>
          <w:sz w:val="19"/>
          <w:szCs w:val="19"/>
        </w:rPr>
        <w:t xml:space="preserve">İhracatçılar (SISE β=0,25; </w:t>
      </w:r>
      <w:proofErr w:type="gramStart"/>
      <w:r>
        <w:rPr>
          <w:sz w:val="19"/>
          <w:szCs w:val="19"/>
        </w:rPr>
        <w:t>ASELS;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EREGL;</w:t>
      </w:r>
      <w:proofErr w:type="gramEnd"/>
      <w:r>
        <w:rPr>
          <w:sz w:val="19"/>
          <w:szCs w:val="19"/>
        </w:rPr>
        <w:t xml:space="preserve"> TUPRS) dolara pozitif ve anlamlı duyarlıdır; bankalar negatif ama anlamsızdır (p&gt;0,05). Altın betaları çoğunlukla anlamsızdır — hisseler altına doğrudan değil kur kanalıyla dövize duyarlıdır. R² ≈ %1'dir: kur, getirinin küçük ama yön veren bir bileşenidir.</w:t>
      </w:r>
    </w:p>
    <w:tbl>
      <w:tblPr>
        <w:tblStyle w:val="KlavuzuTablo4-Vurgu1"/>
        <w:tblW w:w="7385" w:type="dxa"/>
        <w:tblLook w:val="04A0" w:firstRow="1" w:lastRow="0" w:firstColumn="1" w:lastColumn="0" w:noHBand="0" w:noVBand="1"/>
      </w:tblPr>
      <w:tblGrid>
        <w:gridCol w:w="1273"/>
        <w:gridCol w:w="1528"/>
        <w:gridCol w:w="1528"/>
        <w:gridCol w:w="1528"/>
        <w:gridCol w:w="1528"/>
      </w:tblGrid>
      <w:tr w:rsidR="003A7010" w14:paraId="663D4D96" w14:textId="77777777" w:rsidTr="00AE1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4D70C13D" w14:textId="77777777" w:rsidR="003A7010" w:rsidRDefault="00000000">
            <w:pPr>
              <w:jc w:val="center"/>
            </w:pPr>
            <w:r>
              <w:rPr>
                <w:color w:val="FFFFFF"/>
                <w:sz w:val="15"/>
                <w:szCs w:val="15"/>
              </w:rPr>
              <w:t>Hisse</w:t>
            </w:r>
          </w:p>
        </w:tc>
        <w:tc>
          <w:tcPr>
            <w:tcW w:w="1528" w:type="dxa"/>
          </w:tcPr>
          <w:p w14:paraId="79B21514" w14:textId="77777777" w:rsidR="003A701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  <w:szCs w:val="15"/>
              </w:rPr>
              <w:t>Sektör</w:t>
            </w:r>
          </w:p>
        </w:tc>
        <w:tc>
          <w:tcPr>
            <w:tcW w:w="1528" w:type="dxa"/>
          </w:tcPr>
          <w:p w14:paraId="3FDF8AE4" w14:textId="77777777" w:rsidR="003A701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color w:val="FFFFFF"/>
                <w:sz w:val="15"/>
                <w:szCs w:val="15"/>
              </w:rPr>
              <w:t>β</w:t>
            </w:r>
            <w:proofErr w:type="gramEnd"/>
            <w:r>
              <w:rPr>
                <w:color w:val="FFFFFF"/>
                <w:sz w:val="15"/>
                <w:szCs w:val="15"/>
              </w:rPr>
              <w:t>(USD)</w:t>
            </w:r>
          </w:p>
        </w:tc>
        <w:tc>
          <w:tcPr>
            <w:tcW w:w="1528" w:type="dxa"/>
          </w:tcPr>
          <w:p w14:paraId="7DE01295" w14:textId="77777777" w:rsidR="003A701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color w:val="FFFFFF"/>
                <w:sz w:val="15"/>
                <w:szCs w:val="15"/>
              </w:rPr>
              <w:t>p</w:t>
            </w:r>
            <w:proofErr w:type="gramEnd"/>
            <w:r>
              <w:rPr>
                <w:color w:val="FFFFFF"/>
                <w:sz w:val="15"/>
                <w:szCs w:val="15"/>
              </w:rPr>
              <w:t>(USD)</w:t>
            </w:r>
          </w:p>
        </w:tc>
        <w:tc>
          <w:tcPr>
            <w:tcW w:w="1528" w:type="dxa"/>
          </w:tcPr>
          <w:p w14:paraId="1835E274" w14:textId="77777777" w:rsidR="003A701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  <w:szCs w:val="15"/>
              </w:rPr>
              <w:t>R²</w:t>
            </w:r>
          </w:p>
        </w:tc>
      </w:tr>
      <w:tr w:rsidR="003A7010" w14:paraId="54022C54" w14:textId="77777777" w:rsidTr="00AE1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58D65E57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SISE</w:t>
            </w:r>
          </w:p>
        </w:tc>
        <w:tc>
          <w:tcPr>
            <w:tcW w:w="1528" w:type="dxa"/>
          </w:tcPr>
          <w:p w14:paraId="32EE0A32" w14:textId="77777777" w:rsidR="003A7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Cam</w:t>
            </w:r>
          </w:p>
        </w:tc>
        <w:tc>
          <w:tcPr>
            <w:tcW w:w="1528" w:type="dxa"/>
          </w:tcPr>
          <w:p w14:paraId="7109EACA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0.245</w:t>
            </w:r>
          </w:p>
        </w:tc>
        <w:tc>
          <w:tcPr>
            <w:tcW w:w="1528" w:type="dxa"/>
          </w:tcPr>
          <w:p w14:paraId="2481444A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528" w:type="dxa"/>
          </w:tcPr>
          <w:p w14:paraId="0E259CEF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0.010</w:t>
            </w:r>
          </w:p>
        </w:tc>
      </w:tr>
      <w:tr w:rsidR="003A7010" w14:paraId="20034753" w14:textId="77777777" w:rsidTr="00AE1F75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726B727F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ASELS</w:t>
            </w:r>
          </w:p>
        </w:tc>
        <w:tc>
          <w:tcPr>
            <w:tcW w:w="1528" w:type="dxa"/>
          </w:tcPr>
          <w:p w14:paraId="1F146621" w14:textId="77777777" w:rsidR="003A7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Savunma</w:t>
            </w:r>
          </w:p>
        </w:tc>
        <w:tc>
          <w:tcPr>
            <w:tcW w:w="1528" w:type="dxa"/>
          </w:tcPr>
          <w:p w14:paraId="6C9EBA5B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0.230</w:t>
            </w:r>
          </w:p>
        </w:tc>
        <w:tc>
          <w:tcPr>
            <w:tcW w:w="1528" w:type="dxa"/>
          </w:tcPr>
          <w:p w14:paraId="20602202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0.004</w:t>
            </w:r>
          </w:p>
        </w:tc>
        <w:tc>
          <w:tcPr>
            <w:tcW w:w="1528" w:type="dxa"/>
          </w:tcPr>
          <w:p w14:paraId="23055E66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0.009</w:t>
            </w:r>
          </w:p>
        </w:tc>
      </w:tr>
      <w:tr w:rsidR="003A7010" w14:paraId="39A4735E" w14:textId="77777777" w:rsidTr="00AE1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38D3ED94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KCHOL</w:t>
            </w:r>
          </w:p>
        </w:tc>
        <w:tc>
          <w:tcPr>
            <w:tcW w:w="1528" w:type="dxa"/>
          </w:tcPr>
          <w:p w14:paraId="354E29F9" w14:textId="77777777" w:rsidR="003A7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Holding</w:t>
            </w:r>
          </w:p>
        </w:tc>
        <w:tc>
          <w:tcPr>
            <w:tcW w:w="1528" w:type="dxa"/>
          </w:tcPr>
          <w:p w14:paraId="12ACFBD1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0.201</w:t>
            </w:r>
          </w:p>
        </w:tc>
        <w:tc>
          <w:tcPr>
            <w:tcW w:w="1528" w:type="dxa"/>
          </w:tcPr>
          <w:p w14:paraId="114549E9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0.003</w:t>
            </w:r>
          </w:p>
        </w:tc>
        <w:tc>
          <w:tcPr>
            <w:tcW w:w="1528" w:type="dxa"/>
          </w:tcPr>
          <w:p w14:paraId="2A311FFA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0.007</w:t>
            </w:r>
          </w:p>
        </w:tc>
      </w:tr>
      <w:tr w:rsidR="003A7010" w14:paraId="3654E196" w14:textId="77777777" w:rsidTr="00AE1F75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74EAA3CE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EREGL</w:t>
            </w:r>
          </w:p>
        </w:tc>
        <w:tc>
          <w:tcPr>
            <w:tcW w:w="1528" w:type="dxa"/>
          </w:tcPr>
          <w:p w14:paraId="689AFAB0" w14:textId="77777777" w:rsidR="003A7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Demir-</w:t>
            </w:r>
            <w:proofErr w:type="spellStart"/>
            <w:r>
              <w:rPr>
                <w:color w:val="000000"/>
                <w:sz w:val="15"/>
                <w:szCs w:val="15"/>
              </w:rPr>
              <w:t>Celik</w:t>
            </w:r>
            <w:proofErr w:type="spellEnd"/>
          </w:p>
        </w:tc>
        <w:tc>
          <w:tcPr>
            <w:tcW w:w="1528" w:type="dxa"/>
          </w:tcPr>
          <w:p w14:paraId="1C901EA9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0.187</w:t>
            </w:r>
          </w:p>
        </w:tc>
        <w:tc>
          <w:tcPr>
            <w:tcW w:w="1528" w:type="dxa"/>
          </w:tcPr>
          <w:p w14:paraId="5FF50260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0.007</w:t>
            </w:r>
          </w:p>
        </w:tc>
        <w:tc>
          <w:tcPr>
            <w:tcW w:w="1528" w:type="dxa"/>
          </w:tcPr>
          <w:p w14:paraId="5568F391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0.010</w:t>
            </w:r>
          </w:p>
        </w:tc>
      </w:tr>
      <w:tr w:rsidR="003A7010" w14:paraId="2035250E" w14:textId="77777777" w:rsidTr="00AE1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715EFE26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TUPRS</w:t>
            </w:r>
          </w:p>
        </w:tc>
        <w:tc>
          <w:tcPr>
            <w:tcW w:w="1528" w:type="dxa"/>
          </w:tcPr>
          <w:p w14:paraId="6448DCA8" w14:textId="77777777" w:rsidR="003A7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Enerji</w:t>
            </w:r>
          </w:p>
        </w:tc>
        <w:tc>
          <w:tcPr>
            <w:tcW w:w="1528" w:type="dxa"/>
          </w:tcPr>
          <w:p w14:paraId="5A4605C0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0.183</w:t>
            </w:r>
          </w:p>
        </w:tc>
        <w:tc>
          <w:tcPr>
            <w:tcW w:w="1528" w:type="dxa"/>
          </w:tcPr>
          <w:p w14:paraId="4B578618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0.009</w:t>
            </w:r>
          </w:p>
        </w:tc>
        <w:tc>
          <w:tcPr>
            <w:tcW w:w="1528" w:type="dxa"/>
          </w:tcPr>
          <w:p w14:paraId="77C01D68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0.006</w:t>
            </w:r>
          </w:p>
        </w:tc>
      </w:tr>
      <w:tr w:rsidR="003A7010" w14:paraId="54AC9B5D" w14:textId="77777777" w:rsidTr="00AE1F75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31DB50BF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THYAO</w:t>
            </w:r>
          </w:p>
        </w:tc>
        <w:tc>
          <w:tcPr>
            <w:tcW w:w="1528" w:type="dxa"/>
          </w:tcPr>
          <w:p w14:paraId="45B56DE0" w14:textId="77777777" w:rsidR="003A7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15"/>
                <w:szCs w:val="15"/>
              </w:rPr>
              <w:t>Havacilik</w:t>
            </w:r>
            <w:proofErr w:type="spellEnd"/>
          </w:p>
        </w:tc>
        <w:tc>
          <w:tcPr>
            <w:tcW w:w="1528" w:type="dxa"/>
          </w:tcPr>
          <w:p w14:paraId="5C4516F2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0.162</w:t>
            </w:r>
          </w:p>
        </w:tc>
        <w:tc>
          <w:tcPr>
            <w:tcW w:w="1528" w:type="dxa"/>
          </w:tcPr>
          <w:p w14:paraId="618E2352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0.022</w:t>
            </w:r>
          </w:p>
        </w:tc>
        <w:tc>
          <w:tcPr>
            <w:tcW w:w="1528" w:type="dxa"/>
          </w:tcPr>
          <w:p w14:paraId="24EDDFBA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0.004</w:t>
            </w:r>
          </w:p>
        </w:tc>
      </w:tr>
      <w:tr w:rsidR="003A7010" w14:paraId="534F668B" w14:textId="77777777" w:rsidTr="00AE1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7CD132D8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TCELL</w:t>
            </w:r>
          </w:p>
        </w:tc>
        <w:tc>
          <w:tcPr>
            <w:tcW w:w="1528" w:type="dxa"/>
          </w:tcPr>
          <w:p w14:paraId="00989689" w14:textId="77777777" w:rsidR="003A7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Telekom</w:t>
            </w:r>
          </w:p>
        </w:tc>
        <w:tc>
          <w:tcPr>
            <w:tcW w:w="1528" w:type="dxa"/>
          </w:tcPr>
          <w:p w14:paraId="78D3C83A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0.144</w:t>
            </w:r>
          </w:p>
        </w:tc>
        <w:tc>
          <w:tcPr>
            <w:tcW w:w="1528" w:type="dxa"/>
          </w:tcPr>
          <w:p w14:paraId="6FB55DB1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0.039</w:t>
            </w:r>
          </w:p>
        </w:tc>
        <w:tc>
          <w:tcPr>
            <w:tcW w:w="1528" w:type="dxa"/>
          </w:tcPr>
          <w:p w14:paraId="1BD84803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0.004</w:t>
            </w:r>
          </w:p>
        </w:tc>
      </w:tr>
      <w:tr w:rsidR="003A7010" w14:paraId="75ACB5D4" w14:textId="77777777" w:rsidTr="00AE1F75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281DB8F7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SAHOL</w:t>
            </w:r>
          </w:p>
        </w:tc>
        <w:tc>
          <w:tcPr>
            <w:tcW w:w="1528" w:type="dxa"/>
          </w:tcPr>
          <w:p w14:paraId="174DA6BD" w14:textId="77777777" w:rsidR="003A7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Holding</w:t>
            </w:r>
          </w:p>
        </w:tc>
        <w:tc>
          <w:tcPr>
            <w:tcW w:w="1528" w:type="dxa"/>
          </w:tcPr>
          <w:p w14:paraId="19024D52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0.123</w:t>
            </w:r>
          </w:p>
        </w:tc>
        <w:tc>
          <w:tcPr>
            <w:tcW w:w="1528" w:type="dxa"/>
          </w:tcPr>
          <w:p w14:paraId="085D0029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0.075</w:t>
            </w:r>
          </w:p>
        </w:tc>
        <w:tc>
          <w:tcPr>
            <w:tcW w:w="1528" w:type="dxa"/>
          </w:tcPr>
          <w:p w14:paraId="72DBCF4D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0.004</w:t>
            </w:r>
          </w:p>
        </w:tc>
      </w:tr>
      <w:tr w:rsidR="003A7010" w14:paraId="5C28ECFB" w14:textId="77777777" w:rsidTr="00AE1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7DC885C4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BIMAS</w:t>
            </w:r>
          </w:p>
        </w:tc>
        <w:tc>
          <w:tcPr>
            <w:tcW w:w="1528" w:type="dxa"/>
          </w:tcPr>
          <w:p w14:paraId="10C0A4DF" w14:textId="77777777" w:rsidR="003A7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Perakende</w:t>
            </w:r>
          </w:p>
        </w:tc>
        <w:tc>
          <w:tcPr>
            <w:tcW w:w="1528" w:type="dxa"/>
          </w:tcPr>
          <w:p w14:paraId="4981AB72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0.033</w:t>
            </w:r>
          </w:p>
        </w:tc>
        <w:tc>
          <w:tcPr>
            <w:tcW w:w="1528" w:type="dxa"/>
          </w:tcPr>
          <w:p w14:paraId="0E9B033E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0.615</w:t>
            </w:r>
          </w:p>
        </w:tc>
        <w:tc>
          <w:tcPr>
            <w:tcW w:w="1528" w:type="dxa"/>
          </w:tcPr>
          <w:p w14:paraId="6BD8184B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0.003</w:t>
            </w:r>
          </w:p>
        </w:tc>
      </w:tr>
      <w:tr w:rsidR="003A7010" w14:paraId="58A324D6" w14:textId="77777777" w:rsidTr="00AE1F75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29183D37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GARAN</w:t>
            </w:r>
          </w:p>
        </w:tc>
        <w:tc>
          <w:tcPr>
            <w:tcW w:w="1528" w:type="dxa"/>
          </w:tcPr>
          <w:p w14:paraId="21F12D44" w14:textId="77777777" w:rsidR="003A7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15"/>
                <w:szCs w:val="15"/>
              </w:rPr>
              <w:t>Bankacilik</w:t>
            </w:r>
            <w:proofErr w:type="spellEnd"/>
          </w:p>
        </w:tc>
        <w:tc>
          <w:tcPr>
            <w:tcW w:w="1528" w:type="dxa"/>
          </w:tcPr>
          <w:p w14:paraId="3C624BB7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-0.030</w:t>
            </w:r>
          </w:p>
        </w:tc>
        <w:tc>
          <w:tcPr>
            <w:tcW w:w="1528" w:type="dxa"/>
          </w:tcPr>
          <w:p w14:paraId="21FF864C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0.695</w:t>
            </w:r>
          </w:p>
        </w:tc>
        <w:tc>
          <w:tcPr>
            <w:tcW w:w="1528" w:type="dxa"/>
          </w:tcPr>
          <w:p w14:paraId="62CFCAC7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0.002</w:t>
            </w:r>
          </w:p>
        </w:tc>
      </w:tr>
      <w:tr w:rsidR="003A7010" w14:paraId="6C747870" w14:textId="77777777" w:rsidTr="00AE1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05C8F8D7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ISCTR</w:t>
            </w:r>
          </w:p>
        </w:tc>
        <w:tc>
          <w:tcPr>
            <w:tcW w:w="1528" w:type="dxa"/>
          </w:tcPr>
          <w:p w14:paraId="09FF1472" w14:textId="77777777" w:rsidR="003A7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15"/>
                <w:szCs w:val="15"/>
              </w:rPr>
              <w:t>Bankacilik</w:t>
            </w:r>
            <w:proofErr w:type="spellEnd"/>
          </w:p>
        </w:tc>
        <w:tc>
          <w:tcPr>
            <w:tcW w:w="1528" w:type="dxa"/>
          </w:tcPr>
          <w:p w14:paraId="19BFFFB5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-0.086</w:t>
            </w:r>
          </w:p>
        </w:tc>
        <w:tc>
          <w:tcPr>
            <w:tcW w:w="1528" w:type="dxa"/>
          </w:tcPr>
          <w:p w14:paraId="75C16F42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0.285</w:t>
            </w:r>
          </w:p>
        </w:tc>
        <w:tc>
          <w:tcPr>
            <w:tcW w:w="1528" w:type="dxa"/>
          </w:tcPr>
          <w:p w14:paraId="18D63323" w14:textId="77777777" w:rsidR="003A701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0.003</w:t>
            </w:r>
          </w:p>
        </w:tc>
      </w:tr>
      <w:tr w:rsidR="003A7010" w14:paraId="195037FE" w14:textId="77777777" w:rsidTr="00AE1F75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</w:tcPr>
          <w:p w14:paraId="4B3D5FC4" w14:textId="77777777" w:rsidR="003A7010" w:rsidRDefault="00000000">
            <w:r>
              <w:rPr>
                <w:b w:val="0"/>
                <w:bCs w:val="0"/>
                <w:color w:val="000000"/>
                <w:sz w:val="15"/>
                <w:szCs w:val="15"/>
              </w:rPr>
              <w:t>AKBNK</w:t>
            </w:r>
          </w:p>
        </w:tc>
        <w:tc>
          <w:tcPr>
            <w:tcW w:w="1528" w:type="dxa"/>
          </w:tcPr>
          <w:p w14:paraId="0C8FBE71" w14:textId="77777777" w:rsidR="003A7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15"/>
                <w:szCs w:val="15"/>
              </w:rPr>
              <w:t>Bankacilik</w:t>
            </w:r>
            <w:proofErr w:type="spellEnd"/>
          </w:p>
        </w:tc>
        <w:tc>
          <w:tcPr>
            <w:tcW w:w="1528" w:type="dxa"/>
          </w:tcPr>
          <w:p w14:paraId="0189BF89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-0.090</w:t>
            </w:r>
          </w:p>
        </w:tc>
        <w:tc>
          <w:tcPr>
            <w:tcW w:w="1528" w:type="dxa"/>
          </w:tcPr>
          <w:p w14:paraId="1C858D04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0.271</w:t>
            </w:r>
          </w:p>
        </w:tc>
        <w:tc>
          <w:tcPr>
            <w:tcW w:w="1528" w:type="dxa"/>
          </w:tcPr>
          <w:p w14:paraId="4A7F864E" w14:textId="77777777" w:rsidR="003A701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5"/>
                <w:szCs w:val="15"/>
              </w:rPr>
              <w:t>0.003</w:t>
            </w:r>
          </w:p>
        </w:tc>
      </w:tr>
    </w:tbl>
    <w:p w14:paraId="3580B862" w14:textId="77777777" w:rsidR="003A7010" w:rsidRDefault="00000000">
      <w:pPr>
        <w:spacing w:after="100"/>
        <w:jc w:val="center"/>
      </w:pPr>
      <w:r>
        <w:rPr>
          <w:i/>
          <w:iCs/>
          <w:color w:val="595959"/>
          <w:sz w:val="15"/>
          <w:szCs w:val="15"/>
        </w:rPr>
        <w:t>Tablo 1. Regresyon sonuçları (mavi hücre = p&lt;0,05 anlamlı), dolar betasına göre sıralı.</w:t>
      </w:r>
    </w:p>
    <w:p w14:paraId="262E486B" w14:textId="77777777" w:rsidR="003A7010" w:rsidRDefault="003A7010"/>
    <w:p w14:paraId="589CE8EB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t xml:space="preserve">AS-2 (dolar şoku). </w:t>
      </w:r>
      <w:r>
        <w:rPr>
          <w:sz w:val="19"/>
          <w:szCs w:val="19"/>
        </w:rPr>
        <w:t xml:space="preserve">Doların üst %5'lik günlerinde (63 gün; |z|&gt;2 olan 35 aykırı gün çekirdek) ihracatçılar ortalama </w:t>
      </w:r>
      <w:proofErr w:type="gramStart"/>
      <w:r>
        <w:rPr>
          <w:sz w:val="19"/>
          <w:szCs w:val="19"/>
        </w:rPr>
        <w:t>%0.97</w:t>
      </w:r>
      <w:proofErr w:type="gramEnd"/>
      <w:r>
        <w:rPr>
          <w:sz w:val="19"/>
          <w:szCs w:val="19"/>
        </w:rPr>
        <w:t xml:space="preserve"> kazanırken bankalar %0.07 ile normal günlerinin (%0.29) gerisinde kaldı (Şekil 2). Regresyon bulgusu uç günlerde belirginleşir.</w:t>
      </w:r>
    </w:p>
    <w:p w14:paraId="16A0541E" w14:textId="77777777" w:rsidR="003A7010" w:rsidRDefault="00000000">
      <w:pPr>
        <w:spacing w:after="80"/>
        <w:jc w:val="both"/>
      </w:pPr>
      <w:r>
        <w:rPr>
          <w:b/>
          <w:bCs/>
          <w:sz w:val="19"/>
          <w:szCs w:val="19"/>
        </w:rPr>
        <w:lastRenderedPageBreak/>
        <w:t xml:space="preserve">AS-3 (öncülük). </w:t>
      </w:r>
      <w:r>
        <w:rPr>
          <w:sz w:val="19"/>
          <w:szCs w:val="19"/>
        </w:rPr>
        <w:t>–</w:t>
      </w:r>
      <w:proofErr w:type="gramStart"/>
      <w:r>
        <w:rPr>
          <w:sz w:val="19"/>
          <w:szCs w:val="19"/>
        </w:rPr>
        <w:t>5..</w:t>
      </w:r>
      <w:proofErr w:type="gramEnd"/>
      <w:r>
        <w:rPr>
          <w:sz w:val="19"/>
          <w:szCs w:val="19"/>
        </w:rPr>
        <w:t>+5 gün gecikmeli korelasyonların tümü zayıftır (|·|&lt;0,12); eşzamanlı değer 0.044'tür. Ne dolar ne hisse diğerini güçlü biçimde öncelemez; ilişki büyük ölçüde eşzamanlı ve zayıftır.</w:t>
      </w:r>
    </w:p>
    <w:p w14:paraId="1FC7C716" w14:textId="77777777" w:rsidR="003A7010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FB6D7E1" wp14:editId="329891A3">
            <wp:extent cx="5135012" cy="3143250"/>
            <wp:effectExtent l="0" t="0" r="8890" b="0"/>
            <wp:docPr id="1083911186" name="06_dolar_soku.png" descr="06_dolar_soku.png" title="06_dolar_sok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612" cy="315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55B5" w14:textId="77777777" w:rsidR="003A7010" w:rsidRDefault="00000000">
      <w:pPr>
        <w:spacing w:after="100"/>
        <w:jc w:val="center"/>
      </w:pPr>
      <w:r>
        <w:rPr>
          <w:i/>
          <w:iCs/>
          <w:color w:val="595959"/>
          <w:sz w:val="15"/>
          <w:szCs w:val="15"/>
        </w:rPr>
        <w:t xml:space="preserve">Şekil 2. </w:t>
      </w:r>
      <w:proofErr w:type="gramStart"/>
      <w:r>
        <w:rPr>
          <w:i/>
          <w:iCs/>
          <w:color w:val="595959"/>
          <w:sz w:val="15"/>
          <w:szCs w:val="15"/>
        </w:rPr>
        <w:t>Dolar</w:t>
      </w:r>
      <w:proofErr w:type="gramEnd"/>
      <w:r>
        <w:rPr>
          <w:i/>
          <w:iCs/>
          <w:color w:val="595959"/>
          <w:sz w:val="15"/>
          <w:szCs w:val="15"/>
        </w:rPr>
        <w:t xml:space="preserve"> şoku günlerinde ortalama getiri (mavi=ihracatçı, turuncu=banka).</w:t>
      </w:r>
    </w:p>
    <w:p w14:paraId="3C3DDBDE" w14:textId="77777777" w:rsidR="003A7010" w:rsidRDefault="00000000">
      <w:pPr>
        <w:pStyle w:val="Balk1"/>
      </w:pPr>
      <w:r>
        <w:t>5. Sınırlamalar</w:t>
      </w:r>
    </w:p>
    <w:p w14:paraId="2C28A8B2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Analiz eşzamanlı ve doğrusal ilişkileri ölçer; korelasyon/regresyon nedensellik kanıtlamaz.</w:t>
      </w:r>
    </w:p>
    <w:p w14:paraId="2EDC6E5C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Örneklem Türkiye'nin yüksek enflasyon dönemini (2021–2026) kapsar; bulgular bu makroekonomik bağlama özgüdür.</w:t>
      </w:r>
    </w:p>
    <w:p w14:paraId="59829404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Model açıklama gücü düşüktür (R²≈%1); amaç getiri tahmini değil, sektörler arası duyarlılık farkını ölçmektir.</w:t>
      </w:r>
    </w:p>
    <w:p w14:paraId="01753A12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Veri Yahoo </w:t>
      </w:r>
      <w:proofErr w:type="spellStart"/>
      <w:r>
        <w:rPr>
          <w:sz w:val="19"/>
          <w:szCs w:val="19"/>
        </w:rPr>
        <w:t>Finance'ten</w:t>
      </w:r>
      <w:proofErr w:type="spellEnd"/>
      <w:r>
        <w:rPr>
          <w:sz w:val="19"/>
          <w:szCs w:val="19"/>
        </w:rPr>
        <w:t xml:space="preserve"> canlı çekilir; geçmiş veri revizyonları katsayıların son basamaklarını önemsizce değiştirebilir.</w:t>
      </w:r>
    </w:p>
    <w:p w14:paraId="09416523" w14:textId="77777777" w:rsidR="003A7010" w:rsidRDefault="00000000">
      <w:pPr>
        <w:pStyle w:val="Balk1"/>
      </w:pPr>
      <w:r>
        <w:t>6. Öğrenilenler ve Sonuç</w:t>
      </w:r>
    </w:p>
    <w:p w14:paraId="01828B13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Çok kaynaklı zaman serilerini birleştirirken </w:t>
      </w:r>
      <w:r>
        <w:rPr>
          <w:b/>
          <w:bCs/>
          <w:sz w:val="19"/>
          <w:szCs w:val="19"/>
        </w:rPr>
        <w:t>takvim hizalaması</w:t>
      </w:r>
      <w:r>
        <w:rPr>
          <w:sz w:val="19"/>
          <w:szCs w:val="19"/>
        </w:rPr>
        <w:t xml:space="preserve"> kritik: farklı tatil günleri düzeltilmezse eksik/kaymış veri sahte sonuç üretir.</w:t>
      </w:r>
    </w:p>
    <w:p w14:paraId="081DFCBC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Korelasyon ve regresyondan önce </w:t>
      </w:r>
      <w:r>
        <w:rPr>
          <w:b/>
          <w:bCs/>
          <w:sz w:val="19"/>
          <w:szCs w:val="19"/>
        </w:rPr>
        <w:t>durağanlaştırma</w:t>
      </w:r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fiyat→getiri</w:t>
      </w:r>
      <w:proofErr w:type="spellEnd"/>
      <w:r>
        <w:rPr>
          <w:sz w:val="19"/>
          <w:szCs w:val="19"/>
        </w:rPr>
        <w:t>) zorunlu; aksi halde trend kaynaklı sahte korelasyon oluşur.</w:t>
      </w:r>
    </w:p>
    <w:p w14:paraId="01756333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Aykırı değer her zaman </w:t>
      </w:r>
      <w:r>
        <w:rPr>
          <w:b/>
          <w:bCs/>
          <w:sz w:val="19"/>
          <w:szCs w:val="19"/>
        </w:rPr>
        <w:t>hata değildir</w:t>
      </w:r>
      <w:r>
        <w:rPr>
          <w:sz w:val="19"/>
          <w:szCs w:val="19"/>
        </w:rPr>
        <w:t>; alan bilgisiyle değerlendirilmeli — burada uç günler silinmeyip en değerli bulgunun (AS-2) kaynağı oldu.</w:t>
      </w:r>
    </w:p>
    <w:p w14:paraId="0F6B46EA" w14:textId="77777777" w:rsidR="003A7010" w:rsidRDefault="00000000">
      <w:pPr>
        <w:pStyle w:val="ListeParagraf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Düşük R² bir </w:t>
      </w:r>
      <w:r>
        <w:rPr>
          <w:b/>
          <w:bCs/>
          <w:sz w:val="19"/>
          <w:szCs w:val="19"/>
        </w:rPr>
        <w:t>başarısızlık değil, geçerli bir bulgudur</w:t>
      </w:r>
      <w:r>
        <w:rPr>
          <w:sz w:val="19"/>
          <w:szCs w:val="19"/>
        </w:rPr>
        <w:t>; modelin amacı doğru yorumlandığında anlam kazanır.</w:t>
      </w:r>
    </w:p>
    <w:p w14:paraId="218C3901" w14:textId="77777777" w:rsidR="003A7010" w:rsidRDefault="00000000">
      <w:pPr>
        <w:spacing w:after="80"/>
        <w:jc w:val="both"/>
      </w:pPr>
      <w:r>
        <w:rPr>
          <w:sz w:val="19"/>
          <w:szCs w:val="19"/>
        </w:rPr>
        <w:t xml:space="preserve">Sonuç: BIST </w:t>
      </w:r>
      <w:proofErr w:type="spellStart"/>
      <w:r>
        <w:rPr>
          <w:sz w:val="19"/>
          <w:szCs w:val="19"/>
        </w:rPr>
        <w:t>blue-chip</w:t>
      </w:r>
      <w:proofErr w:type="spellEnd"/>
      <w:r>
        <w:rPr>
          <w:sz w:val="19"/>
          <w:szCs w:val="19"/>
        </w:rPr>
        <w:t xml:space="preserve"> şirketlerinin dolar duyarlılığı sektöre göre anlamlı biçimde farklılaşır (ihracatçılar pozitif, bankalar tepkisiz) ve bu ayrışma dolar şoku günlerinde en yüksek düzeye çıkar; ancak günlük ölçekte kur ile borsa arasında güçlü bir öncülük ilişkisi yoktur. Tüm iş akışı tek bir çalışır </w:t>
      </w:r>
      <w:proofErr w:type="spellStart"/>
      <w:r>
        <w:rPr>
          <w:sz w:val="19"/>
          <w:szCs w:val="19"/>
        </w:rPr>
        <w:t>notebook'ta</w:t>
      </w:r>
      <w:proofErr w:type="spellEnd"/>
      <w:r>
        <w:rPr>
          <w:sz w:val="19"/>
          <w:szCs w:val="19"/>
        </w:rPr>
        <w:t xml:space="preserve"> (</w:t>
      </w:r>
      <w:proofErr w:type="spellStart"/>
      <w:proofErr w:type="gramStart"/>
      <w:r>
        <w:rPr>
          <w:i/>
          <w:iCs/>
          <w:sz w:val="19"/>
          <w:szCs w:val="19"/>
        </w:rPr>
        <w:t>analiz.ipynb</w:t>
      </w:r>
      <w:proofErr w:type="spellEnd"/>
      <w:proofErr w:type="gramEnd"/>
      <w:r>
        <w:rPr>
          <w:sz w:val="19"/>
          <w:szCs w:val="19"/>
        </w:rPr>
        <w:t>) yeniden üretilebilir biçimde belgelenmiştir.</w:t>
      </w:r>
    </w:p>
    <w:sectPr w:rsidR="003A7010">
      <w:footerReference w:type="default" r:id="rId10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BB9C" w14:textId="77777777" w:rsidR="00F8491E" w:rsidRDefault="00F8491E">
      <w:pPr>
        <w:spacing w:before="0" w:after="0" w:line="240" w:lineRule="auto"/>
      </w:pPr>
      <w:r>
        <w:separator/>
      </w:r>
    </w:p>
  </w:endnote>
  <w:endnote w:type="continuationSeparator" w:id="0">
    <w:p w14:paraId="3DA32A83" w14:textId="77777777" w:rsidR="00F8491E" w:rsidRDefault="00F849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5A3D" w14:textId="77777777" w:rsidR="003A7010" w:rsidRDefault="00000000">
    <w:pPr>
      <w:jc w:val="center"/>
    </w:pPr>
    <w:r>
      <w:rPr>
        <w:color w:val="808080"/>
        <w:sz w:val="15"/>
        <w:szCs w:val="15"/>
      </w:rPr>
      <w:t xml:space="preserve">Sayfa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AE1F75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2594" w14:textId="77777777" w:rsidR="00F8491E" w:rsidRDefault="00F8491E">
      <w:pPr>
        <w:spacing w:before="0" w:after="0" w:line="240" w:lineRule="auto"/>
      </w:pPr>
      <w:r>
        <w:separator/>
      </w:r>
    </w:p>
  </w:footnote>
  <w:footnote w:type="continuationSeparator" w:id="0">
    <w:p w14:paraId="53429BB4" w14:textId="77777777" w:rsidR="00F8491E" w:rsidRDefault="00F8491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B4CC0"/>
    <w:multiLevelType w:val="hybridMultilevel"/>
    <w:tmpl w:val="AB289878"/>
    <w:lvl w:ilvl="0" w:tplc="B7C48BF4">
      <w:start w:val="1"/>
      <w:numFmt w:val="bullet"/>
      <w:lvlText w:val="●"/>
      <w:lvlJc w:val="left"/>
      <w:pPr>
        <w:ind w:left="720" w:hanging="360"/>
      </w:pPr>
    </w:lvl>
    <w:lvl w:ilvl="1" w:tplc="98FC6476">
      <w:start w:val="1"/>
      <w:numFmt w:val="bullet"/>
      <w:lvlText w:val="○"/>
      <w:lvlJc w:val="left"/>
      <w:pPr>
        <w:ind w:left="1440" w:hanging="360"/>
      </w:pPr>
    </w:lvl>
    <w:lvl w:ilvl="2" w:tplc="7B4CA862">
      <w:start w:val="1"/>
      <w:numFmt w:val="bullet"/>
      <w:lvlText w:val="■"/>
      <w:lvlJc w:val="left"/>
      <w:pPr>
        <w:ind w:left="2160" w:hanging="360"/>
      </w:pPr>
    </w:lvl>
    <w:lvl w:ilvl="3" w:tplc="57FCB5E4">
      <w:start w:val="1"/>
      <w:numFmt w:val="bullet"/>
      <w:lvlText w:val="●"/>
      <w:lvlJc w:val="left"/>
      <w:pPr>
        <w:ind w:left="2880" w:hanging="360"/>
      </w:pPr>
    </w:lvl>
    <w:lvl w:ilvl="4" w:tplc="5F48B304">
      <w:start w:val="1"/>
      <w:numFmt w:val="bullet"/>
      <w:lvlText w:val="○"/>
      <w:lvlJc w:val="left"/>
      <w:pPr>
        <w:ind w:left="3600" w:hanging="360"/>
      </w:pPr>
    </w:lvl>
    <w:lvl w:ilvl="5" w:tplc="43AA2578">
      <w:start w:val="1"/>
      <w:numFmt w:val="bullet"/>
      <w:lvlText w:val="■"/>
      <w:lvlJc w:val="left"/>
      <w:pPr>
        <w:ind w:left="4320" w:hanging="360"/>
      </w:pPr>
    </w:lvl>
    <w:lvl w:ilvl="6" w:tplc="CCC8A812">
      <w:start w:val="1"/>
      <w:numFmt w:val="bullet"/>
      <w:lvlText w:val="●"/>
      <w:lvlJc w:val="left"/>
      <w:pPr>
        <w:ind w:left="5040" w:hanging="360"/>
      </w:pPr>
    </w:lvl>
    <w:lvl w:ilvl="7" w:tplc="4CD87D54">
      <w:start w:val="1"/>
      <w:numFmt w:val="bullet"/>
      <w:lvlText w:val="●"/>
      <w:lvlJc w:val="left"/>
      <w:pPr>
        <w:ind w:left="5760" w:hanging="360"/>
      </w:pPr>
    </w:lvl>
    <w:lvl w:ilvl="8" w:tplc="8744D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294B80"/>
    <w:multiLevelType w:val="hybridMultilevel"/>
    <w:tmpl w:val="49EA0A2C"/>
    <w:lvl w:ilvl="0" w:tplc="B56A260E">
      <w:start w:val="1"/>
      <w:numFmt w:val="bullet"/>
      <w:lvlText w:val="•"/>
      <w:lvlJc w:val="left"/>
      <w:pPr>
        <w:ind w:left="460" w:hanging="240"/>
      </w:pPr>
    </w:lvl>
    <w:lvl w:ilvl="1" w:tplc="331C02E0">
      <w:numFmt w:val="decimal"/>
      <w:lvlText w:val=""/>
      <w:lvlJc w:val="left"/>
    </w:lvl>
    <w:lvl w:ilvl="2" w:tplc="B3A65406">
      <w:numFmt w:val="decimal"/>
      <w:lvlText w:val=""/>
      <w:lvlJc w:val="left"/>
    </w:lvl>
    <w:lvl w:ilvl="3" w:tplc="C04A5A08">
      <w:numFmt w:val="decimal"/>
      <w:lvlText w:val=""/>
      <w:lvlJc w:val="left"/>
    </w:lvl>
    <w:lvl w:ilvl="4" w:tplc="3F96C564">
      <w:numFmt w:val="decimal"/>
      <w:lvlText w:val=""/>
      <w:lvlJc w:val="left"/>
    </w:lvl>
    <w:lvl w:ilvl="5" w:tplc="1A50CE86">
      <w:numFmt w:val="decimal"/>
      <w:lvlText w:val=""/>
      <w:lvlJc w:val="left"/>
    </w:lvl>
    <w:lvl w:ilvl="6" w:tplc="8B4C5F7A">
      <w:numFmt w:val="decimal"/>
      <w:lvlText w:val=""/>
      <w:lvlJc w:val="left"/>
    </w:lvl>
    <w:lvl w:ilvl="7" w:tplc="520861B8">
      <w:numFmt w:val="decimal"/>
      <w:lvlText w:val=""/>
      <w:lvlJc w:val="left"/>
    </w:lvl>
    <w:lvl w:ilvl="8" w:tplc="3EE4455A">
      <w:numFmt w:val="decimal"/>
      <w:lvlText w:val=""/>
      <w:lvlJc w:val="left"/>
    </w:lvl>
  </w:abstractNum>
  <w:num w:numId="1" w16cid:durableId="657809512">
    <w:abstractNumId w:val="0"/>
    <w:lvlOverride w:ilvl="0">
      <w:startOverride w:val="1"/>
    </w:lvlOverride>
  </w:num>
  <w:num w:numId="2" w16cid:durableId="857550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010"/>
    <w:rsid w:val="003A7010"/>
    <w:rsid w:val="00833CF5"/>
    <w:rsid w:val="00AE1F75"/>
    <w:rsid w:val="00F644A7"/>
    <w:rsid w:val="00F8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61B2"/>
  <w15:docId w15:val="{95264D4F-9E0B-4065-A38B-8568B1EB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F75"/>
  </w:style>
  <w:style w:type="paragraph" w:styleId="Balk1">
    <w:name w:val="heading 1"/>
    <w:basedOn w:val="Normal"/>
    <w:next w:val="Normal"/>
    <w:link w:val="Balk1Char"/>
    <w:uiPriority w:val="9"/>
    <w:qFormat/>
    <w:rsid w:val="00AE1F75"/>
    <w:pPr>
      <w:pBdr>
        <w:top w:val="single" w:sz="24" w:space="0" w:color="000000" w:themeColor="accent1"/>
        <w:left w:val="single" w:sz="24" w:space="0" w:color="000000" w:themeColor="accent1"/>
        <w:bottom w:val="single" w:sz="24" w:space="0" w:color="000000" w:themeColor="accent1"/>
        <w:right w:val="single" w:sz="24" w:space="0" w:color="000000" w:themeColor="accent1"/>
      </w:pBdr>
      <w:shd w:val="clear" w:color="auto" w:fill="00000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F75"/>
    <w:pPr>
      <w:pBdr>
        <w:top w:val="single" w:sz="24" w:space="0" w:color="CCCCCC" w:themeColor="accent1" w:themeTint="33"/>
        <w:left w:val="single" w:sz="24" w:space="0" w:color="CCCCCC" w:themeColor="accent1" w:themeTint="33"/>
        <w:bottom w:val="single" w:sz="24" w:space="0" w:color="CCCCCC" w:themeColor="accent1" w:themeTint="33"/>
        <w:right w:val="single" w:sz="24" w:space="0" w:color="CCCCCC" w:themeColor="accent1" w:themeTint="33"/>
      </w:pBdr>
      <w:shd w:val="clear" w:color="auto" w:fill="CCCCCC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F75"/>
    <w:pPr>
      <w:pBdr>
        <w:top w:val="single" w:sz="6" w:space="2" w:color="000000" w:themeColor="accent1"/>
      </w:pBdr>
      <w:spacing w:before="300" w:after="0"/>
      <w:outlineLvl w:val="2"/>
    </w:pPr>
    <w:rPr>
      <w:caps/>
      <w:color w:val="000000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F75"/>
    <w:pPr>
      <w:pBdr>
        <w:top w:val="dotted" w:sz="6" w:space="2" w:color="000000" w:themeColor="accent1"/>
      </w:pBdr>
      <w:spacing w:before="200" w:after="0"/>
      <w:outlineLvl w:val="3"/>
    </w:pPr>
    <w:rPr>
      <w:caps/>
      <w:color w:val="000000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F75"/>
    <w:pPr>
      <w:pBdr>
        <w:bottom w:val="single" w:sz="6" w:space="1" w:color="000000" w:themeColor="accent1"/>
      </w:pBdr>
      <w:spacing w:before="200" w:after="0"/>
      <w:outlineLvl w:val="4"/>
    </w:pPr>
    <w:rPr>
      <w:caps/>
      <w:color w:val="000000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F75"/>
    <w:pPr>
      <w:pBdr>
        <w:bottom w:val="dotted" w:sz="6" w:space="1" w:color="000000" w:themeColor="accent1"/>
      </w:pBdr>
      <w:spacing w:before="200" w:after="0"/>
      <w:outlineLvl w:val="5"/>
    </w:pPr>
    <w:rPr>
      <w:caps/>
      <w:color w:val="000000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F75"/>
    <w:pPr>
      <w:spacing w:before="200" w:after="0"/>
      <w:outlineLvl w:val="6"/>
    </w:pPr>
    <w:rPr>
      <w:caps/>
      <w:color w:val="000000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F7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F7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AE1F75"/>
    <w:pPr>
      <w:spacing w:before="0" w:after="0"/>
    </w:pPr>
    <w:rPr>
      <w:rFonts w:asciiTheme="majorHAnsi" w:eastAsiaTheme="majorEastAsia" w:hAnsiTheme="majorHAnsi" w:cstheme="majorBidi"/>
      <w:caps/>
      <w:color w:val="000000" w:themeColor="accent1"/>
      <w:spacing w:val="10"/>
      <w:sz w:val="52"/>
      <w:szCs w:val="52"/>
    </w:rPr>
  </w:style>
  <w:style w:type="paragraph" w:customStyle="1" w:styleId="Gl1">
    <w:name w:val="Güçlü1"/>
    <w:rPr>
      <w:b/>
      <w:bCs/>
    </w:rPr>
  </w:style>
  <w:style w:type="paragraph" w:styleId="ListeParagraf">
    <w:name w:val="List Paragraph"/>
    <w:uiPriority w:val="34"/>
    <w:qFormat/>
    <w:pPr>
      <w:ind w:left="720"/>
      <w:contextualSpacing/>
    </w:pPr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pPr>
      <w:spacing w:after="0" w:line="240" w:lineRule="auto"/>
    </w:p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pPr>
      <w:spacing w:after="0" w:line="240" w:lineRule="auto"/>
    </w:p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AE1F75"/>
    <w:rPr>
      <w:caps/>
      <w:color w:val="FFFFFF" w:themeColor="background1"/>
      <w:spacing w:val="15"/>
      <w:sz w:val="22"/>
      <w:szCs w:val="22"/>
      <w:shd w:val="clear" w:color="auto" w:fill="000000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F75"/>
    <w:rPr>
      <w:caps/>
      <w:spacing w:val="15"/>
      <w:shd w:val="clear" w:color="auto" w:fill="CCCCCC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F75"/>
    <w:rPr>
      <w:caps/>
      <w:color w:val="000000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F75"/>
    <w:rPr>
      <w:caps/>
      <w:color w:val="000000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F75"/>
    <w:rPr>
      <w:caps/>
      <w:color w:val="000000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F75"/>
    <w:rPr>
      <w:caps/>
      <w:color w:val="000000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F75"/>
    <w:rPr>
      <w:caps/>
      <w:color w:val="000000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F75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F75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AE1F75"/>
    <w:rPr>
      <w:b/>
      <w:bCs/>
      <w:color w:val="000000" w:themeColor="accent1" w:themeShade="BF"/>
      <w:sz w:val="16"/>
      <w:szCs w:val="1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F75"/>
    <w:rPr>
      <w:rFonts w:asciiTheme="majorHAnsi" w:eastAsiaTheme="majorEastAsia" w:hAnsiTheme="majorHAnsi" w:cstheme="majorBidi"/>
      <w:caps/>
      <w:color w:val="000000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AE1F75"/>
    <w:pPr>
      <w:spacing w:before="0" w:after="500" w:line="240" w:lineRule="auto"/>
    </w:pPr>
    <w:rPr>
      <w:caps/>
      <w:color w:val="FFFFFF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AE1F75"/>
    <w:rPr>
      <w:caps/>
      <w:color w:val="FFFFFF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AE1F75"/>
    <w:rPr>
      <w:b/>
      <w:bCs/>
    </w:rPr>
  </w:style>
  <w:style w:type="character" w:styleId="Vurgu">
    <w:name w:val="Emphasis"/>
    <w:uiPriority w:val="20"/>
    <w:qFormat/>
    <w:rsid w:val="00AE1F75"/>
    <w:rPr>
      <w:caps/>
      <w:color w:val="000000" w:themeColor="accent1" w:themeShade="7F"/>
      <w:spacing w:val="5"/>
    </w:rPr>
  </w:style>
  <w:style w:type="paragraph" w:styleId="AralkYok">
    <w:name w:val="No Spacing"/>
    <w:uiPriority w:val="1"/>
    <w:qFormat/>
    <w:rsid w:val="00AE1F75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AE1F75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AE1F75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F75"/>
    <w:pPr>
      <w:spacing w:before="240" w:after="240" w:line="240" w:lineRule="auto"/>
      <w:ind w:left="1080" w:right="1080"/>
      <w:jc w:val="center"/>
    </w:pPr>
    <w:rPr>
      <w:color w:val="000000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F75"/>
    <w:rPr>
      <w:color w:val="000000" w:themeColor="accent1"/>
      <w:sz w:val="24"/>
      <w:szCs w:val="24"/>
    </w:rPr>
  </w:style>
  <w:style w:type="character" w:styleId="HafifVurgulama">
    <w:name w:val="Subtle Emphasis"/>
    <w:uiPriority w:val="19"/>
    <w:qFormat/>
    <w:rsid w:val="00AE1F75"/>
    <w:rPr>
      <w:i/>
      <w:iCs/>
      <w:color w:val="000000" w:themeColor="accent1" w:themeShade="7F"/>
    </w:rPr>
  </w:style>
  <w:style w:type="character" w:styleId="GlVurgulama">
    <w:name w:val="Intense Emphasis"/>
    <w:uiPriority w:val="21"/>
    <w:qFormat/>
    <w:rsid w:val="00AE1F75"/>
    <w:rPr>
      <w:b/>
      <w:bCs/>
      <w:caps/>
      <w:color w:val="000000" w:themeColor="accent1" w:themeShade="7F"/>
      <w:spacing w:val="10"/>
    </w:rPr>
  </w:style>
  <w:style w:type="character" w:styleId="HafifBavuru">
    <w:name w:val="Subtle Reference"/>
    <w:uiPriority w:val="31"/>
    <w:qFormat/>
    <w:rsid w:val="00AE1F75"/>
    <w:rPr>
      <w:b/>
      <w:bCs/>
      <w:color w:val="000000" w:themeColor="accent1"/>
    </w:rPr>
  </w:style>
  <w:style w:type="character" w:styleId="GlBavuru">
    <w:name w:val="Intense Reference"/>
    <w:uiPriority w:val="32"/>
    <w:qFormat/>
    <w:rsid w:val="00AE1F75"/>
    <w:rPr>
      <w:b/>
      <w:bCs/>
      <w:i/>
      <w:iCs/>
      <w:caps/>
      <w:color w:val="000000" w:themeColor="accent1"/>
    </w:rPr>
  </w:style>
  <w:style w:type="character" w:styleId="KitapBal">
    <w:name w:val="Book Title"/>
    <w:uiPriority w:val="33"/>
    <w:qFormat/>
    <w:rsid w:val="00AE1F75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AE1F75"/>
    <w:pPr>
      <w:outlineLvl w:val="9"/>
    </w:pPr>
  </w:style>
  <w:style w:type="table" w:styleId="KlavuzuTablo4-Vurgu1">
    <w:name w:val="Grid Table 4 Accent 1"/>
    <w:basedOn w:val="NormalTablo"/>
    <w:uiPriority w:val="49"/>
    <w:rsid w:val="00AE1F7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1" w:themeTint="99"/>
        <w:left w:val="single" w:sz="4" w:space="0" w:color="666666" w:themeColor="accent1" w:themeTint="99"/>
        <w:bottom w:val="single" w:sz="4" w:space="0" w:color="666666" w:themeColor="accent1" w:themeTint="99"/>
        <w:right w:val="single" w:sz="4" w:space="0" w:color="666666" w:themeColor="accent1" w:themeTint="99"/>
        <w:insideH w:val="single" w:sz="4" w:space="0" w:color="666666" w:themeColor="accent1" w:themeTint="99"/>
        <w:insideV w:val="single" w:sz="4" w:space="0" w:color="6666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/>
          <w:insideV w:val="nil"/>
        </w:tcBorders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1" w:themeFillTint="33"/>
      </w:tcPr>
    </w:tblStylePr>
    <w:tblStylePr w:type="band1Horz">
      <w:tblPr/>
      <w:tcPr>
        <w:shd w:val="clear" w:color="auto" w:fill="CCCCCC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Özel 2">
      <a:dk1>
        <a:srgbClr val="FFFFFF"/>
      </a:dk1>
      <a:lt1>
        <a:srgbClr val="FFFFFF"/>
      </a:lt1>
      <a:dk2>
        <a:srgbClr val="FFFFFF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2144D-62F8-40DA-BD17-B806692E1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Veri Bilimi Dönem Projesi</dc:creator>
  <cp:lastModifiedBy>YASIN AYDIN</cp:lastModifiedBy>
  <cp:revision>3</cp:revision>
  <dcterms:created xsi:type="dcterms:W3CDTF">2026-07-03T06:08:00Z</dcterms:created>
  <dcterms:modified xsi:type="dcterms:W3CDTF">2026-07-03T07:01:00Z</dcterms:modified>
</cp:coreProperties>
</file>