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283"/>
        <w:gridCol w:w="9355"/>
      </w:tblGrid>
      <w:tr>
        <w:trPr>
          <w:cantSplit/>
        </w:trPr>
        <w:tc>
          <w:tcPr>
            <w:tcW w:type="dxa" w:w="283"/>
            <w:shd w:val="clear" w:color="auto" w:fill="F5A800"/>
          </w:tcPr>
          <w:p/>
        </w:tc>
        <w:tc>
          <w:tcPr>
            <w:tcW w:type="dxa" w:w="9354"/>
            <w:shd w:val="clear" w:color="auto" w:fill="14264B"/>
            <w:tcMar>
              <w:top w:w="150" w:type="dxa"/>
              <w:left w:w="260" w:type="dxa"/>
              <w:bottom w:w="150" w:type="dxa"/>
              <w:right w:w="200" w:type="dxa"/>
            </w:tcMar>
          </w:tcPr>
          <w:p>
            <w:pPr>
              <w:spacing w:after="40"/>
            </w:pPr>
            <w:r>
              <w:rPr>
                <w:rFonts w:ascii="Arial" w:hAnsi="Arial" w:eastAsia="Arial"/>
                <w:b/>
                <w:i w:val="0"/>
                <w:color w:val="F5A800"/>
                <w:sz w:val="18"/>
              </w:rPr>
              <w:t>PROJEKTSKIZZE</w:t>
            </w:r>
          </w:p>
          <w:p>
            <w:pPr>
              <w:spacing w:after="40"/>
            </w:pPr>
            <w:r>
              <w:rPr>
                <w:rFonts w:ascii="Arial" w:hAnsi="Arial" w:eastAsia="Arial"/>
                <w:b/>
                <w:i w:val="0"/>
                <w:color w:val="FFFFFF"/>
                <w:sz w:val="38"/>
              </w:rPr>
              <w:t>Rechte und Pflichten aus dem Ausbildungsvertrag</w:t>
            </w:r>
          </w:p>
          <w:p>
            <w:pPr>
              <w:spacing w:after="0"/>
            </w:pPr>
            <w:r>
              <w:rPr>
                <w:rFonts w:ascii="Arial" w:hAnsi="Arial" w:eastAsia="Arial"/>
                <w:b w:val="0"/>
                <w:i w:val="0"/>
                <w:color w:val="DCE3F2"/>
                <w:sz w:val="19"/>
              </w:rPr>
              <w:t>Themenschwerpunkt Verkürzer · Kaufleute für Büromanagement · Präsentation am 08.10.2026</w:t>
            </w:r>
          </w:p>
        </w:tc>
      </w:tr>
    </w:tbl>
    <w:p>
      <w:pPr>
        <w:keepNext/>
        <w:spacing w:before="180" w:after="60"/>
        <w:pBdr>
          <w:left w:val="single" w:sz="36" w:space="6" w:color="F5A800"/>
        </w:pBdr>
        <w:ind w:left="142"/>
      </w:pPr>
      <w:r>
        <w:rPr>
          <w:rFonts w:ascii="Arial" w:hAnsi="Arial" w:eastAsia="Arial"/>
          <w:b/>
          <w:i w:val="0"/>
          <w:color w:val="B07A00"/>
          <w:sz w:val="23"/>
        </w:rPr>
        <w:t xml:space="preserve">1.  </w:t>
      </w:r>
      <w:r>
        <w:rPr>
          <w:rFonts w:ascii="Arial" w:hAnsi="Arial" w:eastAsia="Arial"/>
          <w:b/>
          <w:i w:val="0"/>
          <w:color w:val="14264B"/>
          <w:sz w:val="23"/>
        </w:rPr>
        <w:t>Vorläufiger Arbeitstitel</w:t>
      </w:r>
    </w:p>
    <w:p>
      <w:pPr>
        <w:spacing w:after="60" w:before="0" w:line="276" w:lineRule="auto"/>
      </w:pPr>
      <w:r>
        <w:rPr>
          <w:rFonts w:ascii="Arial" w:hAnsi="Arial" w:eastAsia="Arial"/>
          <w:b w:val="0"/>
          <w:i w:val="0"/>
          <w:color w:val="1A2238"/>
          <w:sz w:val="20"/>
        </w:rPr>
        <w:t>Rechte und Pflichten aus dem Ausbildungsvertrag – Prüfungsvorbereitungsbooklet für die IHK-Abschlussprüfung in Wirtschafts- und Sozialkunde</w:t>
      </w:r>
    </w:p>
    <w:p>
      <w:pPr>
        <w:keepNext/>
        <w:spacing w:before="180" w:after="60"/>
        <w:pBdr>
          <w:left w:val="single" w:sz="36" w:space="6" w:color="F5A800"/>
        </w:pBdr>
        <w:ind w:left="142"/>
      </w:pPr>
      <w:r>
        <w:rPr>
          <w:rFonts w:ascii="Arial" w:hAnsi="Arial" w:eastAsia="Arial"/>
          <w:b/>
          <w:i w:val="0"/>
          <w:color w:val="B07A00"/>
          <w:sz w:val="23"/>
        </w:rPr>
        <w:t xml:space="preserve">2.  </w:t>
      </w:r>
      <w:r>
        <w:rPr>
          <w:rFonts w:ascii="Arial" w:hAnsi="Arial" w:eastAsia="Arial"/>
          <w:b/>
          <w:i w:val="0"/>
          <w:color w:val="14264B"/>
          <w:sz w:val="23"/>
        </w:rPr>
        <w:t>Einreicher / Ansprechpartner</w:t>
      </w:r>
    </w:p>
    <w:p>
      <w:pPr>
        <w:spacing w:after="60" w:before="0" w:line="276" w:lineRule="auto"/>
      </w:pPr>
      <w:r>
        <w:rPr>
          <w:rFonts w:ascii="Arial" w:hAnsi="Arial" w:eastAsia="Arial"/>
          <w:b/>
          <w:i w:val="0"/>
          <w:color w:val="14264B"/>
          <w:sz w:val="20"/>
        </w:rPr>
        <w:t>Yasin &amp; Mido</w:t>
      </w:r>
      <w:r>
        <w:rPr>
          <w:rFonts w:ascii="Arial" w:hAnsi="Arial" w:eastAsia="Arial"/>
          <w:b w:val="0"/>
          <w:i w:val="0"/>
          <w:color w:val="1A2238"/>
          <w:sz w:val="20"/>
        </w:rPr>
        <w:t xml:space="preserve">  ·  [Klasse und Kontakt eintragen]</w:t>
      </w:r>
    </w:p>
    <w:p>
      <w:pPr>
        <w:keepNext/>
        <w:spacing w:before="180" w:after="60"/>
        <w:pBdr>
          <w:left w:val="single" w:sz="36" w:space="6" w:color="F5A800"/>
        </w:pBdr>
        <w:ind w:left="142"/>
      </w:pPr>
      <w:r>
        <w:rPr>
          <w:rFonts w:ascii="Arial" w:hAnsi="Arial" w:eastAsia="Arial"/>
          <w:b/>
          <w:i w:val="0"/>
          <w:color w:val="B07A00"/>
          <w:sz w:val="23"/>
        </w:rPr>
        <w:t xml:space="preserve">3.  </w:t>
      </w:r>
      <w:r>
        <w:rPr>
          <w:rFonts w:ascii="Arial" w:hAnsi="Arial" w:eastAsia="Arial"/>
          <w:b/>
          <w:i w:val="0"/>
          <w:color w:val="14264B"/>
          <w:sz w:val="23"/>
        </w:rPr>
        <w:t>Vorläufige Umschreibung der Projektidee</w:t>
      </w:r>
    </w:p>
    <w:p>
      <w:pPr>
        <w:spacing w:after="60" w:before="0" w:line="276" w:lineRule="auto"/>
      </w:pPr>
      <w:r>
        <w:rPr>
          <w:rFonts w:ascii="Arial" w:hAnsi="Arial" w:eastAsia="Arial"/>
          <w:b w:val="0"/>
          <w:i w:val="0"/>
          <w:color w:val="1A2238"/>
          <w:sz w:val="20"/>
        </w:rPr>
        <w:t>Wir werden ein Prüfungsvorbereitungsbooklet zu einem Thema der schriftlichen IHK-Abschlussprüfung in Wirtschafts- und Sozialkunde erstellen: „Rechte und Pflichten aus dem Ausbildungsvertrag“ (Unterpunkt 0103 im Prüfungskatalog). Auf 25 Seiten soll es die sechs Prüfungsinhalte – Beginn und Dauer der Ausbildung, tägliche Ausbildungszeit, Vergütung, Urlaub, Probezeit und Kündigung – sowie die Pflichten von Auszubildenden und Ausbildenden in einfacher Sprache erklären. Rechtsgrundlage ist vor allem das Berufsbildungsgesetz (BBiG).</w:t>
      </w:r>
    </w:p>
    <w:p>
      <w:pPr>
        <w:spacing w:after="60" w:before="0" w:line="276" w:lineRule="auto"/>
      </w:pPr>
      <w:r>
        <w:rPr>
          <w:rFonts w:ascii="Arial" w:hAnsi="Arial" w:eastAsia="Arial"/>
          <w:b w:val="0"/>
          <w:i w:val="0"/>
          <w:color w:val="1A2238"/>
          <w:sz w:val="20"/>
        </w:rPr>
        <w:t>Das Booklet wird ein Merkblatt für eine Seite, Aufgaben im Prüfungsformat mit Erwartungshorizont (Lösung, Paragraf, Begründung), drei Quizrunden sowie Glossar und Quellenverzeichnis enthalten. Die Praxisbeispiele sollen aus einem anonymisierten, eigenen Ausbildungsvertrag stammen.</w:t>
      </w:r>
    </w:p>
    <w:p>
      <w:pPr>
        <w:spacing w:after="40" w:before="0" w:line="276" w:lineRule="auto"/>
      </w:pPr>
      <w:r>
        <w:rPr>
          <w:rFonts w:ascii="Arial" w:hAnsi="Arial" w:eastAsia="Arial"/>
          <w:b w:val="0"/>
          <w:i w:val="0"/>
          <w:color w:val="1A2238"/>
          <w:sz w:val="20"/>
        </w:rPr>
        <w:t>Ergänzend planen wir eine 45-minütige Präsentation mit anschließendem Prüfungstraining für die Klasse (fünf Stationen), ein Quiz als HTML-Datei und einen Projektbericht.</w:t>
      </w:r>
    </w:p>
    <w:p>
      <w:pPr>
        <w:keepNext/>
        <w:spacing w:before="180" w:after="60"/>
        <w:pBdr>
          <w:left w:val="single" w:sz="36" w:space="6" w:color="F5A800"/>
        </w:pBdr>
        <w:ind w:left="142"/>
      </w:pPr>
      <w:r>
        <w:rPr>
          <w:rFonts w:ascii="Arial" w:hAnsi="Arial" w:eastAsia="Arial"/>
          <w:b/>
          <w:i w:val="0"/>
          <w:color w:val="B07A00"/>
          <w:sz w:val="23"/>
        </w:rPr>
        <w:t xml:space="preserve">4.  </w:t>
      </w:r>
      <w:r>
        <w:rPr>
          <w:rFonts w:ascii="Arial" w:hAnsi="Arial" w:eastAsia="Arial"/>
          <w:b/>
          <w:i w:val="0"/>
          <w:color w:val="14264B"/>
          <w:sz w:val="23"/>
        </w:rPr>
        <w:t>Vorteile / erwarteter Nutzen</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Mitschüler: </w:t>
      </w:r>
      <w:r>
        <w:rPr>
          <w:rFonts w:ascii="Arial" w:hAnsi="Arial" w:eastAsia="Arial"/>
          <w:b w:val="0"/>
          <w:i w:val="0"/>
          <w:color w:val="1A2238"/>
          <w:sz w:val="20"/>
        </w:rPr>
        <w:t>Zum Ausbildungsvertrag gibt es bisher kein kompaktes Lernmaterial mit Aufgaben und Lösungen. Unser Booklet erklärt die Regeln in einfacher Sprache statt Gesetzesdeutsch und bereitet auf die Abschlussprüfung am 25.11.2026 vor.</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Prüfungsnah: </w:t>
      </w:r>
      <w:r>
        <w:rPr>
          <w:rFonts w:ascii="Arial" w:hAnsi="Arial" w:eastAsia="Arial"/>
          <w:b w:val="0"/>
          <w:i w:val="0"/>
          <w:color w:val="1A2238"/>
          <w:sz w:val="20"/>
        </w:rPr>
        <w:t>Wirtschafts- und Sozialkunde dauert 60 Minuten, besteht aus fallbezogenen Aufgaben und zählt 10 % der Gesamtnote. Unsere Aufgaben ahmen das nach: kurzer Fall, Antworten A–D, genau eine Lösung.</w:t>
      </w:r>
    </w:p>
    <w:p>
      <w:pPr>
        <w:spacing w:after="4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Wir selbst: </w:t>
      </w:r>
      <w:r>
        <w:rPr>
          <w:rFonts w:ascii="Arial" w:hAnsi="Arial" w:eastAsia="Arial"/>
          <w:b w:val="0"/>
          <w:i w:val="0"/>
          <w:color w:val="1A2238"/>
          <w:sz w:val="20"/>
        </w:rPr>
        <w:t>Wir lernen die Regeln aus dem eigenen Ausbildungsvertrag sicher anzuwenden und wenden die Methoden aus dem Projektmanagement-Unterricht praktisch an.</w:t>
      </w:r>
    </w:p>
    <w:p>
      <w:pPr>
        <w:keepNext/>
        <w:spacing w:before="180" w:after="60"/>
        <w:pBdr>
          <w:left w:val="single" w:sz="36" w:space="6" w:color="F5A800"/>
        </w:pBdr>
        <w:ind w:left="142"/>
      </w:pPr>
      <w:r>
        <w:rPr>
          <w:rFonts w:ascii="Arial" w:hAnsi="Arial" w:eastAsia="Arial"/>
          <w:b/>
          <w:i w:val="0"/>
          <w:color w:val="B07A00"/>
          <w:sz w:val="23"/>
        </w:rPr>
        <w:t xml:space="preserve">5.  </w:t>
      </w:r>
      <w:r>
        <w:rPr>
          <w:rFonts w:ascii="Arial" w:hAnsi="Arial" w:eastAsia="Arial"/>
          <w:b/>
          <w:i w:val="0"/>
          <w:color w:val="14264B"/>
          <w:sz w:val="23"/>
        </w:rPr>
        <w:t>Umsetzung</w:t>
      </w:r>
    </w:p>
    <w:p>
      <w:pPr>
        <w:spacing w:after="60" w:before="0" w:line="276" w:lineRule="auto"/>
      </w:pPr>
      <w:r>
        <w:rPr>
          <w:rFonts w:ascii="Arial" w:hAnsi="Arial" w:eastAsia="Arial"/>
          <w:b w:val="0"/>
          <w:i w:val="0"/>
          <w:color w:val="1A2238"/>
          <w:sz w:val="20"/>
        </w:rPr>
        <w:t>Wir arbeiten nach dem Wasserfall-Modell, also Phase für Phase, weil Anforderungen, Termin und Ergebnis von Anfang an feststehen. Die Arbeit gliedert sich in sechs Stufen, die im Projektstrukturplan als Teilaufgaben und Arbeitspakete (AP) wiederkehren:</w:t>
      </w:r>
    </w:p>
    <w:tbl>
      <w:tblPr>
        <w:tblW w:type="auto" w:w="0"/>
        <w:jc w:val="center"/>
        <w:tblLayout w:type="fixed"/>
        <w:tblLook w:firstColumn="1" w:firstRow="1" w:lastColumn="0" w:lastRow="0" w:noHBand="0" w:noVBand="1" w:val="04A0"/>
        <w:tblLayout w:type="fixed"/>
      </w:tblPr>
      <w:tblGrid>
        <w:gridCol w:w="453"/>
        <w:gridCol w:w="2608"/>
        <w:gridCol w:w="5613"/>
        <w:gridCol w:w="963"/>
      </w:tblGrid>
      <w:tr>
        <w:trPr>
          <w:cantSplit/>
        </w:trPr>
        <w:tc>
          <w:tcPr>
            <w:tcW w:type="dxa" w:w="454"/>
            <w:shd w:val="clear" w:color="auto" w:fill="14264B"/>
            <w:tcMar>
              <w:top w:w="50" w:type="dxa"/>
              <w:left w:w="100" w:type="dxa"/>
              <w:bottom w:w="50" w:type="dxa"/>
              <w:right w:w="100" w:type="dxa"/>
            </w:tcMar>
          </w:tcPr>
          <w:p>
            <w:pPr>
              <w:spacing w:after="0"/>
            </w:pPr>
            <w:r>
              <w:rPr>
                <w:rFonts w:ascii="Arial" w:hAnsi="Arial" w:eastAsia="Arial"/>
                <w:b/>
                <w:i w:val="0"/>
                <w:color w:val="FFFFFF"/>
                <w:sz w:val="19"/>
              </w:rPr>
            </w:r>
          </w:p>
        </w:tc>
        <w:tc>
          <w:tcPr>
            <w:tcW w:type="dxa" w:w="2608"/>
            <w:shd w:val="clear" w:color="auto" w:fill="14264B"/>
            <w:tcMar>
              <w:top w:w="50" w:type="dxa"/>
              <w:left w:w="100" w:type="dxa"/>
              <w:bottom w:w="50" w:type="dxa"/>
              <w:right w:w="100" w:type="dxa"/>
            </w:tcMar>
          </w:tcPr>
          <w:p>
            <w:pPr>
              <w:spacing w:after="0"/>
            </w:pPr>
            <w:r>
              <w:rPr>
                <w:rFonts w:ascii="Arial" w:hAnsi="Arial" w:eastAsia="Arial"/>
                <w:b/>
                <w:i w:val="0"/>
                <w:color w:val="FFFFFF"/>
                <w:sz w:val="19"/>
              </w:rPr>
              <w:t>Stufe</w:t>
            </w:r>
          </w:p>
        </w:tc>
        <w:tc>
          <w:tcPr>
            <w:tcW w:type="dxa" w:w="5613"/>
            <w:shd w:val="clear" w:color="auto" w:fill="14264B"/>
            <w:tcMar>
              <w:top w:w="50" w:type="dxa"/>
              <w:left w:w="100" w:type="dxa"/>
              <w:bottom w:w="50" w:type="dxa"/>
              <w:right w:w="100" w:type="dxa"/>
            </w:tcMar>
          </w:tcPr>
          <w:p>
            <w:pPr>
              <w:spacing w:after="0"/>
            </w:pPr>
            <w:r>
              <w:rPr>
                <w:rFonts w:ascii="Arial" w:hAnsi="Arial" w:eastAsia="Arial"/>
                <w:b/>
                <w:i w:val="0"/>
                <w:color w:val="FFFFFF"/>
                <w:sz w:val="19"/>
              </w:rPr>
              <w:t>Inhalt</w:t>
            </w:r>
          </w:p>
        </w:tc>
        <w:tc>
          <w:tcPr>
            <w:tcW w:type="dxa" w:w="964"/>
            <w:shd w:val="clear" w:color="auto" w:fill="14264B"/>
            <w:tcMar>
              <w:top w:w="50" w:type="dxa"/>
              <w:left w:w="100" w:type="dxa"/>
              <w:bottom w:w="50" w:type="dxa"/>
              <w:right w:w="100" w:type="dxa"/>
            </w:tcMar>
          </w:tcPr>
          <w:p>
            <w:pPr>
              <w:spacing w:after="0"/>
            </w:pPr>
            <w:r>
              <w:rPr>
                <w:rFonts w:ascii="Arial" w:hAnsi="Arial" w:eastAsia="Arial"/>
                <w:b/>
                <w:i w:val="0"/>
                <w:color w:val="FFFFFF"/>
                <w:sz w:val="19"/>
              </w:rPr>
              <w:t>AP</w:t>
            </w:r>
          </w:p>
        </w:tc>
      </w:tr>
      <w:tr>
        <w:trPr>
          <w:cantSplit/>
        </w:trPr>
        <w:tc>
          <w:tcPr>
            <w:tcW w:type="dxa" w:w="45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1</w:t>
            </w:r>
          </w:p>
        </w:tc>
        <w:tc>
          <w:tcPr>
            <w:tcW w:type="dxa" w:w="2608"/>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Planung</w:t>
            </w:r>
          </w:p>
        </w:tc>
        <w:tc>
          <w:tcPr>
            <w:tcW w:type="dxa" w:w="561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Problemanalyse und Zielsetzung, Projektplanung</w:t>
            </w:r>
          </w:p>
        </w:tc>
        <w:tc>
          <w:tcPr>
            <w:tcW w:type="dxa" w:w="96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1–2</w:t>
            </w:r>
          </w:p>
        </w:tc>
      </w:tr>
      <w:tr>
        <w:trPr>
          <w:cantSplit/>
        </w:trPr>
        <w:tc>
          <w:tcPr>
            <w:tcW w:type="dxa" w:w="45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2</w:t>
            </w:r>
          </w:p>
        </w:tc>
        <w:tc>
          <w:tcPr>
            <w:tcW w:type="dxa" w:w="2608"/>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Recherche &amp; Konzeption</w:t>
            </w:r>
          </w:p>
        </w:tc>
        <w:tc>
          <w:tcPr>
            <w:tcW w:type="dxa" w:w="561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BBiG und Berufsausbildungsvertrag recherchieren, eigenen Vertrag sichten und anonymisieren, Gliederung erstellen</w:t>
            </w:r>
          </w:p>
        </w:tc>
        <w:tc>
          <w:tcPr>
            <w:tcW w:type="dxa" w:w="96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3–5</w:t>
            </w:r>
          </w:p>
        </w:tc>
      </w:tr>
      <w:tr>
        <w:trPr>
          <w:cantSplit/>
        </w:trPr>
        <w:tc>
          <w:tcPr>
            <w:tcW w:type="dxa" w:w="45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3</w:t>
            </w:r>
          </w:p>
        </w:tc>
        <w:tc>
          <w:tcPr>
            <w:tcW w:type="dxa" w:w="2608"/>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Booklet</w:t>
            </w:r>
          </w:p>
        </w:tc>
        <w:tc>
          <w:tcPr>
            <w:tcW w:type="dxa" w:w="561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Texte, Praxisbeispiele und Grafiken, Layout; Übungsteil mit Merkblatt, Aufgaben samt Erwartungshorizont und Quizfragen</w:t>
            </w:r>
          </w:p>
        </w:tc>
        <w:tc>
          <w:tcPr>
            <w:tcW w:type="dxa" w:w="96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6–11</w:t>
            </w:r>
          </w:p>
        </w:tc>
      </w:tr>
      <w:tr>
        <w:trPr>
          <w:cantSplit/>
        </w:trPr>
        <w:tc>
          <w:tcPr>
            <w:tcW w:type="dxa" w:w="45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4</w:t>
            </w:r>
          </w:p>
        </w:tc>
        <w:tc>
          <w:tcPr>
            <w:tcW w:type="dxa" w:w="2608"/>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&amp; Praxisteil</w:t>
            </w:r>
          </w:p>
        </w:tc>
        <w:tc>
          <w:tcPr>
            <w:tcW w:type="dxa" w:w="561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mit Prüfungstraining, Quiz als HTML-Datei, Druckmaterial, Generalprobe</w:t>
            </w:r>
          </w:p>
        </w:tc>
        <w:tc>
          <w:tcPr>
            <w:tcW w:type="dxa" w:w="96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12–15</w:t>
            </w:r>
          </w:p>
        </w:tc>
      </w:tr>
      <w:tr>
        <w:trPr>
          <w:cantSplit/>
        </w:trPr>
        <w:tc>
          <w:tcPr>
            <w:tcW w:type="dxa" w:w="45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5</w:t>
            </w:r>
          </w:p>
        </w:tc>
        <w:tc>
          <w:tcPr>
            <w:tcW w:type="dxa" w:w="2608"/>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Qualitätssicherung</w:t>
            </w:r>
          </w:p>
        </w:tc>
        <w:tc>
          <w:tcPr>
            <w:tcW w:type="dxa" w:w="561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Fachlicher Abgleich mit dem BBiG, Korrekturlesen und Probelesen</w:t>
            </w:r>
          </w:p>
        </w:tc>
        <w:tc>
          <w:tcPr>
            <w:tcW w:type="dxa" w:w="96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16–17</w:t>
            </w:r>
          </w:p>
        </w:tc>
      </w:tr>
      <w:tr>
        <w:trPr>
          <w:cantSplit/>
        </w:trPr>
        <w:tc>
          <w:tcPr>
            <w:tcW w:type="dxa" w:w="45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6</w:t>
            </w:r>
          </w:p>
        </w:tc>
        <w:tc>
          <w:tcPr>
            <w:tcW w:type="dxa" w:w="2608"/>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Projektbericht &amp; Abgabe</w:t>
            </w:r>
          </w:p>
        </w:tc>
        <w:tc>
          <w:tcPr>
            <w:tcW w:type="dxa" w:w="561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Projektbericht schreiben, Abgabe und Präsentation am 08.10.2026</w:t>
            </w:r>
          </w:p>
        </w:tc>
        <w:tc>
          <w:tcPr>
            <w:tcW w:type="dxa" w:w="96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18–19</w:t>
            </w:r>
          </w:p>
        </w:tc>
      </w:tr>
    </w:tbl>
    <w:p>
      <w:pPr>
        <w:spacing w:after="40" w:before="80" w:line="276" w:lineRule="auto"/>
      </w:pPr>
      <w:r>
        <w:rPr>
          <w:rFonts w:ascii="Arial" w:hAnsi="Arial" w:eastAsia="Arial"/>
          <w:b w:val="0"/>
          <w:i w:val="0"/>
          <w:color w:val="1A2238"/>
          <w:sz w:val="19"/>
        </w:rPr>
        <w:t>Aufgabenverteilung: Recherche und Texte liegen bei Yasin; Vertragssichtung, Praxisbeispiele, Grafiken und Korrekturlesen bei Mido; Gliederung, Layout und Präsentation machen wir gemeinsam. Projektstrukturplan und Projektablaufplan liegen im Anhang.</w:t>
      </w:r>
    </w:p>
    <w:p>
      <w:pPr>
        <w:keepNext/>
        <w:spacing w:before="180" w:after="60"/>
        <w:pBdr>
          <w:left w:val="single" w:sz="36" w:space="6" w:color="F5A800"/>
        </w:pBdr>
        <w:ind w:left="142"/>
      </w:pPr>
      <w:r>
        <w:rPr>
          <w:rFonts w:ascii="Arial" w:hAnsi="Arial" w:eastAsia="Arial"/>
          <w:b/>
          <w:i w:val="0"/>
          <w:color w:val="B07A00"/>
          <w:sz w:val="23"/>
        </w:rPr>
        <w:t xml:space="preserve">6.  </w:t>
      </w:r>
      <w:r>
        <w:rPr>
          <w:rFonts w:ascii="Arial" w:hAnsi="Arial" w:eastAsia="Arial"/>
          <w:b/>
          <w:i w:val="0"/>
          <w:color w:val="14264B"/>
          <w:sz w:val="23"/>
        </w:rPr>
        <w:t>Laufzeit</w:t>
      </w:r>
    </w:p>
    <w:p>
      <w:pPr>
        <w:spacing w:after="60" w:before="0" w:line="276" w:lineRule="auto"/>
      </w:pPr>
      <w:r>
        <w:rPr>
          <w:rFonts w:ascii="Arial" w:hAnsi="Arial" w:eastAsia="Arial"/>
          <w:b w:val="0"/>
          <w:i w:val="0"/>
          <w:color w:val="1A2238"/>
          <w:sz w:val="20"/>
        </w:rPr>
        <w:t>4 Wochen (10.09. – 08.10.2026), geplant in Arbeitstagen Montag bis Freitag:</w:t>
      </w:r>
    </w:p>
    <w:tbl>
      <w:tblPr>
        <w:tblW w:type="auto" w:w="0"/>
        <w:jc w:val="center"/>
        <w:tblLayout w:type="fixed"/>
        <w:tblLook w:firstColumn="1" w:firstRow="1" w:lastColumn="0" w:lastRow="0" w:noHBand="0" w:noVBand="1" w:val="04A0"/>
        <w:tblLayout w:type="fixed"/>
      </w:tblPr>
      <w:tblGrid>
        <w:gridCol w:w="2664"/>
        <w:gridCol w:w="5953"/>
        <w:gridCol w:w="1020"/>
      </w:tblGrid>
      <w:tr>
        <w:trPr>
          <w:cantSplit/>
        </w:trPr>
        <w:tc>
          <w:tcPr>
            <w:tcW w:type="dxa" w:w="2665"/>
            <w:shd w:val="clear" w:color="auto" w:fill="14264B"/>
            <w:tcMar>
              <w:top w:w="50" w:type="dxa"/>
              <w:left w:w="100" w:type="dxa"/>
              <w:bottom w:w="50" w:type="dxa"/>
              <w:right w:w="100" w:type="dxa"/>
            </w:tcMar>
          </w:tcPr>
          <w:p>
            <w:pPr>
              <w:spacing w:after="0"/>
            </w:pPr>
            <w:r>
              <w:rPr>
                <w:rFonts w:ascii="Arial" w:hAnsi="Arial" w:eastAsia="Arial"/>
                <w:b/>
                <w:i w:val="0"/>
                <w:color w:val="FFFFFF"/>
                <w:sz w:val="19"/>
              </w:rPr>
              <w:t>Zeitraum</w:t>
            </w:r>
          </w:p>
        </w:tc>
        <w:tc>
          <w:tcPr>
            <w:tcW w:type="dxa" w:w="5953"/>
            <w:shd w:val="clear" w:color="auto" w:fill="14264B"/>
            <w:tcMar>
              <w:top w:w="50" w:type="dxa"/>
              <w:left w:w="100" w:type="dxa"/>
              <w:bottom w:w="50" w:type="dxa"/>
              <w:right w:w="100" w:type="dxa"/>
            </w:tcMar>
          </w:tcPr>
          <w:p>
            <w:pPr>
              <w:spacing w:after="0"/>
            </w:pPr>
            <w:r>
              <w:rPr>
                <w:rFonts w:ascii="Arial" w:hAnsi="Arial" w:eastAsia="Arial"/>
                <w:b/>
                <w:i w:val="0"/>
                <w:color w:val="FFFFFF"/>
                <w:sz w:val="19"/>
              </w:rPr>
              <w:t>Schwerpunkt</w:t>
            </w:r>
          </w:p>
        </w:tc>
        <w:tc>
          <w:tcPr>
            <w:tcW w:type="dxa" w:w="1020"/>
            <w:shd w:val="clear" w:color="auto" w:fill="14264B"/>
            <w:tcMar>
              <w:top w:w="50" w:type="dxa"/>
              <w:left w:w="100" w:type="dxa"/>
              <w:bottom w:w="50" w:type="dxa"/>
              <w:right w:w="100" w:type="dxa"/>
            </w:tcMar>
          </w:tcPr>
          <w:p>
            <w:pPr>
              <w:spacing w:after="0"/>
            </w:pPr>
            <w:r>
              <w:rPr>
                <w:rFonts w:ascii="Arial" w:hAnsi="Arial" w:eastAsia="Arial"/>
                <w:b/>
                <w:i w:val="0"/>
                <w:color w:val="FFFFFF"/>
                <w:sz w:val="19"/>
              </w:rPr>
              <w:t>AP</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Woche 1 (10.09.–16.09.)</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Planung, Recherche, Vertragssichtung, Beginn der Gliederung</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1–5</w:t>
            </w:r>
          </w:p>
        </w:tc>
      </w:tr>
      <w:tr>
        <w:trPr>
          <w:cantSplit/>
        </w:trPr>
        <w:tc>
          <w:tcPr>
            <w:tcW w:type="dxa" w:w="2665"/>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Woche 2 (17.09.–23.09.)</w:t>
            </w:r>
          </w:p>
        </w:tc>
        <w:tc>
          <w:tcPr>
            <w:tcW w:type="dxa" w:w="595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Gliederung abschließen, Texte und Praxisbeispiele beginnen, Projektbericht beginnen</w:t>
            </w:r>
          </w:p>
        </w:tc>
        <w:tc>
          <w:tcPr>
            <w:tcW w:type="dxa" w:w="1020"/>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5–7, 18</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Woche 3 (24.09.–30.09.)</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Texte und Beispiele abschließen, Merkblatt, Aufgaben mit Erwartungshorizont, Quizfragen; Start von Layout, Präsentation, Quiz-Datei und Druckmaterial</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6–14, 18</w:t>
            </w:r>
          </w:p>
        </w:tc>
      </w:tr>
      <w:tr>
        <w:trPr>
          <w:cantSplit/>
        </w:trPr>
        <w:tc>
          <w:tcPr>
            <w:tcW w:type="dxa" w:w="2665"/>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Woche 4 (01.10.–07.10.)</w:t>
            </w:r>
          </w:p>
        </w:tc>
        <w:tc>
          <w:tcPr>
            <w:tcW w:type="dxa" w:w="595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Layout, Präsentation, Quiz-Datei, Druckmaterial, Generalprobe, Qualitätssicherung, Projektbericht</w:t>
            </w:r>
          </w:p>
        </w:tc>
        <w:tc>
          <w:tcPr>
            <w:tcW w:type="dxa" w:w="1020"/>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8, 12–18</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08.10.2026</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Abgabe und Präsentation</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19</w:t>
            </w:r>
          </w:p>
        </w:tc>
      </w:tr>
    </w:tbl>
    <w:p>
      <w:pPr>
        <w:spacing w:after="40" w:before="80" w:line="276" w:lineRule="auto"/>
      </w:pPr>
      <w:r>
        <w:rPr>
          <w:rFonts w:ascii="Arial" w:hAnsi="Arial" w:eastAsia="Arial"/>
          <w:b w:val="0"/>
          <w:i w:val="0"/>
          <w:color w:val="1A2238"/>
          <w:sz w:val="19"/>
        </w:rPr>
        <w:t>Meilensteine: M1 Recherche abgeschlossen (15.09.) · M2 Gliederung steht (18.09.) · M3 Texte und Beispiele fertig (29.09.) · M4 Booklet fertig und geprüft (07.10.) · M5 Präsentation (08.10.).</w:t>
      </w:r>
    </w:p>
    <w:p>
      <w:pPr>
        <w:keepNext/>
        <w:spacing w:before="180" w:after="60"/>
        <w:pBdr>
          <w:left w:val="single" w:sz="36" w:space="6" w:color="F5A800"/>
        </w:pBdr>
        <w:ind w:left="142"/>
      </w:pPr>
      <w:r>
        <w:rPr>
          <w:rFonts w:ascii="Arial" w:hAnsi="Arial" w:eastAsia="Arial"/>
          <w:b/>
          <w:i w:val="0"/>
          <w:color w:val="B07A00"/>
          <w:sz w:val="23"/>
        </w:rPr>
        <w:t xml:space="preserve">7.  </w:t>
      </w:r>
      <w:r>
        <w:rPr>
          <w:rFonts w:ascii="Arial" w:hAnsi="Arial" w:eastAsia="Arial"/>
          <w:b/>
          <w:i w:val="0"/>
          <w:color w:val="14264B"/>
          <w:sz w:val="23"/>
        </w:rPr>
        <w:t>Finanzierung</w:t>
      </w:r>
    </w:p>
    <w:p>
      <w:pPr>
        <w:spacing w:after="40" w:before="0" w:line="276" w:lineRule="auto"/>
      </w:pPr>
      <w:r>
        <w:rPr>
          <w:rFonts w:ascii="Arial" w:hAnsi="Arial" w:eastAsia="Arial"/>
          <w:b w:val="0"/>
          <w:i w:val="0"/>
          <w:color w:val="1A2238"/>
          <w:sz w:val="20"/>
        </w:rPr>
        <w:t>Für das Projekt entstehen keine nennenswerten Kosten. Benötigt werden digitale Recherchemittel, ein Computer und ein Canva-Zugang für das Layout (vorhanden). Für den Druck von Booklet, Merkblatt und Kartensets: [Anzahl der Ausdrucke und Drucker klären].</w:t>
      </w:r>
    </w:p>
    <w:p>
      <w:pPr>
        <w:keepNext/>
        <w:spacing w:before="200" w:after="80"/>
      </w:pPr>
      <w:r>
        <w:rPr>
          <w:rFonts w:ascii="Arial" w:hAnsi="Arial" w:eastAsia="Arial"/>
          <w:b/>
          <w:i w:val="0"/>
          <w:color w:val="14264B"/>
          <w:sz w:val="26"/>
        </w:rPr>
        <w:t>Unsere zwei SMART-Ziele</w:t>
      </w:r>
    </w:p>
    <w:tbl>
      <w:tblPr>
        <w:tblW w:type="auto" w:w="0"/>
        <w:jc w:val="center"/>
        <w:tblLayout w:type="fixed"/>
        <w:tblLook w:firstColumn="1" w:firstRow="1" w:lastColumn="0" w:lastRow="0" w:noHBand="0" w:noVBand="1" w:val="04A0"/>
        <w:tblLayout w:type="fixed"/>
      </w:tblPr>
      <w:tblGrid>
        <w:gridCol w:w="198"/>
        <w:gridCol w:w="9440"/>
      </w:tblGrid>
      <w:tr>
        <w:trPr>
          <w:cantSplit/>
        </w:trPr>
        <w:tc>
          <w:tcPr>
            <w:tcW w:type="dxa" w:w="198"/>
            <w:shd w:val="clear" w:color="auto" w:fill="F5A800"/>
          </w:tcPr>
          <w:p/>
        </w:tc>
        <w:tc>
          <w:tcPr>
            <w:tcW w:type="dxa" w:w="9439"/>
            <w:shd w:val="clear" w:color="auto" w:fill="FFF8E1"/>
            <w:tcMar>
              <w:top w:w="90" w:type="dxa"/>
              <w:left w:w="160" w:type="dxa"/>
              <w:bottom w:w="90" w:type="dxa"/>
              <w:right w:w="140" w:type="dxa"/>
            </w:tcMar>
          </w:tcPr>
          <w:p>
            <w:pPr>
              <w:spacing w:after="40"/>
            </w:pPr>
            <w:r>
              <w:rPr>
                <w:rFonts w:ascii="Arial" w:hAnsi="Arial" w:eastAsia="Arial"/>
                <w:b/>
                <w:i w:val="0"/>
                <w:color w:val="14264B"/>
                <w:sz w:val="22"/>
              </w:rPr>
              <w:t>Ziel 1 – Wissen über den Ausbildungsvertrag</w:t>
            </w:r>
          </w:p>
          <w:p>
            <w:pPr>
              <w:spacing w:after="60" w:line="276" w:lineRule="auto"/>
            </w:pPr>
            <w:r>
              <w:rPr>
                <w:rFonts w:ascii="Arial" w:hAnsi="Arial" w:eastAsia="Arial"/>
                <w:b w:val="0"/>
                <w:i w:val="0"/>
                <w:color w:val="1A2238"/>
                <w:sz w:val="20"/>
              </w:rPr>
              <w:t>Bis zum 08.10.2026 kennen wir die wichtigsten Regelungen aus Berufsbildungsgesetz und Ausbildungsvertrag und können für jeden der sechs Prüfungspunkte (Beginn und Dauer, tägliche Ausbildungszeit, Vergütung, Urlaub, Probezeit, Kündigung) mindestens ein Beispiel erklären. Das Booklet deckt alle sechs Punkte jeweils mit Aufgaben und Lösung ab.</w:t>
            </w:r>
          </w:p>
          <w:p>
            <w:pPr>
              <w:spacing w:after="20"/>
            </w:pPr>
            <w:r>
              <w:rPr>
                <w:rFonts w:ascii="Arial" w:hAnsi="Arial" w:eastAsia="Arial"/>
                <w:b/>
                <w:i w:val="0"/>
                <w:color w:val="B07A00"/>
                <w:sz w:val="20"/>
              </w:rPr>
              <w:t>Zum Beispiel:</w:t>
            </w:r>
          </w:p>
          <w:p>
            <w:pPr>
              <w:spacing w:after="10" w:line="264" w:lineRule="auto"/>
              <w:ind w:left="227"/>
            </w:pPr>
            <w:r>
              <w:rPr>
                <w:rFonts w:ascii="Arial" w:hAnsi="Arial" w:eastAsia="Arial"/>
                <w:b/>
                <w:i w:val="0"/>
                <w:color w:val="14264B"/>
                <w:sz w:val="19"/>
              </w:rPr>
              <w:t>Beginn und Dauer</w:t>
            </w:r>
            <w:r>
              <w:rPr>
                <w:rFonts w:ascii="Arial" w:hAnsi="Arial" w:eastAsia="Arial"/>
                <w:b w:val="0"/>
                <w:i w:val="0"/>
                <w:color w:val="1A2238"/>
                <w:sz w:val="19"/>
              </w:rPr>
              <w:t xml:space="preserve">  →  Verkürzung auf gemeinsamen Antrag von Azubi und Ausbildenden (§ 8 Abs. 1 BBiG)</w:t>
            </w:r>
          </w:p>
          <w:p>
            <w:pPr>
              <w:spacing w:after="10" w:line="264" w:lineRule="auto"/>
              <w:ind w:left="227"/>
            </w:pPr>
            <w:r>
              <w:rPr>
                <w:rFonts w:ascii="Arial" w:hAnsi="Arial" w:eastAsia="Arial"/>
                <w:b/>
                <w:i w:val="0"/>
                <w:color w:val="14264B"/>
                <w:sz w:val="19"/>
              </w:rPr>
              <w:t>Tägliche Ausbildungszeit</w:t>
            </w:r>
            <w:r>
              <w:rPr>
                <w:rFonts w:ascii="Arial" w:hAnsi="Arial" w:eastAsia="Arial"/>
                <w:b w:val="0"/>
                <w:i w:val="0"/>
                <w:color w:val="1A2238"/>
                <w:sz w:val="19"/>
              </w:rPr>
              <w:t xml:space="preserve">  →  Jugendliche höchstens 8 Stunden täglich (§ 8 JArbSchG)</w:t>
            </w:r>
          </w:p>
          <w:p>
            <w:pPr>
              <w:spacing w:after="10" w:line="264" w:lineRule="auto"/>
              <w:ind w:left="227"/>
            </w:pPr>
            <w:r>
              <w:rPr>
                <w:rFonts w:ascii="Arial" w:hAnsi="Arial" w:eastAsia="Arial"/>
                <w:b/>
                <w:i w:val="0"/>
                <w:color w:val="14264B"/>
                <w:sz w:val="19"/>
              </w:rPr>
              <w:t>Vergütung</w:t>
            </w:r>
            <w:r>
              <w:rPr>
                <w:rFonts w:ascii="Arial" w:hAnsi="Arial" w:eastAsia="Arial"/>
                <w:b w:val="0"/>
                <w:i w:val="0"/>
                <w:color w:val="1A2238"/>
                <w:sz w:val="19"/>
              </w:rPr>
              <w:t xml:space="preserve">  →  mindestens 724 € im 1. Jahr bei Ausbildungsbeginn 2026 (§ 17 BBiG)</w:t>
            </w:r>
          </w:p>
          <w:p>
            <w:pPr>
              <w:spacing w:after="10" w:line="264" w:lineRule="auto"/>
              <w:ind w:left="227"/>
            </w:pPr>
            <w:r>
              <w:rPr>
                <w:rFonts w:ascii="Arial" w:hAnsi="Arial" w:eastAsia="Arial"/>
                <w:b/>
                <w:i w:val="0"/>
                <w:color w:val="14264B"/>
                <w:sz w:val="19"/>
              </w:rPr>
              <w:t>Urlaub</w:t>
            </w:r>
            <w:r>
              <w:rPr>
                <w:rFonts w:ascii="Arial" w:hAnsi="Arial" w:eastAsia="Arial"/>
                <w:b w:val="0"/>
                <w:i w:val="0"/>
                <w:color w:val="1A2238"/>
                <w:sz w:val="19"/>
              </w:rPr>
              <w:t xml:space="preserve">  →  ab 18 Jahren mindestens 24 Werktage, darunter 25, 27 oder 30 (§ 3 BUrlG, § 19 JArbSchG)</w:t>
            </w:r>
          </w:p>
          <w:p>
            <w:pPr>
              <w:spacing w:after="10" w:line="264" w:lineRule="auto"/>
              <w:ind w:left="227"/>
            </w:pPr>
            <w:r>
              <w:rPr>
                <w:rFonts w:ascii="Arial" w:hAnsi="Arial" w:eastAsia="Arial"/>
                <w:b/>
                <w:i w:val="0"/>
                <w:color w:val="14264B"/>
                <w:sz w:val="19"/>
              </w:rPr>
              <w:t>Probezeit</w:t>
            </w:r>
            <w:r>
              <w:rPr>
                <w:rFonts w:ascii="Arial" w:hAnsi="Arial" w:eastAsia="Arial"/>
                <w:b w:val="0"/>
                <w:i w:val="0"/>
                <w:color w:val="1A2238"/>
                <w:sz w:val="19"/>
              </w:rPr>
              <w:t xml:space="preserve">  →  ein bis vier Monate (§ 20 BBiG)</w:t>
            </w:r>
          </w:p>
          <w:p>
            <w:pPr>
              <w:spacing w:after="10" w:line="264" w:lineRule="auto"/>
              <w:ind w:left="227"/>
            </w:pPr>
            <w:r>
              <w:rPr>
                <w:rFonts w:ascii="Arial" w:hAnsi="Arial" w:eastAsia="Arial"/>
                <w:b/>
                <w:i w:val="0"/>
                <w:color w:val="14264B"/>
                <w:sz w:val="19"/>
              </w:rPr>
              <w:t>Kündigung</w:t>
            </w:r>
            <w:r>
              <w:rPr>
                <w:rFonts w:ascii="Arial" w:hAnsi="Arial" w:eastAsia="Arial"/>
                <w:b w:val="0"/>
                <w:i w:val="0"/>
                <w:color w:val="1A2238"/>
                <w:sz w:val="19"/>
              </w:rPr>
              <w:t xml:space="preserve">  →  in der Probezeit jederzeit ohne Frist, aber schriftlich (§ 22 Abs. 1 und 3 BBiG)</w:t>
            </w:r>
          </w:p>
        </w:tc>
      </w:tr>
    </w:tbl>
    <w:p>
      <w:pPr>
        <w:spacing w:after="40"/>
      </w:pPr>
    </w:p>
    <w:tbl>
      <w:tblPr>
        <w:tblW w:type="auto" w:w="0"/>
        <w:jc w:val="center"/>
        <w:tblLayout w:type="fixed"/>
        <w:tblLook w:firstColumn="1" w:firstRow="1" w:lastColumn="0" w:lastRow="0" w:noHBand="0" w:noVBand="1" w:val="04A0"/>
        <w:tblLayout w:type="fixed"/>
      </w:tblPr>
      <w:tblGrid>
        <w:gridCol w:w="198"/>
        <w:gridCol w:w="9440"/>
      </w:tblGrid>
      <w:tr>
        <w:trPr>
          <w:cantSplit/>
        </w:trPr>
        <w:tc>
          <w:tcPr>
            <w:tcW w:type="dxa" w:w="198"/>
            <w:shd w:val="clear" w:color="auto" w:fill="F5A800"/>
          </w:tcPr>
          <w:p/>
        </w:tc>
        <w:tc>
          <w:tcPr>
            <w:tcW w:type="dxa" w:w="9439"/>
            <w:shd w:val="clear" w:color="auto" w:fill="FFF8E1"/>
            <w:tcMar>
              <w:top w:w="90" w:type="dxa"/>
              <w:left w:w="160" w:type="dxa"/>
              <w:bottom w:w="90" w:type="dxa"/>
              <w:right w:w="140" w:type="dxa"/>
            </w:tcMar>
          </w:tcPr>
          <w:p>
            <w:pPr>
              <w:spacing w:after="40"/>
            </w:pPr>
            <w:r>
              <w:rPr>
                <w:rFonts w:ascii="Arial" w:hAnsi="Arial" w:eastAsia="Arial"/>
                <w:b/>
                <w:i w:val="0"/>
                <w:color w:val="14264B"/>
                <w:sz w:val="22"/>
              </w:rPr>
              <w:t>Ziel 2 – Anwendung im Ausbildungsalltag</w:t>
            </w:r>
          </w:p>
          <w:p>
            <w:pPr>
              <w:spacing w:after="60" w:line="276" w:lineRule="auto"/>
            </w:pPr>
            <w:r>
              <w:rPr>
                <w:rFonts w:ascii="Arial" w:hAnsi="Arial" w:eastAsia="Arial"/>
                <w:b w:val="0"/>
                <w:i w:val="0"/>
                <w:color w:val="1A2238"/>
                <w:sz w:val="20"/>
              </w:rPr>
              <w:t>Bis zur Präsentation am 08.10.2026 können Mitschüler mit dem Booklet typische Situationen der passenden Regelung zuordnen: Im Abschluss-Quiz mit fünf neuen Situationen erreichen sie im Durchschnitt mindestens 4 von 5 richtige Antworten (80 %).</w:t>
            </w:r>
          </w:p>
          <w:p>
            <w:pPr>
              <w:spacing w:after="20"/>
            </w:pPr>
            <w:r>
              <w:rPr>
                <w:rFonts w:ascii="Arial" w:hAnsi="Arial" w:eastAsia="Arial"/>
                <w:b/>
                <w:i w:val="0"/>
                <w:color w:val="B07A00"/>
                <w:sz w:val="20"/>
              </w:rPr>
              <w:t>Zum Beispiel:</w:t>
            </w:r>
          </w:p>
          <w:p>
            <w:pPr>
              <w:spacing w:after="10" w:line="264" w:lineRule="auto"/>
              <w:ind w:left="227"/>
            </w:pPr>
            <w:r>
              <w:rPr>
                <w:rFonts w:ascii="Arial" w:hAnsi="Arial" w:eastAsia="Arial"/>
                <w:b/>
                <w:i w:val="0"/>
                <w:color w:val="14264B"/>
                <w:sz w:val="19"/>
              </w:rPr>
              <w:t>Azubi will in der Probezeit kündigen</w:t>
            </w:r>
            <w:r>
              <w:rPr>
                <w:rFonts w:ascii="Arial" w:hAnsi="Arial" w:eastAsia="Arial"/>
                <w:b w:val="0"/>
                <w:i w:val="0"/>
                <w:color w:val="1A2238"/>
                <w:sz w:val="19"/>
              </w:rPr>
              <w:t xml:space="preserve">  →  jederzeit ohne Frist, schriftlich (§ 22 Abs. 1 und 3 BBiG)</w:t>
            </w:r>
          </w:p>
          <w:p>
            <w:pPr>
              <w:spacing w:after="10" w:line="264" w:lineRule="auto"/>
              <w:ind w:left="227"/>
            </w:pPr>
            <w:r>
              <w:rPr>
                <w:rFonts w:ascii="Arial" w:hAnsi="Arial" w:eastAsia="Arial"/>
                <w:b/>
                <w:i w:val="0"/>
                <w:color w:val="14264B"/>
                <w:sz w:val="19"/>
              </w:rPr>
              <w:t>16-Jähriger fragt nach Mindesturlaub</w:t>
            </w:r>
            <w:r>
              <w:rPr>
                <w:rFonts w:ascii="Arial" w:hAnsi="Arial" w:eastAsia="Arial"/>
                <w:b w:val="0"/>
                <w:i w:val="0"/>
                <w:color w:val="1A2238"/>
                <w:sz w:val="19"/>
              </w:rPr>
              <w:t xml:space="preserve">  →  27 Werktage (§ 19 JArbSchG)</w:t>
            </w:r>
          </w:p>
          <w:p>
            <w:pPr>
              <w:spacing w:after="10" w:line="264" w:lineRule="auto"/>
              <w:ind w:left="227"/>
            </w:pPr>
            <w:r>
              <w:rPr>
                <w:rFonts w:ascii="Arial" w:hAnsi="Arial" w:eastAsia="Arial"/>
                <w:b/>
                <w:i w:val="0"/>
                <w:color w:val="14264B"/>
                <w:sz w:val="19"/>
              </w:rPr>
              <w:t>Betrieb bietet im 1. Jahr (Beginn 2026) 600 € an</w:t>
            </w:r>
            <w:r>
              <w:rPr>
                <w:rFonts w:ascii="Arial" w:hAnsi="Arial" w:eastAsia="Arial"/>
                <w:b w:val="0"/>
                <w:i w:val="0"/>
                <w:color w:val="1A2238"/>
                <w:sz w:val="19"/>
              </w:rPr>
              <w:t xml:space="preserve">  →  unzulässig, mindestens 724 € (§ 17 BBiG)</w:t>
            </w:r>
          </w:p>
          <w:p>
            <w:pPr>
              <w:spacing w:after="10" w:line="264" w:lineRule="auto"/>
              <w:ind w:left="227"/>
            </w:pPr>
            <w:r>
              <w:rPr>
                <w:rFonts w:ascii="Arial" w:hAnsi="Arial" w:eastAsia="Arial"/>
                <w:b/>
                <w:i w:val="0"/>
                <w:color w:val="14264B"/>
                <w:sz w:val="19"/>
              </w:rPr>
              <w:t>Azubi will nach der Probezeit den Beruf wechseln</w:t>
            </w:r>
            <w:r>
              <w:rPr>
                <w:rFonts w:ascii="Arial" w:hAnsi="Arial" w:eastAsia="Arial"/>
                <w:b w:val="0"/>
                <w:i w:val="0"/>
                <w:color w:val="1A2238"/>
                <w:sz w:val="19"/>
              </w:rPr>
              <w:t xml:space="preserve">  →  Kündigung mit vier Wochen Frist, schriftlich (§ 22 Abs. 2 und 3 BBiG)</w:t>
            </w:r>
          </w:p>
          <w:p>
            <w:pPr>
              <w:spacing w:after="10" w:line="264" w:lineRule="auto"/>
              <w:ind w:left="227"/>
            </w:pPr>
            <w:r>
              <w:rPr>
                <w:rFonts w:ascii="Arial" w:hAnsi="Arial" w:eastAsia="Arial"/>
                <w:b/>
                <w:i w:val="0"/>
                <w:color w:val="14264B"/>
                <w:sz w:val="19"/>
              </w:rPr>
              <w:t>Arbeitstag vor der schriftlichen Abschlussprüfung</w:t>
            </w:r>
            <w:r>
              <w:rPr>
                <w:rFonts w:ascii="Arial" w:hAnsi="Arial" w:eastAsia="Arial"/>
                <w:b w:val="0"/>
                <w:i w:val="0"/>
                <w:color w:val="1A2238"/>
                <w:sz w:val="19"/>
              </w:rPr>
              <w:t xml:space="preserve">  →  Betrieb muss freistellen (§ 15 BBiG)</w:t>
            </w:r>
          </w:p>
        </w:tc>
      </w:tr>
    </w:tbl>
    <w:p>
      <w:pPr>
        <w:spacing w:after="40"/>
      </w:pPr>
    </w:p>
    <w:sectPr w:rsidR="00FC693F" w:rsidRPr="0006063C" w:rsidSect="00034616">
      <w:footerReference w:type="default" r:id="rId9"/>
      <w:pgSz w:w="11906" w:h="16838"/>
      <w:pgMar w:top="73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B6680"/>
        <w:sz w:val="16"/>
      </w:rPr>
      <w:t xml:space="preserve">Projektskizze · Yasin &amp; Mido · Seite </w:t>
    </w:r>
    <w:r>
      <w:rPr>
        <w:rFonts w:ascii="Arial" w:hAnsi="Arial"/>
        <w:color w:val="5B6680"/>
        <w:sz w:val="16"/>
      </w:rPr>
      <w:fldChar w:fldCharType="begin"/>
      <w:instrText xml:space="preserve">PAGE</w:instrText>
      <w:fldChar w:fldCharType="end"/>
    </w:r>
    <w:r>
      <w:rPr>
        <w:rFonts w:ascii="Arial" w:hAnsi="Arial" w:eastAsia="Arial"/>
        <w:b w:val="0"/>
        <w:i w:val="0"/>
        <w:color w:val="5B6680"/>
        <w:sz w:val="16"/>
      </w:rPr>
      <w:t xml:space="preserve"> von </w:t>
    </w:r>
    <w:r>
      <w:rPr>
        <w:rFonts w:ascii="Arial" w:hAnsi="Arial"/>
        <w:color w:val="5B66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