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00"/>
      </w:pPr>
      <w:r>
        <w:rPr>
          <w:rFonts w:ascii="Calibri" w:hAnsi="Calibri"/>
          <w:b/>
          <w:color w:val="2E74B5"/>
          <w:sz w:val="19"/>
        </w:rPr>
        <w:t>PRODUCTION READINESS AUDIT</w:t>
      </w:r>
    </w:p>
    <w:p>
      <w:pPr>
        <w:spacing w:after="80"/>
      </w:pPr>
      <w:r>
        <w:rPr>
          <w:rFonts w:ascii="Calibri" w:hAnsi="Calibri"/>
          <w:b/>
          <w:color w:val="000000"/>
          <w:sz w:val="46"/>
        </w:rPr>
        <w:t>BookQuest</w:t>
      </w:r>
    </w:p>
    <w:p>
      <w:pPr>
        <w:spacing w:after="360"/>
      </w:pPr>
      <w:r>
        <w:rPr>
          <w:rFonts w:ascii="Calibri" w:hAnsi="Calibri"/>
          <w:color w:val="5C6370"/>
          <w:sz w:val="28"/>
        </w:rPr>
        <w:t>Launch decision, material risks, and staged go-live plan</w:t>
      </w:r>
    </w:p>
    <w:p>
      <w:pPr>
        <w:spacing w:after="60"/>
      </w:pPr>
      <w:r>
        <w:rPr>
          <w:rFonts w:ascii="Calibri" w:hAnsi="Calibri"/>
          <w:b/>
          <w:color w:val="1F4D78"/>
          <w:sz w:val="22"/>
        </w:rPr>
        <w:t xml:space="preserve">Audit date: </w:t>
      </w:r>
      <w:r>
        <w:rPr>
          <w:rFonts w:ascii="Calibri" w:hAnsi="Calibri"/>
          <w:color w:val="222222"/>
          <w:sz w:val="22"/>
        </w:rPr>
        <w:t>18 July 2026</w:t>
      </w:r>
    </w:p>
    <w:p>
      <w:pPr>
        <w:spacing w:after="60"/>
      </w:pPr>
      <w:r>
        <w:rPr>
          <w:rFonts w:ascii="Calibri" w:hAnsi="Calibri"/>
          <w:b/>
          <w:color w:val="1F4D78"/>
          <w:sz w:val="22"/>
        </w:rPr>
        <w:t xml:space="preserve">Audit basis: </w:t>
      </w:r>
      <w:r>
        <w:rPr>
          <w:rFonts w:ascii="Calibri" w:hAnsi="Calibri"/>
          <w:color w:val="222222"/>
          <w:sz w:val="22"/>
        </w:rPr>
        <w:t>Repository HEAD b2964f4 and read-only production checks</w:t>
      </w:r>
    </w:p>
    <w:p>
      <w:pPr>
        <w:spacing w:after="60"/>
      </w:pPr>
      <w:r>
        <w:rPr>
          <w:rFonts w:ascii="Calibri" w:hAnsi="Calibri"/>
          <w:b/>
          <w:color w:val="1F4D78"/>
          <w:sz w:val="22"/>
        </w:rPr>
        <w:t xml:space="preserve">Assessment: </w:t>
      </w:r>
      <w:r>
        <w:rPr>
          <w:rFonts w:ascii="Calibri" w:hAnsi="Calibri"/>
          <w:color w:val="222222"/>
          <w:sz w:val="22"/>
        </w:rPr>
        <w:t>Final technical production-readiness review</w:t>
      </w:r>
    </w:p>
    <w:p>
      <w:pPr>
        <w:spacing w:after="60"/>
      </w:pPr>
      <w:r>
        <w:rPr>
          <w:rFonts w:ascii="Calibri" w:hAnsi="Calibri"/>
          <w:b/>
          <w:color w:val="1F4D78"/>
          <w:sz w:val="22"/>
        </w:rPr>
        <w:t xml:space="preserve">Current decision: </w:t>
      </w:r>
      <w:r>
        <w:rPr>
          <w:rFonts w:ascii="Calibri" w:hAnsi="Calibri"/>
          <w:color w:val="222222"/>
          <w:sz w:val="22"/>
        </w:rPr>
        <w:t>NO-GO for public paid or institutional production</w:t>
      </w:r>
    </w:p>
    <w:p>
      <w:pPr>
        <w:spacing w:after="60"/>
      </w:pPr>
      <w:r>
        <w:rPr>
          <w:rFonts w:ascii="Calibri" w:hAnsi="Calibri"/>
          <w:b/>
          <w:color w:val="1F4D78"/>
          <w:sz w:val="22"/>
        </w:rPr>
        <w:t xml:space="preserve">Permitted mode: </w:t>
      </w:r>
      <w:r>
        <w:rPr>
          <w:rFonts w:ascii="Calibri" w:hAnsi="Calibri"/>
          <w:color w:val="222222"/>
          <w:sz w:val="22"/>
        </w:rPr>
        <w:t>Supervised internal or limited beta</w:t>
      </w:r>
    </w:p>
    <w:p>
      <w:pPr>
        <w:spacing w:before="160" w:after="240"/>
        <w:pBdr>
          <w:bottom w:val="single" w:sz="12" w:space="1" w:color="2E74B5"/>
        </w:pBdr>
      </w:pPr>
    </w:p>
    <w:p>
      <w:pPr>
        <w:pStyle w:val="Callout"/>
        <w:shd w:fill="FBECEC"/>
        <w:pBdr>
          <w:left w:val="single" w:sz="18" w:space="8" w:color="9B1C1C"/>
        </w:pBdr>
      </w:pPr>
      <w:r>
        <w:rPr>
          <w:rFonts w:ascii="Calibri" w:hAnsi="Calibri"/>
          <w:b/>
          <w:color w:val="1F4D78"/>
          <w:sz w:val="22"/>
        </w:rPr>
        <w:t xml:space="preserve">EXECUTIVE VERDICT  </w:t>
      </w:r>
      <w:r>
        <w:rPr>
          <w:rFonts w:ascii="Calibri" w:hAnsi="Calibri"/>
          <w:color w:val="222222"/>
          <w:sz w:val="22"/>
        </w:rPr>
        <w:t>BookQuest is deployable and live, with a strong automated engineering baseline. It is not yet ready for an unsupervised public, paid, or institutional launch because material identity, privacy, tenancy, upload, and operating controls remain incomplete.</w:t>
      </w:r>
    </w:p>
    <w:p>
      <w:pPr>
        <w:pStyle w:val="AuditBullet"/>
        <w:numPr>
          <w:ilvl w:val="0"/>
          <w:numId w:val="10"/>
        </w:numPr>
      </w:pPr>
      <w:r>
        <w:rPr>
          <w:rFonts w:ascii="Calibri" w:hAnsi="Calibri"/>
          <w:color w:val="222222"/>
          <w:sz w:val="22"/>
        </w:rPr>
        <w:t>Proceed only as a supervised beta with restricted users and no institutional commitments.</w:t>
      </w:r>
    </w:p>
    <w:p>
      <w:pPr>
        <w:pStyle w:val="AuditBullet"/>
        <w:numPr>
          <w:ilvl w:val="0"/>
          <w:numId w:val="10"/>
        </w:numPr>
      </w:pPr>
      <w:r>
        <w:rPr>
          <w:rFonts w:ascii="Calibri" w:hAnsi="Calibri"/>
          <w:color w:val="222222"/>
          <w:sz w:val="22"/>
        </w:rPr>
        <w:t>Keep payments disabled until provider webhooks, reconciliation, support, and refund controls are operational.</w:t>
      </w:r>
    </w:p>
    <w:p>
      <w:pPr>
        <w:pStyle w:val="AuditBullet"/>
        <w:numPr>
          <w:ilvl w:val="0"/>
          <w:numId w:val="10"/>
        </w:numPr>
      </w:pPr>
      <w:r>
        <w:rPr>
          <w:rFonts w:ascii="Calibri" w:hAnsi="Calibri"/>
          <w:color w:val="222222"/>
          <w:sz w:val="22"/>
        </w:rPr>
        <w:t>Reassess only against one exact deployed SHA after the applicable P0 gates are evidenced.</w:t>
      </w:r>
    </w:p>
    <w:p>
      <w:pPr>
        <w:spacing w:before="160" w:after="0"/>
      </w:pPr>
      <w:r>
        <w:rPr>
          <w:rFonts w:ascii="Calibri" w:hAnsi="Calibri"/>
          <w:i/>
          <w:color w:val="5C6370"/>
          <w:sz w:val="18"/>
        </w:rPr>
        <w:t>This is a technical readiness audit, not a legal opinion, certification, or penetration test.</w:t>
      </w:r>
    </w:p>
    <w:p>
      <w:r>
        <w:br w:type="page"/>
      </w:r>
    </w:p>
    <w:p>
      <w:pPr>
        <w:pStyle w:val="Heading1"/>
      </w:pPr>
      <w:r>
        <w:t>1. Scope and verified baseline</w:t>
      </w:r>
    </w:p>
    <w:p>
      <w:r>
        <w:rPr>
          <w:rFonts w:ascii="Calibri" w:hAnsi="Calibri"/>
          <w:color w:val="222222"/>
          <w:sz w:val="22"/>
        </w:rPr>
        <w:t>The review covered application code, route authorization, production configuration, database migrations, CI workflows, recovery evidence, privacy controls, payment behavior, deployment documentation, and read-only checks of the deployed service. No authenticated production mutation, destructive database operation, or penetration test was performed.</w:t>
      </w:r>
    </w:p>
    <w:tbl>
      <w:tblPr>
        <w:tblW w:type="dxa" w:w="9360"/>
        <w:tblLayout w:type="fixed"/>
        <w:tblLook w:firstColumn="1" w:firstRow="1" w:lastColumn="0" w:lastRow="0" w:noHBand="0" w:noVBand="1" w:val="04A0"/>
        <w:jc w:val="left"/>
        <w:tblInd w:w="120" w:type="dxa"/>
        <w:tblBorders>
          <w:top w:val="single" w:sz="4" w:space="0" w:color="D7DCE2"/>
          <w:left w:val="single" w:sz="4" w:space="0" w:color="D7DCE2"/>
          <w:bottom w:val="single" w:sz="4" w:space="0" w:color="D7DCE2"/>
          <w:right w:val="single" w:sz="4" w:space="0" w:color="D7DCE2"/>
          <w:insideH w:val="single" w:sz="4" w:space="0" w:color="D7DCE2"/>
          <w:insideV w:val="single" w:sz="4" w:space="0" w:color="D7DCE2"/>
        </w:tblBorders>
      </w:tblPr>
      <w:tblGrid>
        <w:gridCol w:w="2050"/>
        <w:gridCol w:w="1800"/>
        <w:gridCol w:w="5510"/>
      </w:tblGrid>
      <w:tr>
        <w:trPr>
          <w:tblHeader w:val="true"/>
        </w:trPr>
        <w:tc>
          <w:tcPr>
            <w:tcW w:type="dxa" w:w="2050"/>
            <w:tcMar>
              <w:top w:w="80" w:type="dxa"/>
              <w:bottom w:w="80" w:type="dxa"/>
              <w:start w:w="120" w:type="dxa"/>
              <w:end w:w="120" w:type="dxa"/>
            </w:tcMar>
            <w:vAlign w:val="center"/>
            <w:shd w:fill="F2F4F7"/>
          </w:tcPr>
          <w:p>
            <w:pPr>
              <w:spacing w:after="0"/>
              <w:jc w:val="left"/>
            </w:pPr>
            <w:r>
              <w:rPr>
                <w:rFonts w:ascii="Calibri" w:hAnsi="Calibri"/>
                <w:b/>
                <w:color w:val="1F4D78"/>
                <w:sz w:val="19"/>
              </w:rPr>
              <w:t>Area</w:t>
            </w:r>
          </w:p>
        </w:tc>
        <w:tc>
          <w:tcPr>
            <w:tcW w:type="dxa" w:w="1800"/>
            <w:tcMar>
              <w:top w:w="80" w:type="dxa"/>
              <w:bottom w:w="80" w:type="dxa"/>
              <w:start w:w="120" w:type="dxa"/>
              <w:end w:w="120" w:type="dxa"/>
            </w:tcMar>
            <w:vAlign w:val="center"/>
            <w:shd w:fill="F2F4F7"/>
          </w:tcPr>
          <w:p>
            <w:pPr>
              <w:spacing w:after="0"/>
              <w:jc w:val="center"/>
            </w:pPr>
            <w:r>
              <w:rPr>
                <w:rFonts w:ascii="Calibri" w:hAnsi="Calibri"/>
                <w:b/>
                <w:color w:val="1F4D78"/>
                <w:sz w:val="19"/>
              </w:rPr>
              <w:t>Result</w:t>
            </w:r>
          </w:p>
        </w:tc>
        <w:tc>
          <w:tcPr>
            <w:tcW w:type="dxa" w:w="5510"/>
            <w:tcMar>
              <w:top w:w="80" w:type="dxa"/>
              <w:bottom w:w="80" w:type="dxa"/>
              <w:start w:w="120" w:type="dxa"/>
              <w:end w:w="120" w:type="dxa"/>
            </w:tcMar>
            <w:vAlign w:val="center"/>
            <w:shd w:fill="F2F4F7"/>
          </w:tcPr>
          <w:p>
            <w:pPr>
              <w:spacing w:after="0"/>
              <w:jc w:val="left"/>
            </w:pPr>
            <w:r>
              <w:rPr>
                <w:rFonts w:ascii="Calibri" w:hAnsi="Calibri"/>
                <w:b/>
                <w:color w:val="1F4D78"/>
                <w:sz w:val="19"/>
              </w:rPr>
              <w:t>What it proves</w:t>
            </w:r>
          </w:p>
        </w:tc>
      </w:tr>
      <w:tr>
        <w:tc>
          <w:tcPr>
            <w:tcW w:type="dxa" w:w="2050"/>
            <w:tcMar>
              <w:top w:w="80" w:type="dxa"/>
              <w:bottom w:w="80" w:type="dxa"/>
              <w:start w:w="120" w:type="dxa"/>
              <w:end w:w="120" w:type="dxa"/>
            </w:tcMar>
            <w:vAlign w:val="center"/>
          </w:tcPr>
          <w:p>
            <w:pPr>
              <w:spacing w:after="0" w:line="252" w:lineRule="auto"/>
              <w:jc w:val="left"/>
            </w:pPr>
            <w:r>
              <w:rPr>
                <w:rFonts w:ascii="Calibri" w:hAnsi="Calibri"/>
                <w:color w:val="222222"/>
                <w:sz w:val="18"/>
              </w:rPr>
              <w:t>Repository</w:t>
            </w:r>
          </w:p>
        </w:tc>
        <w:tc>
          <w:tcPr>
            <w:tcW w:type="dxa" w:w="1800"/>
            <w:tcMar>
              <w:top w:w="80" w:type="dxa"/>
              <w:bottom w:w="80" w:type="dxa"/>
              <w:start w:w="120" w:type="dxa"/>
              <w:end w:w="120" w:type="dxa"/>
            </w:tcMar>
            <w:vAlign w:val="center"/>
          </w:tcPr>
          <w:p>
            <w:pPr>
              <w:spacing w:after="0" w:line="252" w:lineRule="auto"/>
              <w:jc w:val="center"/>
            </w:pPr>
            <w:r>
              <w:rPr>
                <w:rFonts w:ascii="Calibri" w:hAnsi="Calibri"/>
                <w:color w:val="222222"/>
                <w:sz w:val="18"/>
              </w:rPr>
              <w:t>Clean at b2964f4</w:t>
            </w:r>
          </w:p>
        </w:tc>
        <w:tc>
          <w:tcPr>
            <w:tcW w:type="dxa" w:w="5510"/>
            <w:tcMar>
              <w:top w:w="80" w:type="dxa"/>
              <w:bottom w:w="80" w:type="dxa"/>
              <w:start w:w="120" w:type="dxa"/>
              <w:end w:w="120" w:type="dxa"/>
            </w:tcMar>
            <w:vAlign w:val="center"/>
          </w:tcPr>
          <w:p>
            <w:pPr>
              <w:spacing w:after="0" w:line="252" w:lineRule="auto"/>
              <w:jc w:val="left"/>
            </w:pPr>
            <w:r>
              <w:rPr>
                <w:rFonts w:ascii="Calibri" w:hAnsi="Calibri"/>
                <w:color w:val="222222"/>
                <w:sz w:val="18"/>
              </w:rPr>
              <w:t>The audited working tree contained no uncommitted changes.</w:t>
            </w:r>
          </w:p>
        </w:tc>
      </w:tr>
      <w:tr>
        <w:tc>
          <w:tcPr>
            <w:tcW w:type="dxa" w:w="2050"/>
            <w:tcMar>
              <w:top w:w="80" w:type="dxa"/>
              <w:bottom w:w="80" w:type="dxa"/>
              <w:start w:w="120" w:type="dxa"/>
              <w:end w:w="120" w:type="dxa"/>
            </w:tcMar>
            <w:vAlign w:val="center"/>
          </w:tcPr>
          <w:p>
            <w:pPr>
              <w:spacing w:after="0" w:line="252" w:lineRule="auto"/>
              <w:jc w:val="left"/>
            </w:pPr>
            <w:r>
              <w:rPr>
                <w:rFonts w:ascii="Calibri" w:hAnsi="Calibri"/>
                <w:color w:val="222222"/>
                <w:sz w:val="18"/>
              </w:rPr>
              <w:t>GitHub CI</w:t>
            </w:r>
          </w:p>
        </w:tc>
        <w:tc>
          <w:tcPr>
            <w:tcW w:type="dxa" w:w="1800"/>
            <w:tcMar>
              <w:top w:w="80" w:type="dxa"/>
              <w:bottom w:w="80" w:type="dxa"/>
              <w:start w:w="120" w:type="dxa"/>
              <w:end w:w="120" w:type="dxa"/>
            </w:tcMar>
            <w:vAlign w:val="center"/>
          </w:tcPr>
          <w:p>
            <w:pPr>
              <w:spacing w:after="0" w:line="252" w:lineRule="auto"/>
              <w:jc w:val="center"/>
            </w:pPr>
            <w:r>
              <w:rPr>
                <w:rFonts w:ascii="Calibri" w:hAnsi="Calibri"/>
                <w:color w:val="222222"/>
                <w:sz w:val="18"/>
              </w:rPr>
              <w:t>Passed</w:t>
            </w:r>
          </w:p>
        </w:tc>
        <w:tc>
          <w:tcPr>
            <w:tcW w:type="dxa" w:w="5510"/>
            <w:tcMar>
              <w:top w:w="80" w:type="dxa"/>
              <w:bottom w:w="80" w:type="dxa"/>
              <w:start w:w="120" w:type="dxa"/>
              <w:end w:w="120" w:type="dxa"/>
            </w:tcMar>
            <w:vAlign w:val="center"/>
          </w:tcPr>
          <w:p>
            <w:pPr>
              <w:spacing w:after="0" w:line="252" w:lineRule="auto"/>
              <w:jc w:val="left"/>
            </w:pPr>
            <w:r>
              <w:rPr>
                <w:rFonts w:ascii="Calibri" w:hAnsi="Calibri"/>
                <w:color w:val="222222"/>
                <w:sz w:val="18"/>
              </w:rPr>
              <w:t>Typecheck, build, migrations, database tests, and logical restore completed.</w:t>
            </w:r>
          </w:p>
        </w:tc>
      </w:tr>
      <w:tr>
        <w:tc>
          <w:tcPr>
            <w:tcW w:type="dxa" w:w="2050"/>
            <w:tcMar>
              <w:top w:w="80" w:type="dxa"/>
              <w:bottom w:w="80" w:type="dxa"/>
              <w:start w:w="120" w:type="dxa"/>
              <w:end w:w="120" w:type="dxa"/>
            </w:tcMar>
            <w:vAlign w:val="center"/>
          </w:tcPr>
          <w:p>
            <w:pPr>
              <w:spacing w:after="0" w:line="252" w:lineRule="auto"/>
              <w:jc w:val="left"/>
            </w:pPr>
            <w:r>
              <w:rPr>
                <w:rFonts w:ascii="Calibri" w:hAnsi="Calibri"/>
                <w:color w:val="222222"/>
                <w:sz w:val="18"/>
              </w:rPr>
              <w:t>Security workflow</w:t>
            </w:r>
          </w:p>
        </w:tc>
        <w:tc>
          <w:tcPr>
            <w:tcW w:type="dxa" w:w="1800"/>
            <w:tcMar>
              <w:top w:w="80" w:type="dxa"/>
              <w:bottom w:w="80" w:type="dxa"/>
              <w:start w:w="120" w:type="dxa"/>
              <w:end w:w="120" w:type="dxa"/>
            </w:tcMar>
            <w:vAlign w:val="center"/>
          </w:tcPr>
          <w:p>
            <w:pPr>
              <w:spacing w:after="0" w:line="252" w:lineRule="auto"/>
              <w:jc w:val="center"/>
            </w:pPr>
            <w:r>
              <w:rPr>
                <w:rFonts w:ascii="Calibri" w:hAnsi="Calibri"/>
                <w:color w:val="222222"/>
                <w:sz w:val="18"/>
              </w:rPr>
              <w:t>Passed</w:t>
            </w:r>
          </w:p>
        </w:tc>
        <w:tc>
          <w:tcPr>
            <w:tcW w:type="dxa" w:w="5510"/>
            <w:tcMar>
              <w:top w:w="80" w:type="dxa"/>
              <w:bottom w:w="80" w:type="dxa"/>
              <w:start w:w="120" w:type="dxa"/>
              <w:end w:w="120" w:type="dxa"/>
            </w:tcMar>
            <w:vAlign w:val="center"/>
          </w:tcPr>
          <w:p>
            <w:pPr>
              <w:spacing w:after="0" w:line="252" w:lineRule="auto"/>
              <w:jc w:val="left"/>
            </w:pPr>
            <w:r>
              <w:rPr>
                <w:rFonts w:ascii="Calibri" w:hAnsi="Calibri"/>
                <w:color w:val="222222"/>
                <w:sz w:val="18"/>
              </w:rPr>
              <w:t>The production dependency audit reported zero known vulnerabilities.</w:t>
            </w:r>
          </w:p>
        </w:tc>
      </w:tr>
      <w:tr>
        <w:tc>
          <w:tcPr>
            <w:tcW w:type="dxa" w:w="2050"/>
            <w:tcMar>
              <w:top w:w="80" w:type="dxa"/>
              <w:bottom w:w="80" w:type="dxa"/>
              <w:start w:w="120" w:type="dxa"/>
              <w:end w:w="120" w:type="dxa"/>
            </w:tcMar>
            <w:vAlign w:val="center"/>
          </w:tcPr>
          <w:p>
            <w:pPr>
              <w:spacing w:after="0" w:line="252" w:lineRule="auto"/>
              <w:jc w:val="left"/>
            </w:pPr>
            <w:r>
              <w:rPr>
                <w:rFonts w:ascii="Calibri" w:hAnsi="Calibri"/>
                <w:color w:val="222222"/>
                <w:sz w:val="18"/>
              </w:rPr>
              <w:t>Local verification</w:t>
            </w:r>
          </w:p>
        </w:tc>
        <w:tc>
          <w:tcPr>
            <w:tcW w:type="dxa" w:w="1800"/>
            <w:tcMar>
              <w:top w:w="80" w:type="dxa"/>
              <w:bottom w:w="80" w:type="dxa"/>
              <w:start w:w="120" w:type="dxa"/>
              <w:end w:w="120" w:type="dxa"/>
            </w:tcMar>
            <w:vAlign w:val="center"/>
          </w:tcPr>
          <w:p>
            <w:pPr>
              <w:spacing w:after="0" w:line="252" w:lineRule="auto"/>
              <w:jc w:val="center"/>
            </w:pPr>
            <w:r>
              <w:rPr>
                <w:rFonts w:ascii="Calibri" w:hAnsi="Calibri"/>
                <w:color w:val="222222"/>
                <w:sz w:val="18"/>
              </w:rPr>
              <w:t>Passed with limitation</w:t>
            </w:r>
          </w:p>
        </w:tc>
        <w:tc>
          <w:tcPr>
            <w:tcW w:type="dxa" w:w="5510"/>
            <w:tcMar>
              <w:top w:w="80" w:type="dxa"/>
              <w:bottom w:w="80" w:type="dxa"/>
              <w:start w:w="120" w:type="dxa"/>
              <w:end w:w="120" w:type="dxa"/>
            </w:tcMar>
            <w:vAlign w:val="center"/>
          </w:tcPr>
          <w:p>
            <w:pPr>
              <w:spacing w:after="0" w:line="252" w:lineRule="auto"/>
              <w:jc w:val="left"/>
            </w:pPr>
            <w:r>
              <w:rPr>
                <w:rFonts w:ascii="Calibri" w:hAnsi="Calibri"/>
                <w:color w:val="222222"/>
                <w:sz w:val="18"/>
              </w:rPr>
              <w:t>Typecheck and build passed; 109 tests ran while 147 database tests were skipped.</w:t>
            </w:r>
          </w:p>
        </w:tc>
      </w:tr>
      <w:tr>
        <w:tc>
          <w:tcPr>
            <w:tcW w:type="dxa" w:w="2050"/>
            <w:tcMar>
              <w:top w:w="80" w:type="dxa"/>
              <w:bottom w:w="80" w:type="dxa"/>
              <w:start w:w="120" w:type="dxa"/>
              <w:end w:w="120" w:type="dxa"/>
            </w:tcMar>
            <w:vAlign w:val="center"/>
          </w:tcPr>
          <w:p>
            <w:pPr>
              <w:spacing w:after="0" w:line="252" w:lineRule="auto"/>
              <w:jc w:val="left"/>
            </w:pPr>
            <w:r>
              <w:rPr>
                <w:rFonts w:ascii="Calibri" w:hAnsi="Calibri"/>
                <w:color w:val="222222"/>
                <w:sz w:val="18"/>
              </w:rPr>
              <w:t>Live service</w:t>
            </w:r>
          </w:p>
        </w:tc>
        <w:tc>
          <w:tcPr>
            <w:tcW w:type="dxa" w:w="1800"/>
            <w:tcMar>
              <w:top w:w="80" w:type="dxa"/>
              <w:bottom w:w="80" w:type="dxa"/>
              <w:start w:w="120" w:type="dxa"/>
              <w:end w:w="120" w:type="dxa"/>
            </w:tcMar>
            <w:vAlign w:val="center"/>
          </w:tcPr>
          <w:p>
            <w:pPr>
              <w:spacing w:after="0" w:line="252" w:lineRule="auto"/>
              <w:jc w:val="center"/>
            </w:pPr>
            <w:r>
              <w:rPr>
                <w:rFonts w:ascii="Calibri" w:hAnsi="Calibri"/>
                <w:color w:val="222222"/>
                <w:sz w:val="18"/>
              </w:rPr>
              <w:t>Responsive</w:t>
            </w:r>
          </w:p>
        </w:tc>
        <w:tc>
          <w:tcPr>
            <w:tcW w:type="dxa" w:w="5510"/>
            <w:tcMar>
              <w:top w:w="80" w:type="dxa"/>
              <w:bottom w:w="80" w:type="dxa"/>
              <w:start w:w="120" w:type="dxa"/>
              <w:end w:w="120" w:type="dxa"/>
            </w:tcMar>
            <w:vAlign w:val="center"/>
          </w:tcPr>
          <w:p>
            <w:pPr>
              <w:spacing w:after="0" w:line="252" w:lineRule="auto"/>
              <w:jc w:val="left"/>
            </w:pPr>
            <w:r>
              <w:rPr>
                <w:rFonts w:ascii="Calibri" w:hAnsi="Calibri"/>
                <w:color w:val="222222"/>
                <w:sz w:val="18"/>
              </w:rPr>
              <w:t>Public pages returned 200; anonymous /api/me returned 401; HSTS, frame, and MIME protections were present.</w:t>
            </w:r>
          </w:p>
        </w:tc>
      </w:tr>
      <w:tr>
        <w:tc>
          <w:tcPr>
            <w:tcW w:type="dxa" w:w="2050"/>
            <w:tcMar>
              <w:top w:w="80" w:type="dxa"/>
              <w:bottom w:w="80" w:type="dxa"/>
              <w:start w:w="120" w:type="dxa"/>
              <w:end w:w="120" w:type="dxa"/>
            </w:tcMar>
            <w:vAlign w:val="center"/>
          </w:tcPr>
          <w:p>
            <w:pPr>
              <w:spacing w:after="0" w:line="252" w:lineRule="auto"/>
              <w:jc w:val="left"/>
            </w:pPr>
            <w:r>
              <w:rPr>
                <w:rFonts w:ascii="Calibri" w:hAnsi="Calibri"/>
                <w:color w:val="222222"/>
                <w:sz w:val="18"/>
              </w:rPr>
              <w:t>Deployment provenance</w:t>
            </w:r>
          </w:p>
        </w:tc>
        <w:tc>
          <w:tcPr>
            <w:tcW w:type="dxa" w:w="1800"/>
            <w:tcMar>
              <w:top w:w="80" w:type="dxa"/>
              <w:bottom w:w="80" w:type="dxa"/>
              <w:start w:w="120" w:type="dxa"/>
              <w:end w:w="120" w:type="dxa"/>
            </w:tcMar>
            <w:vAlign w:val="center"/>
          </w:tcPr>
          <w:p>
            <w:pPr>
              <w:spacing w:after="0" w:line="252" w:lineRule="auto"/>
              <w:jc w:val="center"/>
            </w:pPr>
            <w:r>
              <w:rPr>
                <w:rFonts w:ascii="Calibri" w:hAnsi="Calibri"/>
                <w:color w:val="222222"/>
                <w:sz w:val="18"/>
              </w:rPr>
              <w:t>Not fully evidenced</w:t>
            </w:r>
          </w:p>
        </w:tc>
        <w:tc>
          <w:tcPr>
            <w:tcW w:type="dxa" w:w="5510"/>
            <w:tcMar>
              <w:top w:w="80" w:type="dxa"/>
              <w:bottom w:w="80" w:type="dxa"/>
              <w:start w:w="120" w:type="dxa"/>
              <w:end w:w="120" w:type="dxa"/>
            </w:tcMar>
            <w:vAlign w:val="center"/>
          </w:tcPr>
          <w:p>
            <w:pPr>
              <w:spacing w:after="0" w:line="252" w:lineRule="auto"/>
              <w:jc w:val="left"/>
            </w:pPr>
            <w:r>
              <w:rPr>
                <w:rFonts w:ascii="Calibri" w:hAnsi="Calibri"/>
                <w:color w:val="222222"/>
                <w:sz w:val="18"/>
              </w:rPr>
              <w:t>The live service was reachable, but the exact deployed SHA and migration head were not exposed by a release record.</w:t>
            </w:r>
          </w:p>
        </w:tc>
      </w:tr>
    </w:tbl>
    <w:p>
      <w:pPr>
        <w:pStyle w:val="TableSpacer"/>
      </w:pPr>
    </w:p>
    <w:p>
      <w:pPr>
        <w:pStyle w:val="Evidence"/>
      </w:pPr>
      <w:r>
        <w:rPr>
          <w:rFonts w:ascii="Calibri" w:hAnsi="Calibri"/>
          <w:b/>
          <w:color w:val="5C6370"/>
          <w:sz w:val="18"/>
        </w:rPr>
        <w:t xml:space="preserve">Evidence: </w:t>
      </w:r>
      <w:hyperlink r:id="rId11">
        <w:r>
          <w:rPr>
            <w:rFonts w:ascii="Calibri" w:hAnsi="Calibri"/>
            <w:color w:val="2E74B5"/>
            <w:u w:val="single"/>
            <w:sz w:val="18"/>
          </w:rPr>
          <w:t>CI run</w:t>
        </w:r>
      </w:hyperlink>
      <w:r>
        <w:rPr>
          <w:rFonts w:ascii="Calibri" w:hAnsi="Calibri"/>
          <w:color w:val="5C6370"/>
          <w:sz w:val="18"/>
        </w:rPr>
        <w:t xml:space="preserve">  |  </w:t>
      </w:r>
      <w:hyperlink r:id="rId12">
        <w:r>
          <w:rPr>
            <w:rFonts w:ascii="Calibri" w:hAnsi="Calibri"/>
            <w:color w:val="2E74B5"/>
            <w:u w:val="single"/>
            <w:sz w:val="18"/>
          </w:rPr>
          <w:t>Security run</w:t>
        </w:r>
      </w:hyperlink>
      <w:r>
        <w:rPr>
          <w:rFonts w:ascii="Calibri" w:hAnsi="Calibri"/>
          <w:color w:val="5C6370"/>
          <w:sz w:val="18"/>
        </w:rPr>
        <w:t xml:space="preserve">  |  </w:t>
      </w:r>
      <w:hyperlink r:id="rId13">
        <w:r>
          <w:rPr>
            <w:rFonts w:ascii="Calibri" w:hAnsi="Calibri"/>
            <w:color w:val="2E74B5"/>
            <w:u w:val="single"/>
            <w:sz w:val="18"/>
          </w:rPr>
          <w:t>Live capabilities</w:t>
        </w:r>
      </w:hyperlink>
    </w:p>
    <w:p>
      <w:pPr>
        <w:pStyle w:val="Callout"/>
        <w:shd w:fill="FFF7E0"/>
        <w:pBdr>
          <w:left w:val="single" w:sz="18" w:space="8" w:color="7A5A00"/>
        </w:pBdr>
      </w:pPr>
      <w:r>
        <w:rPr>
          <w:rFonts w:ascii="Calibri" w:hAnsi="Calibri"/>
          <w:b/>
          <w:color w:val="1F4D78"/>
          <w:sz w:val="22"/>
        </w:rPr>
        <w:t xml:space="preserve">TEST LIMITATION  </w:t>
      </w:r>
      <w:r>
        <w:rPr>
          <w:rFonts w:ascii="Calibri" w:hAnsi="Calibri"/>
          <w:color w:val="222222"/>
          <w:sz w:val="22"/>
        </w:rPr>
        <w:t>The local test command was green but incomplete because no safe TEST_DATABASE_URL was configured. GitHub CI does configure a disposable database, but local production-data isolation still needs to be closed as an operational control.</w:t>
      </w:r>
    </w:p>
    <w:p>
      <w:pPr>
        <w:pStyle w:val="Heading2"/>
      </w:pPr>
      <w:r>
        <w:t>Severity and decision rules</w:t>
      </w:r>
    </w:p>
    <w:p>
      <w:pPr>
        <w:pStyle w:val="AuditBullet"/>
        <w:numPr>
          <w:ilvl w:val="0"/>
          <w:numId w:val="10"/>
        </w:numPr>
      </w:pPr>
      <w:r>
        <w:rPr>
          <w:rFonts w:ascii="Calibri" w:hAnsi="Calibri"/>
          <w:b/>
          <w:color w:val="222222"/>
          <w:sz w:val="22"/>
        </w:rPr>
        <w:t>P0</w:t>
      </w:r>
      <w:r>
        <w:rPr>
          <w:rFonts w:ascii="Calibri" w:hAnsi="Calibri"/>
          <w:color w:val="222222"/>
          <w:sz w:val="22"/>
        </w:rPr>
        <w:t xml:space="preserve"> — launch blocker. Close before the launch stage to which the finding applies.</w:t>
      </w:r>
    </w:p>
    <w:p>
      <w:pPr>
        <w:pStyle w:val="AuditBullet"/>
        <w:numPr>
          <w:ilvl w:val="0"/>
          <w:numId w:val="10"/>
        </w:numPr>
      </w:pPr>
      <w:r>
        <w:rPr>
          <w:rFonts w:ascii="Calibri" w:hAnsi="Calibri"/>
          <w:b/>
          <w:color w:val="222222"/>
          <w:sz w:val="22"/>
        </w:rPr>
        <w:t>P1</w:t>
      </w:r>
      <w:r>
        <w:rPr>
          <w:rFonts w:ascii="Calibri" w:hAnsi="Calibri"/>
          <w:color w:val="222222"/>
          <w:sz w:val="22"/>
        </w:rPr>
        <w:t xml:space="preserve"> — required before scale or relied-upon production operation; may be temporarily compensated only with named ownership and expiry.</w:t>
      </w:r>
    </w:p>
    <w:p>
      <w:pPr>
        <w:pStyle w:val="AuditBullet"/>
        <w:numPr>
          <w:ilvl w:val="0"/>
          <w:numId w:val="10"/>
        </w:numPr>
      </w:pPr>
      <w:r>
        <w:rPr>
          <w:rFonts w:ascii="Calibri" w:hAnsi="Calibri"/>
          <w:b/>
          <w:color w:val="222222"/>
          <w:sz w:val="22"/>
        </w:rPr>
        <w:t>P2</w:t>
      </w:r>
      <w:r>
        <w:rPr>
          <w:rFonts w:ascii="Calibri" w:hAnsi="Calibri"/>
          <w:color w:val="222222"/>
          <w:sz w:val="22"/>
        </w:rPr>
        <w:t xml:space="preserve"> — documentation or hardening work that must be scheduled and tracked but is not, by itself, an immediate launch stop.</w:t>
      </w:r>
    </w:p>
    <w:p>
      <w:r>
        <w:br w:type="page"/>
      </w:r>
    </w:p>
    <w:p>
      <w:pPr>
        <w:pStyle w:val="Heading1"/>
      </w:pPr>
      <w:r>
        <w:t>2. P0 launch blockers</w:t>
      </w:r>
    </w:p>
    <w:p>
      <w:pPr>
        <w:pStyle w:val="Heading2"/>
        <w:keepNext/>
      </w:pPr>
      <w:r>
        <w:rPr>
          <w:rFonts w:ascii="Calibri" w:hAnsi="Calibri"/>
          <w:b/>
          <w:color w:val="9B1C1C"/>
          <w:sz w:val="26"/>
        </w:rPr>
        <w:t xml:space="preserve">P0  |  </w:t>
      </w:r>
      <w:r>
        <w:rPr>
          <w:rFonts w:ascii="Calibri" w:hAnsi="Calibri"/>
          <w:b/>
          <w:color w:val="2E74B5"/>
          <w:sz w:val="26"/>
        </w:rPr>
        <w:t>Secure account and administrator bootstrap</w:t>
      </w:r>
    </w:p>
    <w:p>
      <w:r>
        <w:rPr>
          <w:rFonts w:ascii="Calibri" w:hAnsi="Calibri"/>
          <w:b/>
          <w:color w:val="1F4D78"/>
          <w:sz w:val="22"/>
        </w:rPr>
        <w:t xml:space="preserve">Observation: </w:t>
      </w:r>
      <w:r>
        <w:rPr>
          <w:rFonts w:ascii="Calibri" w:hAnsi="Calibri"/>
          <w:color w:val="222222"/>
          <w:sz w:val="22"/>
        </w:rPr>
        <w:t>The first observed registrant becomes platform administrator through a SELECT COUNT(*) check. Registration immediately starts a 30-day session even when the address has not been verified.</w:t>
      </w:r>
    </w:p>
    <w:p>
      <w:r>
        <w:rPr>
          <w:rFonts w:ascii="Calibri" w:hAnsi="Calibri"/>
          <w:b/>
          <w:color w:val="1F4D78"/>
          <w:sz w:val="22"/>
        </w:rPr>
        <w:t xml:space="preserve">Risk: </w:t>
      </w:r>
      <w:r>
        <w:rPr>
          <w:rFonts w:ascii="Calibri" w:hAnsi="Calibri"/>
          <w:color w:val="222222"/>
          <w:sz w:val="22"/>
        </w:rPr>
        <w:t>A public user can claim administration on a fresh deployment, and concurrent first registrations can both observe an empty user table. Unverified identities receive full authenticated access.</w:t>
      </w:r>
    </w:p>
    <w:p>
      <w:r>
        <w:rPr>
          <w:rFonts w:ascii="Calibri" w:hAnsi="Calibri"/>
          <w:b/>
          <w:color w:val="1F4D78"/>
          <w:sz w:val="22"/>
        </w:rPr>
        <w:t xml:space="preserve">Required action: </w:t>
      </w:r>
      <w:r>
        <w:rPr>
          <w:rFonts w:ascii="Calibri" w:hAnsi="Calibri"/>
          <w:color w:val="222222"/>
          <w:sz w:val="22"/>
        </w:rPr>
        <w:t>Provision administrators out of band, remove or serialize public bootstrap, keep new accounts pending until verification, mandate administrator MFA, and add a documented takeover-recovery procedure.</w:t>
      </w:r>
    </w:p>
    <w:p>
      <w:pPr>
        <w:pStyle w:val="Evidence"/>
      </w:pPr>
      <w:r>
        <w:rPr>
          <w:rFonts w:ascii="Calibri" w:hAnsi="Calibri"/>
          <w:b/>
          <w:color w:val="5C6370"/>
          <w:sz w:val="18"/>
        </w:rPr>
        <w:t xml:space="preserve">Evidence: </w:t>
      </w:r>
      <w:hyperlink r:id="rId14">
        <w:r>
          <w:rPr>
            <w:rFonts w:ascii="Calibri" w:hAnsi="Calibri"/>
            <w:color w:val="2E74B5"/>
            <w:u w:val="single"/>
            <w:sz w:val="18"/>
          </w:rPr>
          <w:t>README admin rule</w:t>
        </w:r>
      </w:hyperlink>
      <w:r>
        <w:rPr>
          <w:rFonts w:ascii="Calibri" w:hAnsi="Calibri"/>
          <w:color w:val="5C6370"/>
          <w:sz w:val="18"/>
        </w:rPr>
        <w:t xml:space="preserve">  |  </w:t>
      </w:r>
      <w:hyperlink r:id="rId15">
        <w:r>
          <w:rPr>
            <w:rFonts w:ascii="Calibri" w:hAnsi="Calibri"/>
            <w:color w:val="2E74B5"/>
            <w:u w:val="single"/>
            <w:sz w:val="18"/>
          </w:rPr>
          <w:t>createUser</w:t>
        </w:r>
      </w:hyperlink>
      <w:r>
        <w:rPr>
          <w:rFonts w:ascii="Calibri" w:hAnsi="Calibri"/>
          <w:color w:val="5C6370"/>
          <w:sz w:val="18"/>
        </w:rPr>
        <w:t xml:space="preserve">  |  </w:t>
      </w:r>
      <w:hyperlink r:id="rId16">
        <w:r>
          <w:rPr>
            <w:rFonts w:ascii="Calibri" w:hAnsi="Calibri"/>
            <w:color w:val="2E74B5"/>
            <w:u w:val="single"/>
            <w:sz w:val="18"/>
          </w:rPr>
          <w:t>registration session</w:t>
        </w:r>
      </w:hyperlink>
    </w:p>
    <w:p>
      <w:pPr>
        <w:pStyle w:val="Heading2"/>
        <w:keepNext/>
      </w:pPr>
      <w:r>
        <w:rPr>
          <w:rFonts w:ascii="Calibri" w:hAnsi="Calibri"/>
          <w:b/>
          <w:color w:val="9B1C1C"/>
          <w:sz w:val="26"/>
        </w:rPr>
        <w:t xml:space="preserve">P0  |  </w:t>
      </w:r>
      <w:r>
        <w:rPr>
          <w:rFonts w:ascii="Calibri" w:hAnsi="Calibri"/>
          <w:b/>
          <w:color w:val="2E74B5"/>
          <w:sz w:val="26"/>
        </w:rPr>
        <w:t>Close free-AI abuse paths</w:t>
      </w:r>
    </w:p>
    <w:p>
      <w:r>
        <w:rPr>
          <w:rFonts w:ascii="Calibri" w:hAnsi="Calibri"/>
          <w:b/>
          <w:color w:val="1F4D78"/>
          <w:sz w:val="22"/>
        </w:rPr>
        <w:t xml:space="preserve">Observation: </w:t>
      </w:r>
      <w:r>
        <w:rPr>
          <w:rFonts w:ascii="Calibri" w:hAnsi="Calibri"/>
          <w:color w:val="222222"/>
          <w:sz w:val="22"/>
        </w:rPr>
        <w:t>Every new account receives three creation credits. Email verification is not checked by requireUser or the upload route, while the audited live capabilities endpoint reported Anthropic generation enabled.</w:t>
      </w:r>
    </w:p>
    <w:p>
      <w:r>
        <w:rPr>
          <w:rFonts w:ascii="Calibri" w:hAnsi="Calibri"/>
          <w:b/>
          <w:color w:val="1F4D78"/>
          <w:sz w:val="22"/>
        </w:rPr>
        <w:t xml:space="preserve">Risk: </w:t>
      </w:r>
      <w:r>
        <w:rPr>
          <w:rFonts w:ascii="Calibri" w:hAnsi="Calibri"/>
          <w:color w:val="222222"/>
          <w:sz w:val="22"/>
        </w:rPr>
        <w:t>Attackers can register unowned addresses and spend model credits. Per-IP limits reduce casual abuse but do not cap platform-wide spend or proxy-based account creation.</w:t>
      </w:r>
    </w:p>
    <w:p>
      <w:r>
        <w:rPr>
          <w:rFonts w:ascii="Calibri" w:hAnsi="Calibri"/>
          <w:b/>
          <w:color w:val="1F4D78"/>
          <w:sz w:val="22"/>
        </w:rPr>
        <w:t xml:space="preserve">Required action: </w:t>
      </w:r>
      <w:r>
        <w:rPr>
          <w:rFonts w:ascii="Calibri" w:hAnsi="Calibri"/>
          <w:color w:val="222222"/>
          <w:sz w:val="22"/>
        </w:rPr>
        <w:t>Require verified email before credits can be spent; add CAPTCHA or equivalent bot controls, global and account-level budgets, spend alerts, and an emergency AI kill switch.</w:t>
      </w:r>
    </w:p>
    <w:p>
      <w:pPr>
        <w:pStyle w:val="Evidence"/>
      </w:pPr>
      <w:r>
        <w:rPr>
          <w:rFonts w:ascii="Calibri" w:hAnsi="Calibri"/>
          <w:b/>
          <w:color w:val="5C6370"/>
          <w:sz w:val="18"/>
        </w:rPr>
        <w:t xml:space="preserve">Evidence: </w:t>
      </w:r>
      <w:hyperlink r:id="rId15">
        <w:r>
          <w:rPr>
            <w:rFonts w:ascii="Calibri" w:hAnsi="Calibri"/>
            <w:color w:val="2E74B5"/>
            <w:u w:val="single"/>
            <w:sz w:val="18"/>
          </w:rPr>
          <w:t>credit grant</w:t>
        </w:r>
      </w:hyperlink>
      <w:r>
        <w:rPr>
          <w:rFonts w:ascii="Calibri" w:hAnsi="Calibri"/>
          <w:color w:val="5C6370"/>
          <w:sz w:val="18"/>
        </w:rPr>
        <w:t xml:space="preserve">  |  </w:t>
      </w:r>
      <w:hyperlink r:id="rId17">
        <w:r>
          <w:rPr>
            <w:rFonts w:ascii="Calibri" w:hAnsi="Calibri"/>
            <w:color w:val="2E74B5"/>
            <w:u w:val="single"/>
            <w:sz w:val="18"/>
          </w:rPr>
          <w:t>authentication guard</w:t>
        </w:r>
      </w:hyperlink>
      <w:r>
        <w:rPr>
          <w:rFonts w:ascii="Calibri" w:hAnsi="Calibri"/>
          <w:color w:val="5C6370"/>
          <w:sz w:val="18"/>
        </w:rPr>
        <w:t xml:space="preserve">  |  </w:t>
      </w:r>
      <w:hyperlink r:id="rId18">
        <w:r>
          <w:rPr>
            <w:rFonts w:ascii="Calibri" w:hAnsi="Calibri"/>
            <w:color w:val="2E74B5"/>
            <w:u w:val="single"/>
            <w:sz w:val="18"/>
          </w:rPr>
          <w:t>upload route</w:t>
        </w:r>
      </w:hyperlink>
      <w:r>
        <w:rPr>
          <w:rFonts w:ascii="Calibri" w:hAnsi="Calibri"/>
          <w:color w:val="5C6370"/>
          <w:sz w:val="18"/>
        </w:rPr>
        <w:t xml:space="preserve">  |  </w:t>
      </w:r>
      <w:hyperlink r:id="rId13">
        <w:r>
          <w:rPr>
            <w:rFonts w:ascii="Calibri" w:hAnsi="Calibri"/>
            <w:color w:val="2E74B5"/>
            <w:u w:val="single"/>
            <w:sz w:val="18"/>
          </w:rPr>
          <w:t>live AI status</w:t>
        </w:r>
      </w:hyperlink>
    </w:p>
    <w:p>
      <w:pPr>
        <w:pStyle w:val="Heading2"/>
        <w:keepNext/>
      </w:pPr>
      <w:r>
        <w:rPr>
          <w:rFonts w:ascii="Calibri" w:hAnsi="Calibri"/>
          <w:b/>
          <w:color w:val="9B1C1C"/>
          <w:sz w:val="26"/>
        </w:rPr>
        <w:t xml:space="preserve">P0  |  </w:t>
      </w:r>
      <w:r>
        <w:rPr>
          <w:rFonts w:ascii="Calibri" w:hAnsi="Calibri"/>
          <w:b/>
          <w:color w:val="2E74B5"/>
          <w:sz w:val="26"/>
        </w:rPr>
        <w:t>Separate production, development, and test data</w:t>
      </w:r>
    </w:p>
    <w:p>
      <w:r>
        <w:rPr>
          <w:rFonts w:ascii="Calibri" w:hAnsi="Calibri"/>
          <w:b/>
          <w:color w:val="1F4D78"/>
          <w:sz w:val="22"/>
        </w:rPr>
        <w:t xml:space="preserve">Observation: </w:t>
      </w:r>
      <w:r>
        <w:rPr>
          <w:rFonts w:ascii="Calibri" w:hAnsi="Calibri"/>
          <w:color w:val="222222"/>
          <w:sz w:val="22"/>
        </w:rPr>
        <w:t>The project audit records that local development targeted the production Neon database. The current local environment contains DATABASE_URL but no TEST_DATABASE_URL.</w:t>
      </w:r>
    </w:p>
    <w:p>
      <w:r>
        <w:rPr>
          <w:rFonts w:ascii="Calibri" w:hAnsi="Calibri"/>
          <w:b/>
          <w:color w:val="1F4D78"/>
          <w:sz w:val="22"/>
        </w:rPr>
        <w:t xml:space="preserve">Risk: </w:t>
      </w:r>
      <w:r>
        <w:rPr>
          <w:rFonts w:ascii="Calibri" w:hAnsi="Calibri"/>
          <w:color w:val="222222"/>
          <w:sz w:val="22"/>
        </w:rPr>
        <w:t>A developer command, seed script, migration, or future test can modify live customer data. The missing test database also makes local green results incomplete.</w:t>
      </w:r>
    </w:p>
    <w:p>
      <w:r>
        <w:rPr>
          <w:rFonts w:ascii="Calibri" w:hAnsi="Calibri"/>
          <w:b/>
          <w:color w:val="1F4D78"/>
          <w:sz w:val="22"/>
        </w:rPr>
        <w:t xml:space="preserve">Required action: </w:t>
      </w:r>
      <w:r>
        <w:rPr>
          <w:rFonts w:ascii="Calibri" w:hAnsi="Calibri"/>
          <w:color w:val="222222"/>
          <w:sz w:val="22"/>
        </w:rPr>
        <w:t>Create isolated Neon development and test branches, rotate the production credential if it remains local, add environment identity assertions, and make destructive scripts refuse production unless an explicit audited override is supplied.</w:t>
      </w:r>
    </w:p>
    <w:p>
      <w:pPr>
        <w:pStyle w:val="Evidence"/>
      </w:pPr>
      <w:r>
        <w:rPr>
          <w:rFonts w:ascii="Calibri" w:hAnsi="Calibri"/>
          <w:b/>
          <w:color w:val="5C6370"/>
          <w:sz w:val="18"/>
        </w:rPr>
        <w:t xml:space="preserve">Evidence: </w:t>
      </w:r>
      <w:hyperlink r:id="rId19">
        <w:r>
          <w:rPr>
            <w:rFonts w:ascii="Calibri" w:hAnsi="Calibri"/>
            <w:color w:val="2E74B5"/>
            <w:u w:val="single"/>
            <w:sz w:val="18"/>
          </w:rPr>
          <w:t>existing audit</w:t>
        </w:r>
      </w:hyperlink>
      <w:r>
        <w:rPr>
          <w:rFonts w:ascii="Calibri" w:hAnsi="Calibri"/>
          <w:color w:val="5C6370"/>
          <w:sz w:val="18"/>
        </w:rPr>
        <w:t xml:space="preserve">  |  </w:t>
      </w:r>
      <w:hyperlink r:id="rId20">
        <w:r>
          <w:rPr>
            <w:rFonts w:ascii="Calibri" w:hAnsi="Calibri"/>
            <w:color w:val="2E74B5"/>
            <w:u w:val="single"/>
            <w:sz w:val="18"/>
          </w:rPr>
          <w:t>self-hosting warning</w:t>
        </w:r>
      </w:hyperlink>
    </w:p>
    <w:p>
      <w:pPr>
        <w:pStyle w:val="Heading1"/>
        <w:pageBreakBefore/>
      </w:pPr>
      <w:r>
        <w:t>2. P0 launch blockers — continued</w:t>
      </w:r>
    </w:p>
    <w:p>
      <w:pPr>
        <w:pStyle w:val="Heading2"/>
        <w:keepNext/>
      </w:pPr>
      <w:r>
        <w:rPr>
          <w:rFonts w:ascii="Calibri" w:hAnsi="Calibri"/>
          <w:b/>
          <w:color w:val="9B1C1C"/>
          <w:sz w:val="26"/>
        </w:rPr>
        <w:t xml:space="preserve">P0  |  </w:t>
      </w:r>
      <w:r>
        <w:rPr>
          <w:rFonts w:ascii="Calibri" w:hAnsi="Calibri"/>
          <w:b/>
          <w:color w:val="2E74B5"/>
          <w:sz w:val="26"/>
        </w:rPr>
        <w:t>Make privacy erasure and retention enforceable</w:t>
      </w:r>
    </w:p>
    <w:p>
      <w:r>
        <w:rPr>
          <w:rFonts w:ascii="Calibri" w:hAnsi="Calibri"/>
          <w:b/>
          <w:color w:val="1F4D78"/>
          <w:sz w:val="22"/>
        </w:rPr>
        <w:t xml:space="preserve">Observation: </w:t>
      </w:r>
      <w:r>
        <w:rPr>
          <w:rFonts w:ascii="Calibri" w:hAnsi="Calibri"/>
          <w:color w:val="222222"/>
          <w:sz w:val="22"/>
        </w:rPr>
        <w:t>Due erasure runs only from a manual maintenance script. Account erasure clears course source_json but leaves extracted source content in source_versions, and it does not check active legal holds before deleting owned content and projections.</w:t>
      </w:r>
    </w:p>
    <w:p>
      <w:r>
        <w:rPr>
          <w:rFonts w:ascii="Calibri" w:hAnsi="Calibri"/>
          <w:b/>
          <w:color w:val="1F4D78"/>
          <w:sz w:val="22"/>
        </w:rPr>
        <w:t xml:space="preserve">Risk: </w:t>
      </w:r>
      <w:r>
        <w:rPr>
          <w:rFonts w:ascii="Calibri" w:hAnsi="Calibri"/>
          <w:color w:val="222222"/>
          <w:sz w:val="22"/>
        </w:rPr>
        <w:t>The product's 30-day deletion promise can miss its deadline, private source data can remain after erasure, and institutional hold commitments can be violated.</w:t>
      </w:r>
    </w:p>
    <w:p>
      <w:r>
        <w:rPr>
          <w:rFonts w:ascii="Calibri" w:hAnsi="Calibri"/>
          <w:b/>
          <w:color w:val="1F4D78"/>
          <w:sz w:val="22"/>
        </w:rPr>
        <w:t xml:space="preserve">Required action: </w:t>
      </w:r>
      <w:r>
        <w:rPr>
          <w:rFonts w:ascii="Calibri" w:hAnsi="Calibri"/>
          <w:color w:val="222222"/>
          <w:sz w:val="22"/>
        </w:rPr>
        <w:t>Schedule an authenticated, monitored daily job; cover every source table in erasure; enforce legal holds at scheduling and execution; add dry-run reporting, failure alerting, and cross-table deletion tests.</w:t>
      </w:r>
    </w:p>
    <w:p>
      <w:pPr>
        <w:pStyle w:val="Evidence"/>
      </w:pPr>
      <w:r>
        <w:rPr>
          <w:rFonts w:ascii="Calibri" w:hAnsi="Calibri"/>
          <w:b/>
          <w:color w:val="5C6370"/>
          <w:sz w:val="18"/>
        </w:rPr>
        <w:t xml:space="preserve">Evidence: </w:t>
      </w:r>
      <w:hyperlink r:id="rId21">
        <w:r>
          <w:rPr>
            <w:rFonts w:ascii="Calibri" w:hAnsi="Calibri"/>
            <w:color w:val="2E74B5"/>
            <w:u w:val="single"/>
            <w:sz w:val="18"/>
          </w:rPr>
          <w:t>privacy promise</w:t>
        </w:r>
      </w:hyperlink>
      <w:r>
        <w:rPr>
          <w:rFonts w:ascii="Calibri" w:hAnsi="Calibri"/>
          <w:color w:val="5C6370"/>
          <w:sz w:val="18"/>
        </w:rPr>
        <w:t xml:space="preserve">  |  </w:t>
      </w:r>
      <w:hyperlink r:id="rId22">
        <w:r>
          <w:rPr>
            <w:rFonts w:ascii="Calibri" w:hAnsi="Calibri"/>
            <w:color w:val="2E74B5"/>
            <w:u w:val="single"/>
            <w:sz w:val="18"/>
          </w:rPr>
          <w:t>erasure code</w:t>
        </w:r>
      </w:hyperlink>
      <w:r>
        <w:rPr>
          <w:rFonts w:ascii="Calibri" w:hAnsi="Calibri"/>
          <w:color w:val="5C6370"/>
          <w:sz w:val="18"/>
        </w:rPr>
        <w:t xml:space="preserve">  |  </w:t>
      </w:r>
      <w:hyperlink r:id="rId23">
        <w:r>
          <w:rPr>
            <w:rFonts w:ascii="Calibri" w:hAnsi="Calibri"/>
            <w:color w:val="2E74B5"/>
            <w:u w:val="single"/>
            <w:sz w:val="18"/>
          </w:rPr>
          <w:t>maintenance script</w:t>
        </w:r>
      </w:hyperlink>
      <w:r>
        <w:rPr>
          <w:rFonts w:ascii="Calibri" w:hAnsi="Calibri"/>
          <w:color w:val="5C6370"/>
          <w:sz w:val="18"/>
        </w:rPr>
        <w:t xml:space="preserve">  |  </w:t>
      </w:r>
      <w:hyperlink r:id="rId24">
        <w:r>
          <w:rPr>
            <w:rFonts w:ascii="Calibri" w:hAnsi="Calibri"/>
            <w:color w:val="2E74B5"/>
            <w:u w:val="single"/>
            <w:sz w:val="18"/>
          </w:rPr>
          <w:t>Vercel cron security</w:t>
        </w:r>
      </w:hyperlink>
    </w:p>
    <w:p>
      <w:pPr>
        <w:pStyle w:val="Heading2"/>
        <w:keepNext/>
      </w:pPr>
      <w:r>
        <w:rPr>
          <w:rFonts w:ascii="Calibri" w:hAnsi="Calibri"/>
          <w:b/>
          <w:color w:val="9B1C1C"/>
          <w:sz w:val="26"/>
        </w:rPr>
        <w:t xml:space="preserve">P0  |  </w:t>
      </w:r>
      <w:r>
        <w:rPr>
          <w:rFonts w:ascii="Calibri" w:hAnsi="Calibri"/>
          <w:b/>
          <w:color w:val="2E74B5"/>
          <w:sz w:val="26"/>
        </w:rPr>
        <w:t>Enforce source confidentiality and outbound network boundaries</w:t>
      </w:r>
    </w:p>
    <w:p>
      <w:r>
        <w:rPr>
          <w:rFonts w:ascii="Calibri" w:hAnsi="Calibri"/>
          <w:b/>
          <w:color w:val="1F4D78"/>
          <w:sz w:val="22"/>
        </w:rPr>
        <w:t xml:space="preserve">Observation: </w:t>
      </w:r>
      <w:r>
        <w:rPr>
          <w:rFonts w:ascii="Calibri" w:hAnsi="Calibri"/>
          <w:color w:val="222222"/>
          <w:sz w:val="22"/>
        </w:rPr>
        <w:t>Source access_policy is stored but listing, draft creation, and raw source-document reads rely on broad content capabilities rather than the owner/editors/members policy. Webhook and LTI URLs reject literal private IPs but do not resolve and pin DNS before requests.</w:t>
      </w:r>
    </w:p>
    <w:p>
      <w:r>
        <w:rPr>
          <w:rFonts w:ascii="Calibri" w:hAnsi="Calibri"/>
          <w:b/>
          <w:color w:val="1F4D78"/>
          <w:sz w:val="22"/>
        </w:rPr>
        <w:t xml:space="preserve">Risk: </w:t>
      </w:r>
      <w:r>
        <w:rPr>
          <w:rFonts w:ascii="Calibri" w:hAnsi="Calibri"/>
          <w:color w:val="222222"/>
          <w:sz w:val="22"/>
        </w:rPr>
        <w:t>Same-Space members may access proprietary extracted source content beyond its intended policy. Attacker-controlled DNS can redirect outbound integrations toward private network targets.</w:t>
      </w:r>
    </w:p>
    <w:p>
      <w:r>
        <w:rPr>
          <w:rFonts w:ascii="Calibri" w:hAnsi="Calibri"/>
          <w:b/>
          <w:color w:val="1F4D78"/>
          <w:sz w:val="22"/>
        </w:rPr>
        <w:t xml:space="preserve">Required action: </w:t>
      </w:r>
      <w:r>
        <w:rPr>
          <w:rFonts w:ascii="Calibri" w:hAnsi="Calibri"/>
          <w:color w:val="222222"/>
          <w:sz w:val="22"/>
        </w:rPr>
        <w:t>Centralize source-read authorization and apply it to listing, authoring, generation, export, and source-document routes. Reuse the DNS resolution, private-range rejection, and address-pinning design already implemented for webpage imports.</w:t>
      </w:r>
    </w:p>
    <w:p>
      <w:pPr>
        <w:pStyle w:val="Evidence"/>
      </w:pPr>
      <w:r>
        <w:rPr>
          <w:rFonts w:ascii="Calibri" w:hAnsi="Calibri"/>
          <w:b/>
          <w:color w:val="5C6370"/>
          <w:sz w:val="18"/>
        </w:rPr>
        <w:t xml:space="preserve">Evidence: </w:t>
      </w:r>
      <w:hyperlink r:id="rId25">
        <w:r>
          <w:rPr>
            <w:rFonts w:ascii="Calibri" w:hAnsi="Calibri"/>
            <w:color w:val="2E74B5"/>
            <w:u w:val="single"/>
            <w:sz w:val="18"/>
          </w:rPr>
          <w:t>source listing</w:t>
        </w:r>
      </w:hyperlink>
      <w:r>
        <w:rPr>
          <w:rFonts w:ascii="Calibri" w:hAnsi="Calibri"/>
          <w:color w:val="5C6370"/>
          <w:sz w:val="18"/>
        </w:rPr>
        <w:t xml:space="preserve">  |  </w:t>
      </w:r>
      <w:hyperlink r:id="rId26">
        <w:r>
          <w:rPr>
            <w:rFonts w:ascii="Calibri" w:hAnsi="Calibri"/>
            <w:color w:val="2E74B5"/>
            <w:u w:val="single"/>
            <w:sz w:val="18"/>
          </w:rPr>
          <w:t>source draft creation</w:t>
        </w:r>
      </w:hyperlink>
      <w:r>
        <w:rPr>
          <w:rFonts w:ascii="Calibri" w:hAnsi="Calibri"/>
          <w:color w:val="5C6370"/>
          <w:sz w:val="18"/>
        </w:rPr>
        <w:t xml:space="preserve">  |  </w:t>
      </w:r>
      <w:hyperlink r:id="rId27">
        <w:r>
          <w:rPr>
            <w:rFonts w:ascii="Calibri" w:hAnsi="Calibri"/>
            <w:color w:val="2E74B5"/>
            <w:u w:val="single"/>
            <w:sz w:val="18"/>
          </w:rPr>
          <w:t>role capabilities</w:t>
        </w:r>
      </w:hyperlink>
      <w:r>
        <w:rPr>
          <w:rFonts w:ascii="Calibri" w:hAnsi="Calibri"/>
          <w:color w:val="5C6370"/>
          <w:sz w:val="18"/>
        </w:rPr>
        <w:t xml:space="preserve">  |  </w:t>
      </w:r>
      <w:hyperlink r:id="rId28">
        <w:r>
          <w:rPr>
            <w:rFonts w:ascii="Calibri" w:hAnsi="Calibri"/>
            <w:color w:val="2E74B5"/>
            <w:u w:val="single"/>
            <w:sz w:val="18"/>
          </w:rPr>
          <w:t>webhook URL</w:t>
        </w:r>
      </w:hyperlink>
      <w:r>
        <w:rPr>
          <w:rFonts w:ascii="Calibri" w:hAnsi="Calibri"/>
          <w:color w:val="5C6370"/>
          <w:sz w:val="18"/>
        </w:rPr>
        <w:t xml:space="preserve">  |  </w:t>
      </w:r>
      <w:hyperlink r:id="rId29">
        <w:r>
          <w:rPr>
            <w:rFonts w:ascii="Calibri" w:hAnsi="Calibri"/>
            <w:color w:val="2E74B5"/>
            <w:u w:val="single"/>
            <w:sz w:val="18"/>
          </w:rPr>
          <w:t>LTI JWKS</w:t>
        </w:r>
      </w:hyperlink>
    </w:p>
    <w:p>
      <w:pPr>
        <w:pStyle w:val="Heading2"/>
        <w:keepNext/>
      </w:pPr>
      <w:r>
        <w:rPr>
          <w:rFonts w:ascii="Calibri" w:hAnsi="Calibri"/>
          <w:b/>
          <w:color w:val="9B1C1C"/>
          <w:sz w:val="26"/>
        </w:rPr>
        <w:t xml:space="preserve">P0  |  </w:t>
      </w:r>
      <w:r>
        <w:rPr>
          <w:rFonts w:ascii="Calibri" w:hAnsi="Calibri"/>
          <w:b/>
          <w:color w:val="2E74B5"/>
          <w:sz w:val="26"/>
        </w:rPr>
        <w:t>Replace or constrain the hosted upload path</w:t>
      </w:r>
    </w:p>
    <w:p>
      <w:r>
        <w:rPr>
          <w:rFonts w:ascii="Calibri" w:hAnsi="Calibri"/>
          <w:b/>
          <w:color w:val="1F4D78"/>
          <w:sz w:val="22"/>
        </w:rPr>
        <w:t xml:space="preserve">Observation: </w:t>
      </w:r>
      <w:r>
        <w:rPr>
          <w:rFonts w:ascii="Calibri" w:hAnsi="Calibri"/>
          <w:color w:val="222222"/>
          <w:sz w:val="22"/>
        </w:rPr>
        <w:t>The route buffers multipart form data before checking a 50 MB application limit and then duplicates the file into an array buffer. PDF and DOCX extraction lacks a total page, archive expansion, extracted-text, and execution-time budget.</w:t>
      </w:r>
    </w:p>
    <w:p>
      <w:r>
        <w:rPr>
          <w:rFonts w:ascii="Calibri" w:hAnsi="Calibri"/>
          <w:b/>
          <w:color w:val="1F4D78"/>
          <w:sz w:val="22"/>
        </w:rPr>
        <w:t xml:space="preserve">Risk: </w:t>
      </w:r>
      <w:r>
        <w:rPr>
          <w:rFonts w:ascii="Calibri" w:hAnsi="Calibri"/>
          <w:color w:val="222222"/>
          <w:sz w:val="22"/>
        </w:rPr>
        <w:t>Vercel Functions currently impose a 4.5 MB request-body limit, so the documented 50 MB behavior cannot work reliably in the deployed architecture. Compressed or complex documents can also exhaust memory or processing time.</w:t>
      </w:r>
    </w:p>
    <w:p>
      <w:r>
        <w:rPr>
          <w:rFonts w:ascii="Calibri" w:hAnsi="Calibri"/>
          <w:b/>
          <w:color w:val="1F4D78"/>
          <w:sz w:val="22"/>
        </w:rPr>
        <w:t xml:space="preserve">Required action: </w:t>
      </w:r>
      <w:r>
        <w:rPr>
          <w:rFonts w:ascii="Calibri" w:hAnsi="Calibri"/>
          <w:color w:val="222222"/>
          <w:sz w:val="22"/>
        </w:rPr>
        <w:t>Use direct object-storage upload and background extraction, or immediately reduce the advertised limit. Add magic-byte checks, archive/page/text budgets, timeouts, and an isolated extraction worker.</w:t>
      </w:r>
    </w:p>
    <w:p>
      <w:pPr>
        <w:pStyle w:val="Evidence"/>
      </w:pPr>
      <w:r>
        <w:rPr>
          <w:rFonts w:ascii="Calibri" w:hAnsi="Calibri"/>
          <w:b/>
          <w:color w:val="5C6370"/>
          <w:sz w:val="18"/>
        </w:rPr>
        <w:t xml:space="preserve">Evidence: </w:t>
      </w:r>
      <w:hyperlink r:id="rId30">
        <w:r>
          <w:rPr>
            <w:rFonts w:ascii="Calibri" w:hAnsi="Calibri"/>
            <w:color w:val="2E74B5"/>
            <w:u w:val="single"/>
            <w:sz w:val="18"/>
          </w:rPr>
          <w:t>upload route</w:t>
        </w:r>
      </w:hyperlink>
      <w:r>
        <w:rPr>
          <w:rFonts w:ascii="Calibri" w:hAnsi="Calibri"/>
          <w:color w:val="5C6370"/>
          <w:sz w:val="18"/>
        </w:rPr>
        <w:t xml:space="preserve">  |  </w:t>
      </w:r>
      <w:hyperlink r:id="rId31">
        <w:r>
          <w:rPr>
            <w:rFonts w:ascii="Calibri" w:hAnsi="Calibri"/>
            <w:color w:val="2E74B5"/>
            <w:u w:val="single"/>
            <w:sz w:val="18"/>
          </w:rPr>
          <w:t>extractor</w:t>
        </w:r>
      </w:hyperlink>
      <w:r>
        <w:rPr>
          <w:rFonts w:ascii="Calibri" w:hAnsi="Calibri"/>
          <w:color w:val="5C6370"/>
          <w:sz w:val="18"/>
        </w:rPr>
        <w:t xml:space="preserve">  |  </w:t>
      </w:r>
      <w:hyperlink r:id="rId32">
        <w:r>
          <w:rPr>
            <w:rFonts w:ascii="Calibri" w:hAnsi="Calibri"/>
            <w:color w:val="2E74B5"/>
            <w:u w:val="single"/>
            <w:sz w:val="18"/>
          </w:rPr>
          <w:t>Vercel 4.5 MB limit</w:t>
        </w:r>
      </w:hyperlink>
    </w:p>
    <w:p>
      <w:r>
        <w:br w:type="page"/>
      </w:r>
    </w:p>
    <w:p>
      <w:pPr>
        <w:pStyle w:val="Heading1"/>
      </w:pPr>
      <w:r>
        <w:t>3. Production operations and conditional launch gates</w:t>
      </w:r>
    </w:p>
    <w:p>
      <w:pPr>
        <w:pStyle w:val="Heading2"/>
        <w:keepNext/>
      </w:pPr>
      <w:r>
        <w:rPr>
          <w:rFonts w:ascii="Calibri" w:hAnsi="Calibri"/>
          <w:b/>
          <w:color w:val="9B1C1C"/>
          <w:sz w:val="26"/>
        </w:rPr>
        <w:t xml:space="preserve">P0  |  </w:t>
      </w:r>
      <w:r>
        <w:rPr>
          <w:rFonts w:ascii="Calibri" w:hAnsi="Calibri"/>
          <w:b/>
          <w:color w:val="2E74B5"/>
          <w:sz w:val="26"/>
        </w:rPr>
        <w:t>Establish minimum production operations</w:t>
      </w:r>
    </w:p>
    <w:p>
      <w:r>
        <w:rPr>
          <w:rFonts w:ascii="Calibri" w:hAnsi="Calibri"/>
          <w:b/>
          <w:color w:val="1F4D78"/>
          <w:sz w:val="22"/>
        </w:rPr>
        <w:t xml:space="preserve">Observation: </w:t>
      </w:r>
      <w:r>
        <w:rPr>
          <w:rFonts w:ascii="Calibri" w:hAnsi="Calibri"/>
          <w:color w:val="222222"/>
          <w:sz w:val="22"/>
        </w:rPr>
        <w:t>The repository has strong CI but no repository-controlled deployment gate, health/readiness route, external error alerting, browser E2E suite, scheduled operational jobs, or SHA-specific post-deploy verification. Migrations can execute lazily on the first live request.</w:t>
      </w:r>
    </w:p>
    <w:p>
      <w:r>
        <w:rPr>
          <w:rFonts w:ascii="Calibri" w:hAnsi="Calibri"/>
          <w:b/>
          <w:color w:val="1F4D78"/>
          <w:sz w:val="22"/>
        </w:rPr>
        <w:t xml:space="preserve">Risk: </w:t>
      </w:r>
      <w:r>
        <w:rPr>
          <w:rFonts w:ascii="Calibri" w:hAnsi="Calibri"/>
          <w:color w:val="222222"/>
          <w:sz w:val="22"/>
        </w:rPr>
        <w:t>Failures can remain invisible until an administrator opens the dashboard; slow migrations can block traffic; and rollback or recovery decisions lack objective criteria.</w:t>
      </w:r>
    </w:p>
    <w:p>
      <w:r>
        <w:rPr>
          <w:rFonts w:ascii="Calibri" w:hAnsi="Calibri"/>
          <w:b/>
          <w:color w:val="1F4D78"/>
          <w:sz w:val="22"/>
        </w:rPr>
        <w:t xml:space="preserve">Required action: </w:t>
      </w:r>
      <w:r>
        <w:rPr>
          <w:rFonts w:ascii="Calibri" w:hAnsi="Calibri"/>
          <w:color w:val="222222"/>
          <w:sz w:val="22"/>
        </w:rPr>
        <w:t>Add external uptime/error alerts, queue-age alarms, health/readiness endpoints, critical browser E2E tests, explicit pre-traffic migrations, post-deploy smoke checks, rollback criteria, and recurring restore drills against the current schema and production PostgreSQL major version.</w:t>
      </w:r>
    </w:p>
    <w:p>
      <w:pPr>
        <w:pStyle w:val="Evidence"/>
      </w:pPr>
      <w:r>
        <w:rPr>
          <w:rFonts w:ascii="Calibri" w:hAnsi="Calibri"/>
          <w:b/>
          <w:color w:val="5C6370"/>
          <w:sz w:val="18"/>
        </w:rPr>
        <w:t xml:space="preserve">Evidence: </w:t>
      </w:r>
      <w:hyperlink r:id="rId33">
        <w:r>
          <w:rPr>
            <w:rFonts w:ascii="Calibri" w:hAnsi="Calibri"/>
            <w:color w:val="2E74B5"/>
            <w:u w:val="single"/>
            <w:sz w:val="18"/>
          </w:rPr>
          <w:t>CI workflow</w:t>
        </w:r>
      </w:hyperlink>
      <w:r>
        <w:rPr>
          <w:rFonts w:ascii="Calibri" w:hAnsi="Calibri"/>
          <w:color w:val="5C6370"/>
          <w:sz w:val="18"/>
        </w:rPr>
        <w:t xml:space="preserve">  |  </w:t>
      </w:r>
      <w:hyperlink r:id="rId34">
        <w:r>
          <w:rPr>
            <w:rFonts w:ascii="Calibri" w:hAnsi="Calibri"/>
            <w:color w:val="2E74B5"/>
            <w:u w:val="single"/>
            <w:sz w:val="18"/>
          </w:rPr>
          <w:t>instrumentation</w:t>
        </w:r>
      </w:hyperlink>
      <w:r>
        <w:rPr>
          <w:rFonts w:ascii="Calibri" w:hAnsi="Calibri"/>
          <w:color w:val="5C6370"/>
          <w:sz w:val="18"/>
        </w:rPr>
        <w:t xml:space="preserve">  |  </w:t>
      </w:r>
      <w:hyperlink r:id="rId35">
        <w:r>
          <w:rPr>
            <w:rFonts w:ascii="Calibri" w:hAnsi="Calibri"/>
            <w:color w:val="2E74B5"/>
            <w:u w:val="single"/>
            <w:sz w:val="18"/>
          </w:rPr>
          <w:t>lazy migrations</w:t>
        </w:r>
      </w:hyperlink>
      <w:r>
        <w:rPr>
          <w:rFonts w:ascii="Calibri" w:hAnsi="Calibri"/>
          <w:color w:val="5C6370"/>
          <w:sz w:val="18"/>
        </w:rPr>
        <w:t xml:space="preserve">  |  </w:t>
      </w:r>
      <w:hyperlink r:id="rId36">
        <w:r>
          <w:rPr>
            <w:rFonts w:ascii="Calibri" w:hAnsi="Calibri"/>
            <w:color w:val="2E74B5"/>
            <w:u w:val="single"/>
            <w:sz w:val="18"/>
          </w:rPr>
          <w:t>deployment guide</w:t>
        </w:r>
      </w:hyperlink>
    </w:p>
    <w:p>
      <w:pPr>
        <w:pStyle w:val="Heading2"/>
        <w:keepNext/>
      </w:pPr>
      <w:r>
        <w:rPr>
          <w:rFonts w:ascii="Calibri" w:hAnsi="Calibri"/>
          <w:b/>
          <w:color w:val="9B1C1C"/>
          <w:sz w:val="26"/>
        </w:rPr>
        <w:t xml:space="preserve">P0  |  </w:t>
      </w:r>
      <w:r>
        <w:rPr>
          <w:rFonts w:ascii="Calibri" w:hAnsi="Calibri"/>
          <w:b/>
          <w:color w:val="2E74B5"/>
          <w:sz w:val="26"/>
        </w:rPr>
        <w:t>Paid launch: make payment fulfillment durable</w:t>
      </w:r>
    </w:p>
    <w:p>
      <w:r>
        <w:rPr>
          <w:rFonts w:ascii="Calibri" w:hAnsi="Calibri"/>
          <w:b/>
          <w:color w:val="1F4D78"/>
          <w:sz w:val="22"/>
        </w:rPr>
        <w:t xml:space="preserve">Observation: </w:t>
      </w:r>
      <w:r>
        <w:rPr>
          <w:rFonts w:ascii="Calibri" w:hAnsi="Calibri"/>
          <w:color w:val="222222"/>
          <w:sz w:val="22"/>
        </w:rPr>
        <w:t>Billing completion relies on the browser returning through a GET callback. There is no signed Flutterwave webhook or reconciliation worker, and a transient failed verification can make a transaction terminal before a later valid confirmation.</w:t>
      </w:r>
    </w:p>
    <w:p>
      <w:r>
        <w:rPr>
          <w:rFonts w:ascii="Calibri" w:hAnsi="Calibri"/>
          <w:b/>
          <w:color w:val="1F4D78"/>
          <w:sz w:val="22"/>
        </w:rPr>
        <w:t xml:space="preserve">Risk: </w:t>
      </w:r>
      <w:r>
        <w:rPr>
          <w:rFonts w:ascii="Calibri" w:hAnsi="Calibri"/>
          <w:color w:val="222222"/>
          <w:sz w:val="22"/>
        </w:rPr>
        <w:t>Customers can pay without receiving entitlement, while support has no automated reconciliation or refund workflow. BILLING_TEST_MODE=1 can also simulate paid fulfillment in production.</w:t>
      </w:r>
    </w:p>
    <w:p>
      <w:r>
        <w:rPr>
          <w:rFonts w:ascii="Calibri" w:hAnsi="Calibri"/>
          <w:b/>
          <w:color w:val="1F4D78"/>
          <w:sz w:val="22"/>
        </w:rPr>
        <w:t xml:space="preserve">Required action: </w:t>
      </w:r>
      <w:r>
        <w:rPr>
          <w:rFonts w:ascii="Calibri" w:hAnsi="Calibri"/>
          <w:color w:val="222222"/>
          <w:sz w:val="22"/>
        </w:rPr>
        <w:t>Before accepting payment, add signed provider webhooks, retryable verification states, scheduled reconciliation, payment failure alerts, refund and support procedures, and a hard production prohibition on simulated billing.</w:t>
      </w:r>
    </w:p>
    <w:p>
      <w:pPr>
        <w:pStyle w:val="Evidence"/>
      </w:pPr>
      <w:r>
        <w:rPr>
          <w:rFonts w:ascii="Calibri" w:hAnsi="Calibri"/>
          <w:b/>
          <w:color w:val="5C6370"/>
          <w:sz w:val="18"/>
        </w:rPr>
        <w:t xml:space="preserve">Evidence: </w:t>
      </w:r>
      <w:hyperlink r:id="rId37">
        <w:r>
          <w:rPr>
            <w:rFonts w:ascii="Calibri" w:hAnsi="Calibri"/>
            <w:color w:val="2E74B5"/>
            <w:u w:val="single"/>
            <w:sz w:val="18"/>
          </w:rPr>
          <w:t>billing verification</w:t>
        </w:r>
      </w:hyperlink>
      <w:r>
        <w:rPr>
          <w:rFonts w:ascii="Calibri" w:hAnsi="Calibri"/>
          <w:color w:val="5C6370"/>
          <w:sz w:val="18"/>
        </w:rPr>
        <w:t xml:space="preserve">  |  </w:t>
      </w:r>
      <w:hyperlink r:id="rId38">
        <w:r>
          <w:rPr>
            <w:rFonts w:ascii="Calibri" w:hAnsi="Calibri"/>
            <w:color w:val="2E74B5"/>
            <w:u w:val="single"/>
            <w:sz w:val="18"/>
          </w:rPr>
          <w:t>payment callback</w:t>
        </w:r>
      </w:hyperlink>
      <w:r>
        <w:rPr>
          <w:rFonts w:ascii="Calibri" w:hAnsi="Calibri"/>
          <w:color w:val="5C6370"/>
          <w:sz w:val="18"/>
        </w:rPr>
        <w:t xml:space="preserve">  |  </w:t>
      </w:r>
      <w:hyperlink r:id="rId39">
        <w:r>
          <w:rPr>
            <w:rFonts w:ascii="Calibri" w:hAnsi="Calibri"/>
            <w:color w:val="2E74B5"/>
            <w:u w:val="single"/>
            <w:sz w:val="18"/>
          </w:rPr>
          <w:t>atomic fulfillment</w:t>
        </w:r>
      </w:hyperlink>
    </w:p>
    <w:p>
      <w:pPr>
        <w:pStyle w:val="Heading2"/>
        <w:keepNext/>
      </w:pPr>
      <w:r>
        <w:rPr>
          <w:rFonts w:ascii="Calibri" w:hAnsi="Calibri"/>
          <w:b/>
          <w:color w:val="7A5A00"/>
          <w:sz w:val="26"/>
        </w:rPr>
        <w:t xml:space="preserve">P1  |  </w:t>
      </w:r>
      <w:r>
        <w:rPr>
          <w:rFonts w:ascii="Calibri" w:hAnsi="Calibri"/>
          <w:b/>
          <w:color w:val="2E74B5"/>
          <w:sz w:val="26"/>
        </w:rPr>
        <w:t>Publish legal notices and public content governance</w:t>
      </w:r>
    </w:p>
    <w:p>
      <w:r>
        <w:rPr>
          <w:rFonts w:ascii="Calibri" w:hAnsi="Calibri"/>
          <w:b/>
          <w:color w:val="1F4D78"/>
          <w:sz w:val="22"/>
        </w:rPr>
        <w:t xml:space="preserve">Observation: </w:t>
      </w:r>
      <w:r>
        <w:rPr>
          <w:rFonts w:ascii="Calibri" w:hAnsi="Calibri"/>
          <w:color w:val="222222"/>
          <w:sz w:val="22"/>
        </w:rPr>
        <w:t>Registration records acceptance of service terms and a privacy notice, but neither is linked or published. Public course publication has no user reporting, moderation queue, copyright/takedown, or abuse-response workflow.</w:t>
      </w:r>
    </w:p>
    <w:p>
      <w:r>
        <w:rPr>
          <w:rFonts w:ascii="Calibri" w:hAnsi="Calibri"/>
          <w:b/>
          <w:color w:val="1F4D78"/>
          <w:sz w:val="22"/>
        </w:rPr>
        <w:t xml:space="preserve">Risk: </w:t>
      </w:r>
      <w:r>
        <w:rPr>
          <w:rFonts w:ascii="Calibri" w:hAnsi="Calibri"/>
          <w:color w:val="222222"/>
          <w:sz w:val="22"/>
        </w:rPr>
        <w:t>Consent evidence is weak because the accepted text is unavailable, and the platform lacks a defined response to harmful or infringing public submissions.</w:t>
      </w:r>
    </w:p>
    <w:p>
      <w:r>
        <w:rPr>
          <w:rFonts w:ascii="Calibri" w:hAnsi="Calibri"/>
          <w:b/>
          <w:color w:val="1F4D78"/>
          <w:sz w:val="22"/>
        </w:rPr>
        <w:t xml:space="preserve">Required action: </w:t>
      </w:r>
      <w:r>
        <w:rPr>
          <w:rFonts w:ascii="Calibri" w:hAnsi="Calibri"/>
          <w:color w:val="222222"/>
          <w:sz w:val="22"/>
        </w:rPr>
        <w:t>Publish versioned terms and a privacy notice, link them at registration, define operator and subprocessor disclosures, and operationalize reporting, moderation, takedown, appeals, and incident ownership before a broad public launch.</w:t>
      </w:r>
    </w:p>
    <w:p>
      <w:pPr>
        <w:pStyle w:val="Evidence"/>
      </w:pPr>
      <w:r>
        <w:rPr>
          <w:rFonts w:ascii="Calibri" w:hAnsi="Calibri"/>
          <w:b/>
          <w:color w:val="5C6370"/>
          <w:sz w:val="18"/>
        </w:rPr>
        <w:t xml:space="preserve">Evidence: </w:t>
      </w:r>
      <w:hyperlink r:id="rId40">
        <w:r>
          <w:rPr>
            <w:rFonts w:ascii="Calibri" w:hAnsi="Calibri"/>
            <w:color w:val="2E74B5"/>
            <w:u w:val="single"/>
            <w:sz w:val="18"/>
          </w:rPr>
          <w:t>registration copy</w:t>
        </w:r>
      </w:hyperlink>
      <w:r>
        <w:rPr>
          <w:rFonts w:ascii="Calibri" w:hAnsi="Calibri"/>
          <w:color w:val="5C6370"/>
          <w:sz w:val="18"/>
        </w:rPr>
        <w:t xml:space="preserve">  |  </w:t>
      </w:r>
      <w:hyperlink r:id="rId41">
        <w:r>
          <w:rPr>
            <w:rFonts w:ascii="Calibri" w:hAnsi="Calibri"/>
            <w:color w:val="2E74B5"/>
            <w:u w:val="single"/>
            <w:sz w:val="18"/>
          </w:rPr>
          <w:t>open moderation gate</w:t>
        </w:r>
      </w:hyperlink>
    </w:p>
    <w:p>
      <w:r>
        <w:br w:type="page"/>
      </w:r>
    </w:p>
    <w:p>
      <w:pPr>
        <w:pStyle w:val="Heading1"/>
      </w:pPr>
      <w:r>
        <w:t>4. Staged go-live decision</w:t>
      </w:r>
    </w:p>
    <w:p>
      <w:r>
        <w:rPr>
          <w:rFonts w:ascii="Calibri" w:hAnsi="Calibri"/>
          <w:color w:val="222222"/>
          <w:sz w:val="22"/>
        </w:rPr>
        <w:t>Production readiness depends on the intended launch stage. A narrowly supervised beta has a different evidence threshold from paid or institutional production.</w:t>
      </w:r>
    </w:p>
    <w:tbl>
      <w:tblPr>
        <w:tblW w:type="dxa" w:w="9360"/>
        <w:tblLayout w:type="fixed"/>
        <w:tblLook w:firstColumn="1" w:firstRow="1" w:lastColumn="0" w:lastRow="0" w:noHBand="0" w:noVBand="1" w:val="04A0"/>
        <w:jc w:val="left"/>
        <w:tblInd w:w="120" w:type="dxa"/>
        <w:tblBorders>
          <w:top w:val="single" w:sz="4" w:space="0" w:color="D7DCE2"/>
          <w:left w:val="single" w:sz="4" w:space="0" w:color="D7DCE2"/>
          <w:bottom w:val="single" w:sz="4" w:space="0" w:color="D7DCE2"/>
          <w:right w:val="single" w:sz="4" w:space="0" w:color="D7DCE2"/>
          <w:insideH w:val="single" w:sz="4" w:space="0" w:color="D7DCE2"/>
          <w:insideV w:val="single" w:sz="4" w:space="0" w:color="D7DCE2"/>
        </w:tblBorders>
      </w:tblPr>
      <w:tblGrid>
        <w:gridCol w:w="2050"/>
        <w:gridCol w:w="1450"/>
        <w:gridCol w:w="5860"/>
      </w:tblGrid>
      <w:tr>
        <w:trPr>
          <w:tblHeader w:val="true"/>
        </w:trPr>
        <w:tc>
          <w:tcPr>
            <w:tcW w:type="dxa" w:w="2050"/>
            <w:tcMar>
              <w:top w:w="80" w:type="dxa"/>
              <w:bottom w:w="80" w:type="dxa"/>
              <w:start w:w="120" w:type="dxa"/>
              <w:end w:w="120" w:type="dxa"/>
            </w:tcMar>
            <w:vAlign w:val="center"/>
            <w:shd w:fill="F2F4F7"/>
          </w:tcPr>
          <w:p>
            <w:pPr>
              <w:spacing w:after="0"/>
              <w:jc w:val="left"/>
            </w:pPr>
            <w:r>
              <w:rPr>
                <w:rFonts w:ascii="Calibri" w:hAnsi="Calibri"/>
                <w:b/>
                <w:color w:val="1F4D78"/>
                <w:sz w:val="19"/>
              </w:rPr>
              <w:t>Launch stage</w:t>
            </w:r>
          </w:p>
        </w:tc>
        <w:tc>
          <w:tcPr>
            <w:tcW w:type="dxa" w:w="1450"/>
            <w:tcMar>
              <w:top w:w="80" w:type="dxa"/>
              <w:bottom w:w="80" w:type="dxa"/>
              <w:start w:w="120" w:type="dxa"/>
              <w:end w:w="120" w:type="dxa"/>
            </w:tcMar>
            <w:vAlign w:val="center"/>
            <w:shd w:fill="F2F4F7"/>
          </w:tcPr>
          <w:p>
            <w:pPr>
              <w:spacing w:after="0"/>
              <w:jc w:val="center"/>
            </w:pPr>
            <w:r>
              <w:rPr>
                <w:rFonts w:ascii="Calibri" w:hAnsi="Calibri"/>
                <w:b/>
                <w:color w:val="1F4D78"/>
                <w:sz w:val="19"/>
              </w:rPr>
              <w:t>Decision</w:t>
            </w:r>
          </w:p>
        </w:tc>
        <w:tc>
          <w:tcPr>
            <w:tcW w:type="dxa" w:w="5860"/>
            <w:tcMar>
              <w:top w:w="80" w:type="dxa"/>
              <w:bottom w:w="80" w:type="dxa"/>
              <w:start w:w="120" w:type="dxa"/>
              <w:end w:w="120" w:type="dxa"/>
            </w:tcMar>
            <w:vAlign w:val="center"/>
            <w:shd w:fill="F2F4F7"/>
          </w:tcPr>
          <w:p>
            <w:pPr>
              <w:spacing w:after="0"/>
              <w:jc w:val="left"/>
            </w:pPr>
            <w:r>
              <w:rPr>
                <w:rFonts w:ascii="Calibri" w:hAnsi="Calibri"/>
                <w:b/>
                <w:color w:val="1F4D78"/>
                <w:sz w:val="19"/>
              </w:rPr>
              <w:t>Minimum closure evidence</w:t>
            </w:r>
          </w:p>
        </w:tc>
      </w:tr>
      <w:tr>
        <w:tc>
          <w:tcPr>
            <w:tcW w:type="dxa" w:w="2050"/>
            <w:tcMar>
              <w:top w:w="80" w:type="dxa"/>
              <w:bottom w:w="80" w:type="dxa"/>
              <w:start w:w="120" w:type="dxa"/>
              <w:end w:w="120" w:type="dxa"/>
            </w:tcMar>
            <w:vAlign w:val="center"/>
          </w:tcPr>
          <w:p>
            <w:pPr>
              <w:spacing w:after="0" w:line="252" w:lineRule="auto"/>
              <w:jc w:val="left"/>
            </w:pPr>
            <w:r>
              <w:rPr>
                <w:rFonts w:ascii="Calibri" w:hAnsi="Calibri"/>
                <w:color w:val="222222"/>
                <w:sz w:val="18"/>
              </w:rPr>
              <w:t>Supervised internal / limited beta</w:t>
            </w:r>
          </w:p>
        </w:tc>
        <w:tc>
          <w:tcPr>
            <w:tcW w:type="dxa" w:w="1450"/>
            <w:tcMar>
              <w:top w:w="80" w:type="dxa"/>
              <w:bottom w:w="80" w:type="dxa"/>
              <w:start w:w="120" w:type="dxa"/>
              <w:end w:w="120" w:type="dxa"/>
            </w:tcMar>
            <w:vAlign w:val="center"/>
          </w:tcPr>
          <w:p>
            <w:pPr>
              <w:spacing w:after="0" w:line="252" w:lineRule="auto"/>
              <w:jc w:val="center"/>
            </w:pPr>
            <w:r>
              <w:rPr>
                <w:rFonts w:ascii="Calibri" w:hAnsi="Calibri"/>
                <w:color w:val="222222"/>
                <w:sz w:val="18"/>
              </w:rPr>
              <w:t>Conditional</w:t>
            </w:r>
          </w:p>
        </w:tc>
        <w:tc>
          <w:tcPr>
            <w:tcW w:type="dxa" w:w="5860"/>
            <w:tcMar>
              <w:top w:w="80" w:type="dxa"/>
              <w:bottom w:w="80" w:type="dxa"/>
              <w:start w:w="120" w:type="dxa"/>
              <w:end w:w="120" w:type="dxa"/>
            </w:tcMar>
            <w:vAlign w:val="center"/>
          </w:tcPr>
          <w:p>
            <w:pPr>
              <w:spacing w:after="0" w:line="252" w:lineRule="auto"/>
              <w:jc w:val="left"/>
            </w:pPr>
            <w:r>
              <w:rPr>
                <w:rFonts w:ascii="Calibri" w:hAnsi="Calibri"/>
                <w:color w:val="222222"/>
                <w:sz w:val="18"/>
              </w:rPr>
              <w:t>Restricted users, no paid launch, no institutional commitments, active manual monitoring, and explicit AI spend supervision.</w:t>
            </w:r>
          </w:p>
        </w:tc>
      </w:tr>
      <w:tr>
        <w:tc>
          <w:tcPr>
            <w:tcW w:type="dxa" w:w="2050"/>
            <w:tcMar>
              <w:top w:w="80" w:type="dxa"/>
              <w:bottom w:w="80" w:type="dxa"/>
              <w:start w:w="120" w:type="dxa"/>
              <w:end w:w="120" w:type="dxa"/>
            </w:tcMar>
            <w:vAlign w:val="center"/>
          </w:tcPr>
          <w:p>
            <w:pPr>
              <w:spacing w:after="0" w:line="252" w:lineRule="auto"/>
              <w:jc w:val="left"/>
            </w:pPr>
            <w:r>
              <w:rPr>
                <w:rFonts w:ascii="Calibri" w:hAnsi="Calibri"/>
                <w:color w:val="222222"/>
                <w:sz w:val="18"/>
              </w:rPr>
              <w:t>Unsupervised public free launch</w:t>
            </w:r>
          </w:p>
        </w:tc>
        <w:tc>
          <w:tcPr>
            <w:tcW w:type="dxa" w:w="1450"/>
            <w:tcMar>
              <w:top w:w="80" w:type="dxa"/>
              <w:bottom w:w="80" w:type="dxa"/>
              <w:start w:w="120" w:type="dxa"/>
              <w:end w:w="120" w:type="dxa"/>
            </w:tcMar>
            <w:vAlign w:val="center"/>
          </w:tcPr>
          <w:p>
            <w:pPr>
              <w:spacing w:after="0" w:line="252" w:lineRule="auto"/>
              <w:jc w:val="center"/>
            </w:pPr>
            <w:r>
              <w:rPr>
                <w:rFonts w:ascii="Calibri" w:hAnsi="Calibri"/>
                <w:color w:val="222222"/>
                <w:sz w:val="18"/>
              </w:rPr>
              <w:t>NO-GO</w:t>
            </w:r>
          </w:p>
        </w:tc>
        <w:tc>
          <w:tcPr>
            <w:tcW w:type="dxa" w:w="5860"/>
            <w:tcMar>
              <w:top w:w="80" w:type="dxa"/>
              <w:bottom w:w="80" w:type="dxa"/>
              <w:start w:w="120" w:type="dxa"/>
              <w:end w:w="120" w:type="dxa"/>
            </w:tcMar>
            <w:vAlign w:val="center"/>
          </w:tcPr>
          <w:p>
            <w:pPr>
              <w:spacing w:after="0" w:line="252" w:lineRule="auto"/>
              <w:jc w:val="left"/>
            </w:pPr>
            <w:r>
              <w:rPr>
                <w:rFonts w:ascii="Calibri" w:hAnsi="Calibri"/>
                <w:color w:val="222222"/>
                <w:sz w:val="18"/>
              </w:rPr>
              <w:t>Close identity/bootstrap, AI abuse, environment isolation, privacy, source authorization/SSRF, upload, and minimum operations findings; publish legal notices and abuse response.</w:t>
            </w:r>
          </w:p>
        </w:tc>
      </w:tr>
      <w:tr>
        <w:tc>
          <w:tcPr>
            <w:tcW w:type="dxa" w:w="2050"/>
            <w:tcMar>
              <w:top w:w="80" w:type="dxa"/>
              <w:bottom w:w="80" w:type="dxa"/>
              <w:start w:w="120" w:type="dxa"/>
              <w:end w:w="120" w:type="dxa"/>
            </w:tcMar>
            <w:vAlign w:val="center"/>
          </w:tcPr>
          <w:p>
            <w:pPr>
              <w:spacing w:after="0" w:line="252" w:lineRule="auto"/>
              <w:jc w:val="left"/>
            </w:pPr>
            <w:r>
              <w:rPr>
                <w:rFonts w:ascii="Calibri" w:hAnsi="Calibri"/>
                <w:color w:val="222222"/>
                <w:sz w:val="18"/>
              </w:rPr>
              <w:t>Public paid launch</w:t>
            </w:r>
          </w:p>
        </w:tc>
        <w:tc>
          <w:tcPr>
            <w:tcW w:type="dxa" w:w="1450"/>
            <w:tcMar>
              <w:top w:w="80" w:type="dxa"/>
              <w:bottom w:w="80" w:type="dxa"/>
              <w:start w:w="120" w:type="dxa"/>
              <w:end w:w="120" w:type="dxa"/>
            </w:tcMar>
            <w:vAlign w:val="center"/>
          </w:tcPr>
          <w:p>
            <w:pPr>
              <w:spacing w:after="0" w:line="252" w:lineRule="auto"/>
              <w:jc w:val="center"/>
            </w:pPr>
            <w:r>
              <w:rPr>
                <w:rFonts w:ascii="Calibri" w:hAnsi="Calibri"/>
                <w:color w:val="222222"/>
                <w:sz w:val="18"/>
              </w:rPr>
              <w:t>NO-GO</w:t>
            </w:r>
          </w:p>
        </w:tc>
        <w:tc>
          <w:tcPr>
            <w:tcW w:type="dxa" w:w="5860"/>
            <w:tcMar>
              <w:top w:w="80" w:type="dxa"/>
              <w:bottom w:w="80" w:type="dxa"/>
              <w:start w:w="120" w:type="dxa"/>
              <w:end w:w="120" w:type="dxa"/>
            </w:tcMar>
            <w:vAlign w:val="center"/>
          </w:tcPr>
          <w:p>
            <w:pPr>
              <w:spacing w:after="0" w:line="252" w:lineRule="auto"/>
              <w:jc w:val="left"/>
            </w:pPr>
            <w:r>
              <w:rPr>
                <w:rFonts w:ascii="Calibri" w:hAnsi="Calibri"/>
                <w:color w:val="222222"/>
                <w:sz w:val="18"/>
              </w:rPr>
              <w:t>Meet public-free gate plus signed payment webhooks, reconciliation, alerts, refunds, and support procedures.</w:t>
            </w:r>
          </w:p>
        </w:tc>
      </w:tr>
      <w:tr>
        <w:tc>
          <w:tcPr>
            <w:tcW w:type="dxa" w:w="2050"/>
            <w:tcMar>
              <w:top w:w="80" w:type="dxa"/>
              <w:bottom w:w="80" w:type="dxa"/>
              <w:start w:w="120" w:type="dxa"/>
              <w:end w:w="120" w:type="dxa"/>
            </w:tcMar>
            <w:vAlign w:val="center"/>
          </w:tcPr>
          <w:p>
            <w:pPr>
              <w:spacing w:after="0" w:line="252" w:lineRule="auto"/>
              <w:jc w:val="left"/>
            </w:pPr>
            <w:r>
              <w:rPr>
                <w:rFonts w:ascii="Calibri" w:hAnsi="Calibri"/>
                <w:color w:val="222222"/>
                <w:sz w:val="18"/>
              </w:rPr>
              <w:t>Institutional launch</w:t>
            </w:r>
          </w:p>
        </w:tc>
        <w:tc>
          <w:tcPr>
            <w:tcW w:type="dxa" w:w="1450"/>
            <w:tcMar>
              <w:top w:w="80" w:type="dxa"/>
              <w:bottom w:w="80" w:type="dxa"/>
              <w:start w:w="120" w:type="dxa"/>
              <w:end w:w="120" w:type="dxa"/>
            </w:tcMar>
            <w:vAlign w:val="center"/>
          </w:tcPr>
          <w:p>
            <w:pPr>
              <w:spacing w:after="0" w:line="252" w:lineRule="auto"/>
              <w:jc w:val="center"/>
            </w:pPr>
            <w:r>
              <w:rPr>
                <w:rFonts w:ascii="Calibri" w:hAnsi="Calibri"/>
                <w:color w:val="222222"/>
                <w:sz w:val="18"/>
              </w:rPr>
              <w:t>NO-GO</w:t>
            </w:r>
          </w:p>
        </w:tc>
        <w:tc>
          <w:tcPr>
            <w:tcW w:type="dxa" w:w="5860"/>
            <w:tcMar>
              <w:top w:w="80" w:type="dxa"/>
              <w:bottom w:w="80" w:type="dxa"/>
              <w:start w:w="120" w:type="dxa"/>
              <w:end w:w="120" w:type="dxa"/>
            </w:tcMar>
            <w:vAlign w:val="center"/>
          </w:tcPr>
          <w:p>
            <w:pPr>
              <w:spacing w:after="0" w:line="252" w:lineRule="auto"/>
              <w:jc w:val="left"/>
            </w:pPr>
            <w:r>
              <w:rPr>
                <w:rFonts w:ascii="Calibri" w:hAnsi="Calibri"/>
                <w:color w:val="222222"/>
                <w:sz w:val="18"/>
              </w:rPr>
              <w:t>Meet public gate plus penetration testing, WCAG 2.2 AA assessment, processor/region approval, real LMS validation, recovery exercise, and partner acceptance.</w:t>
            </w:r>
          </w:p>
        </w:tc>
      </w:tr>
    </w:tbl>
    <w:p>
      <w:pPr>
        <w:pStyle w:val="TableSpacer"/>
      </w:pPr>
    </w:p>
    <w:p>
      <w:pPr>
        <w:pStyle w:val="Callout"/>
        <w:shd w:fill="EAF2F8"/>
        <w:pBdr>
          <w:left w:val="single" w:sz="18" w:space="8" w:color="2E74B5"/>
        </w:pBdr>
      </w:pPr>
      <w:r>
        <w:rPr>
          <w:rFonts w:ascii="Calibri" w:hAnsi="Calibri"/>
          <w:b/>
          <w:color w:val="1F4D78"/>
          <w:sz w:val="22"/>
        </w:rPr>
        <w:t xml:space="preserve">REASSESSMENT TRIGGER  </w:t>
      </w:r>
      <w:r>
        <w:rPr>
          <w:rFonts w:ascii="Calibri" w:hAnsi="Calibri"/>
          <w:color w:val="222222"/>
          <w:sz w:val="22"/>
        </w:rPr>
        <w:t>Re-run the complete release gate against one exact deployed SHA. Record CI, dependency audit, database migration head, authenticated smoke results, scheduled-job evidence, alert delivery, restore proof, and named acceptance of any residual risk.</w:t>
      </w:r>
    </w:p>
    <w:p>
      <w:pPr>
        <w:pStyle w:val="Heading2"/>
      </w:pPr>
      <w:r>
        <w:t>Institutional assurance remains open</w:t>
      </w:r>
    </w:p>
    <w:p>
      <w:pPr>
        <w:pStyle w:val="AuditBullet"/>
        <w:numPr>
          <w:ilvl w:val="0"/>
          <w:numId w:val="10"/>
        </w:numPr>
      </w:pPr>
      <w:r>
        <w:rPr>
          <w:rFonts w:ascii="Calibri" w:hAnsi="Calibri"/>
          <w:color w:val="222222"/>
          <w:sz w:val="22"/>
        </w:rPr>
        <w:t>Independent penetration test with material findings closed.</w:t>
      </w:r>
    </w:p>
    <w:p>
      <w:pPr>
        <w:pStyle w:val="AuditBullet"/>
        <w:numPr>
          <w:ilvl w:val="0"/>
          <w:numId w:val="10"/>
        </w:numPr>
      </w:pPr>
      <w:r>
        <w:rPr>
          <w:rFonts w:ascii="Calibri" w:hAnsi="Calibri"/>
          <w:color w:val="222222"/>
          <w:sz w:val="22"/>
        </w:rPr>
        <w:t>Full-journey WCAG 2.2 Level AA assessment and remediation record.</w:t>
      </w:r>
    </w:p>
    <w:p>
      <w:pPr>
        <w:pStyle w:val="AuditBullet"/>
        <w:numPr>
          <w:ilvl w:val="0"/>
          <w:numId w:val="10"/>
        </w:numPr>
      </w:pPr>
      <w:r>
        <w:rPr>
          <w:rFonts w:ascii="Calibri" w:hAnsi="Calibri"/>
          <w:color w:val="222222"/>
          <w:sz w:val="22"/>
        </w:rPr>
        <w:t>Approved Vercel, Neon, Anthropic, Resend, and Flutterwave data-processing and regional terms as applicable.</w:t>
      </w:r>
    </w:p>
    <w:p>
      <w:pPr>
        <w:pStyle w:val="AuditBullet"/>
        <w:numPr>
          <w:ilvl w:val="0"/>
          <w:numId w:val="10"/>
        </w:numPr>
      </w:pPr>
      <w:r>
        <w:rPr>
          <w:rFonts w:ascii="Calibri" w:hAnsi="Calibri"/>
          <w:color w:val="222222"/>
          <w:sz w:val="22"/>
        </w:rPr>
        <w:t>Named LMS launch and recovery/lockout testing with the actual partner configuration.</w:t>
      </w:r>
    </w:p>
    <w:p>
      <w:pPr>
        <w:pStyle w:val="AuditBullet"/>
        <w:numPr>
          <w:ilvl w:val="0"/>
          <w:numId w:val="10"/>
        </w:numPr>
      </w:pPr>
      <w:r>
        <w:rPr>
          <w:rFonts w:ascii="Calibri" w:hAnsi="Calibri"/>
          <w:color w:val="222222"/>
          <w:sz w:val="22"/>
        </w:rPr>
        <w:t>Current-schema restore exercise, incident tabletop, and responsible stakeholder acceptance.</w:t>
      </w:r>
    </w:p>
    <w:p>
      <w:pPr>
        <w:pStyle w:val="Evidence"/>
      </w:pPr>
      <w:r>
        <w:rPr>
          <w:rFonts w:ascii="Calibri" w:hAnsi="Calibri"/>
          <w:b/>
          <w:color w:val="5C6370"/>
          <w:sz w:val="18"/>
        </w:rPr>
        <w:t xml:space="preserve">Evidence: </w:t>
      </w:r>
      <w:hyperlink r:id="rId42">
        <w:r>
          <w:rPr>
            <w:rFonts w:ascii="Calibri" w:hAnsi="Calibri"/>
            <w:color w:val="2E74B5"/>
            <w:u w:val="single"/>
            <w:sz w:val="18"/>
          </w:rPr>
          <w:t>institutional checklist</w:t>
        </w:r>
      </w:hyperlink>
      <w:r>
        <w:rPr>
          <w:rFonts w:ascii="Calibri" w:hAnsi="Calibri"/>
          <w:color w:val="5C6370"/>
          <w:sz w:val="18"/>
        </w:rPr>
        <w:t xml:space="preserve">  |  </w:t>
      </w:r>
      <w:hyperlink r:id="rId43">
        <w:r>
          <w:rPr>
            <w:rFonts w:ascii="Calibri" w:hAnsi="Calibri"/>
            <w:color w:val="2E74B5"/>
            <w:u w:val="single"/>
            <w:sz w:val="18"/>
          </w:rPr>
          <w:t>external gates</w:t>
        </w:r>
      </w:hyperlink>
    </w:p>
    <w:p>
      <w:r>
        <w:br w:type="page"/>
      </w:r>
    </w:p>
    <w:p>
      <w:pPr>
        <w:pStyle w:val="Heading1"/>
      </w:pPr>
      <w:r>
        <w:t>5. Action plan</w:t>
      </w:r>
    </w:p>
    <w:p>
      <w:pPr>
        <w:pStyle w:val="Heading2"/>
      </w:pPr>
      <w:r>
        <w:t>First 30 days — close immediate launch risk</w:t>
      </w:r>
    </w:p>
    <w:p>
      <w:pPr>
        <w:pStyle w:val="AuditBullet"/>
        <w:numPr>
          <w:ilvl w:val="0"/>
          <w:numId w:val="10"/>
        </w:numPr>
      </w:pPr>
      <w:r>
        <w:rPr>
          <w:rFonts w:ascii="Calibri" w:hAnsi="Calibri"/>
          <w:color w:val="222222"/>
          <w:sz w:val="22"/>
        </w:rPr>
        <w:t>Replace public first-user administration with a controlled bootstrap and require verified email before generation privileges.</w:t>
      </w:r>
    </w:p>
    <w:p>
      <w:pPr>
        <w:pStyle w:val="AuditBullet"/>
        <w:numPr>
          <w:ilvl w:val="0"/>
          <w:numId w:val="10"/>
        </w:numPr>
      </w:pPr>
      <w:r>
        <w:rPr>
          <w:rFonts w:ascii="Calibri" w:hAnsi="Calibri"/>
          <w:color w:val="222222"/>
          <w:sz w:val="22"/>
        </w:rPr>
        <w:t>Add AI bot controls, per-account and platform budgets, spend alerts, and an emergency kill switch.</w:t>
      </w:r>
    </w:p>
    <w:p>
      <w:pPr>
        <w:pStyle w:val="AuditBullet"/>
        <w:numPr>
          <w:ilvl w:val="0"/>
          <w:numId w:val="10"/>
        </w:numPr>
      </w:pPr>
      <w:r>
        <w:rPr>
          <w:rFonts w:ascii="Calibri" w:hAnsi="Calibri"/>
          <w:color w:val="222222"/>
          <w:sz w:val="22"/>
        </w:rPr>
        <w:t>Provision isolated development and test databases, rotate credentials where required, and run the complete local database suite safely.</w:t>
      </w:r>
    </w:p>
    <w:p>
      <w:pPr>
        <w:pStyle w:val="AuditBullet"/>
        <w:numPr>
          <w:ilvl w:val="0"/>
          <w:numId w:val="10"/>
        </w:numPr>
      </w:pPr>
      <w:r>
        <w:rPr>
          <w:rFonts w:ascii="Calibri" w:hAnsi="Calibri"/>
          <w:color w:val="222222"/>
          <w:sz w:val="22"/>
        </w:rPr>
        <w:t>Implement scheduled privacy maintenance, complete cross-table erasure, and enforce legal holds at scheduling and execution.</w:t>
      </w:r>
    </w:p>
    <w:p>
      <w:pPr>
        <w:pStyle w:val="AuditBullet"/>
        <w:numPr>
          <w:ilvl w:val="0"/>
          <w:numId w:val="10"/>
        </w:numPr>
      </w:pPr>
      <w:r>
        <w:rPr>
          <w:rFonts w:ascii="Calibri" w:hAnsi="Calibri"/>
          <w:color w:val="222222"/>
          <w:sz w:val="22"/>
        </w:rPr>
        <w:t>Centralize source authorization and remediate webhook/LTI DNS rebinding and private-network access.</w:t>
      </w:r>
    </w:p>
    <w:p>
      <w:pPr>
        <w:pStyle w:val="AuditBullet"/>
        <w:numPr>
          <w:ilvl w:val="0"/>
          <w:numId w:val="10"/>
        </w:numPr>
      </w:pPr>
      <w:r>
        <w:rPr>
          <w:rFonts w:ascii="Calibri" w:hAnsi="Calibri"/>
          <w:color w:val="222222"/>
          <w:sz w:val="22"/>
        </w:rPr>
        <w:t>Select the upload architecture and align the user-visible limit with the hosted path.</w:t>
      </w:r>
    </w:p>
    <w:p>
      <w:pPr>
        <w:pStyle w:val="AuditBullet"/>
        <w:numPr>
          <w:ilvl w:val="0"/>
          <w:numId w:val="10"/>
        </w:numPr>
      </w:pPr>
      <w:r>
        <w:rPr>
          <w:rFonts w:ascii="Calibri" w:hAnsi="Calibri"/>
          <w:color w:val="222222"/>
          <w:sz w:val="22"/>
        </w:rPr>
        <w:t>Add health/readiness endpoints, external uptime and error alerts, and authenticated scheduled maintenance jobs.</w:t>
      </w:r>
    </w:p>
    <w:p>
      <w:pPr>
        <w:pStyle w:val="AuditBullet"/>
        <w:numPr>
          <w:ilvl w:val="0"/>
          <w:numId w:val="10"/>
        </w:numPr>
      </w:pPr>
      <w:r>
        <w:rPr>
          <w:rFonts w:ascii="Calibri" w:hAnsi="Calibri"/>
          <w:color w:val="222222"/>
          <w:sz w:val="22"/>
        </w:rPr>
        <w:t>Assign an owner, target date, acceptance evidence, and residual-risk decision to every P0 item.</w:t>
      </w:r>
    </w:p>
    <w:p>
      <w:pPr>
        <w:pStyle w:val="Heading2"/>
        <w:pageBreakBefore/>
      </w:pPr>
      <w:r>
        <w:t>Days 31–60 — make release repeatable</w:t>
      </w:r>
    </w:p>
    <w:p>
      <w:pPr>
        <w:pStyle w:val="AuditBullet"/>
        <w:numPr>
          <w:ilvl w:val="0"/>
          <w:numId w:val="10"/>
        </w:numPr>
      </w:pPr>
      <w:r>
        <w:rPr>
          <w:rFonts w:ascii="Calibri" w:hAnsi="Calibri"/>
          <w:color w:val="222222"/>
          <w:sz w:val="22"/>
        </w:rPr>
        <w:t>Automate browser E2E coverage for registration, verification, upload, generation, publishing, learning, billing, and recovery.</w:t>
      </w:r>
    </w:p>
    <w:p>
      <w:pPr>
        <w:pStyle w:val="AuditBullet"/>
        <w:numPr>
          <w:ilvl w:val="0"/>
          <w:numId w:val="10"/>
        </w:numPr>
      </w:pPr>
      <w:r>
        <w:rPr>
          <w:rFonts w:ascii="Calibri" w:hAnsi="Calibri"/>
          <w:color w:val="222222"/>
          <w:sz w:val="22"/>
        </w:rPr>
        <w:t>Run migrations before traffic with a separate owner credential, a restricted runtime role, timeouts, compatibility checks, and rollback criteria.</w:t>
      </w:r>
    </w:p>
    <w:p>
      <w:pPr>
        <w:pStyle w:val="AuditBullet"/>
        <w:numPr>
          <w:ilvl w:val="0"/>
          <w:numId w:val="10"/>
        </w:numPr>
      </w:pPr>
      <w:r>
        <w:rPr>
          <w:rFonts w:ascii="Calibri" w:hAnsi="Calibri"/>
          <w:color w:val="222222"/>
          <w:sz w:val="22"/>
        </w:rPr>
        <w:t>Complete a current-schema PITR and restore drill; declare target RPO/RTO and drill cadence.</w:t>
      </w:r>
    </w:p>
    <w:p>
      <w:pPr>
        <w:pStyle w:val="AuditBullet"/>
        <w:numPr>
          <w:ilvl w:val="0"/>
          <w:numId w:val="10"/>
        </w:numPr>
      </w:pPr>
      <w:r>
        <w:rPr>
          <w:rFonts w:ascii="Calibri" w:hAnsi="Calibri"/>
          <w:color w:val="222222"/>
          <w:sz w:val="22"/>
        </w:rPr>
        <w:t>If payments are planned, implement signed Flutterwave webhooks, reconciliation, alerts, and refund/support procedures.</w:t>
      </w:r>
    </w:p>
    <w:p>
      <w:pPr>
        <w:pStyle w:val="AuditBullet"/>
        <w:numPr>
          <w:ilvl w:val="0"/>
          <w:numId w:val="10"/>
        </w:numPr>
      </w:pPr>
      <w:r>
        <w:rPr>
          <w:rFonts w:ascii="Calibri" w:hAnsi="Calibri"/>
          <w:color w:val="222222"/>
          <w:sz w:val="22"/>
        </w:rPr>
        <w:t>Publish versioned legal notices and establish content reporting, moderation, takedown, and appeals.</w:t>
      </w:r>
    </w:p>
    <w:p>
      <w:pPr>
        <w:pStyle w:val="AuditBullet"/>
        <w:numPr>
          <w:ilvl w:val="0"/>
          <w:numId w:val="10"/>
        </w:numPr>
      </w:pPr>
      <w:r>
        <w:rPr>
          <w:rFonts w:ascii="Calibri" w:hAnsi="Calibri"/>
          <w:color w:val="222222"/>
          <w:sz w:val="22"/>
        </w:rPr>
        <w:t>Issue a SHA-specific production evidence pack and obtain sign-off for the intended launch stage.</w:t>
      </w:r>
    </w:p>
    <w:p>
      <w:pPr>
        <w:pStyle w:val="Heading2"/>
      </w:pPr>
      <w:r>
        <w:t>Acceptance evidence for each action</w:t>
      </w:r>
    </w:p>
    <w:p>
      <w:pPr>
        <w:pStyle w:val="AuditNumber"/>
        <w:numPr>
          <w:ilvl w:val="0"/>
          <w:numId w:val="11"/>
        </w:numPr>
      </w:pPr>
      <w:r>
        <w:rPr>
          <w:rFonts w:ascii="Calibri" w:hAnsi="Calibri"/>
          <w:color w:val="222222"/>
          <w:sz w:val="22"/>
        </w:rPr>
        <w:t>Automated test or executable control demonstrating the requirement.</w:t>
      </w:r>
    </w:p>
    <w:p>
      <w:pPr>
        <w:pStyle w:val="AuditNumber"/>
        <w:numPr>
          <w:ilvl w:val="0"/>
          <w:numId w:val="11"/>
        </w:numPr>
      </w:pPr>
      <w:r>
        <w:rPr>
          <w:rFonts w:ascii="Calibri" w:hAnsi="Calibri"/>
          <w:color w:val="222222"/>
          <w:sz w:val="22"/>
        </w:rPr>
        <w:t>Production or production-equivalent observation tied to an exact commit SHA.</w:t>
      </w:r>
    </w:p>
    <w:p>
      <w:pPr>
        <w:pStyle w:val="AuditNumber"/>
        <w:numPr>
          <w:ilvl w:val="0"/>
          <w:numId w:val="11"/>
        </w:numPr>
      </w:pPr>
      <w:r>
        <w:rPr>
          <w:rFonts w:ascii="Calibri" w:hAnsi="Calibri"/>
          <w:color w:val="222222"/>
          <w:sz w:val="22"/>
        </w:rPr>
        <w:t>Named owner, review date, and alert or operating procedure where ongoing work is required.</w:t>
      </w:r>
    </w:p>
    <w:p>
      <w:pPr>
        <w:pStyle w:val="AuditNumber"/>
        <w:numPr>
          <w:ilvl w:val="0"/>
          <w:numId w:val="11"/>
        </w:numPr>
      </w:pPr>
      <w:r>
        <w:rPr>
          <w:rFonts w:ascii="Calibri" w:hAnsi="Calibri"/>
          <w:color w:val="222222"/>
          <w:sz w:val="22"/>
        </w:rPr>
        <w:t>Documented residual risk and approval if the control is intentionally deferred.</w:t>
      </w:r>
    </w:p>
    <w:p>
      <w:r>
        <w:br w:type="page"/>
      </w:r>
    </w:p>
    <w:p>
      <w:pPr>
        <w:pStyle w:val="Heading1"/>
      </w:pPr>
      <w:r>
        <w:t>6. Documentation corrections and release record</w:t>
      </w:r>
    </w:p>
    <w:p>
      <w:r>
        <w:rPr>
          <w:rFonts w:ascii="Calibri" w:hAnsi="Calibri"/>
          <w:color w:val="222222"/>
          <w:sz w:val="22"/>
        </w:rPr>
        <w:t>The project has extensive documentation, but the current set is not a reliable production release record. Consolidate it into one maintained release-gate document tied to the exact deployed commit.</w:t>
      </w:r>
    </w:p>
    <w:p>
      <w:pPr>
        <w:pStyle w:val="AuditBullet"/>
        <w:numPr>
          <w:ilvl w:val="0"/>
          <w:numId w:val="10"/>
        </w:numPr>
      </w:pPr>
      <w:r>
        <w:rPr>
          <w:rFonts w:ascii="Calibri" w:hAnsi="Calibri"/>
          <w:color w:val="222222"/>
          <w:sz w:val="22"/>
        </w:rPr>
        <w:t>Refresh evidence for migrations 24–25, Deep Reads, the current billing behavior, and the final learner flow.</w:t>
      </w:r>
    </w:p>
    <w:p>
      <w:pPr>
        <w:pStyle w:val="AuditBullet"/>
        <w:numPr>
          <w:ilvl w:val="0"/>
          <w:numId w:val="10"/>
        </w:numPr>
      </w:pPr>
      <w:r>
        <w:rPr>
          <w:rFonts w:ascii="Calibri" w:hAnsi="Calibri"/>
          <w:color w:val="222222"/>
          <w:sz w:val="22"/>
        </w:rPr>
        <w:t>Correct README statements that missing payment keys always produce successful simulated purchases.</w:t>
      </w:r>
    </w:p>
    <w:p>
      <w:pPr>
        <w:pStyle w:val="AuditBullet"/>
        <w:numPr>
          <w:ilvl w:val="0"/>
          <w:numId w:val="10"/>
        </w:numPr>
      </w:pPr>
      <w:r>
        <w:rPr>
          <w:rFonts w:ascii="Calibri" w:hAnsi="Calibri"/>
          <w:color w:val="222222"/>
          <w:sz w:val="22"/>
        </w:rPr>
        <w:t>Correct the deployment guide: current migrations run under a transaction-scoped advisory lock and all pending migrations share one transaction.</w:t>
      </w:r>
    </w:p>
    <w:p>
      <w:pPr>
        <w:pStyle w:val="AuditBullet"/>
        <w:numPr>
          <w:ilvl w:val="0"/>
          <w:numId w:val="10"/>
        </w:numPr>
      </w:pPr>
      <w:r>
        <w:rPr>
          <w:rFonts w:ascii="Calibri" w:hAnsi="Calibri"/>
          <w:color w:val="222222"/>
          <w:sz w:val="22"/>
        </w:rPr>
        <w:t>Update privacy documentation for export schema 10, source_versions retention, summaries, scheduled erasure, and legal-hold behavior.</w:t>
      </w:r>
    </w:p>
    <w:p>
      <w:pPr>
        <w:pStyle w:val="AuditBullet"/>
        <w:numPr>
          <w:ilvl w:val="0"/>
          <w:numId w:val="10"/>
        </w:numPr>
      </w:pPr>
      <w:r>
        <w:rPr>
          <w:rFonts w:ascii="Calibri" w:hAnsi="Calibri"/>
          <w:color w:val="222222"/>
          <w:sz w:val="22"/>
        </w:rPr>
        <w:t>Archive or close the stale ad-hoc audit after its environment and secret actions are evidenced.</w:t>
      </w:r>
    </w:p>
    <w:p>
      <w:pPr>
        <w:pStyle w:val="AuditBullet"/>
        <w:numPr>
          <w:ilvl w:val="0"/>
          <w:numId w:val="10"/>
        </w:numPr>
      </w:pPr>
      <w:r>
        <w:rPr>
          <w:rFonts w:ascii="Calibri" w:hAnsi="Calibri"/>
          <w:color w:val="222222"/>
          <w:sz w:val="22"/>
        </w:rPr>
        <w:t>Stop describing webhook delivery, reminders, expiry, and erasure as deployed automation until a monitored scheduler exists.</w:t>
      </w:r>
    </w:p>
    <w:p>
      <w:pPr>
        <w:pStyle w:val="AuditBullet"/>
        <w:numPr>
          <w:ilvl w:val="0"/>
          <w:numId w:val="10"/>
        </w:numPr>
      </w:pPr>
      <w:r>
        <w:rPr>
          <w:rFonts w:ascii="Calibri" w:hAnsi="Calibri"/>
          <w:color w:val="222222"/>
          <w:sz w:val="22"/>
        </w:rPr>
        <w:t>Complete the cross-release checklist for every production deployment and link each item to evidence.</w:t>
      </w:r>
    </w:p>
    <w:tbl>
      <w:tblPr>
        <w:tblW w:type="dxa" w:w="9360"/>
        <w:tblLayout w:type="fixed"/>
        <w:tblLook w:firstColumn="1" w:firstRow="1" w:lastColumn="0" w:lastRow="0" w:noHBand="0" w:noVBand="1" w:val="04A0"/>
        <w:jc w:val="left"/>
        <w:tblInd w:w="120" w:type="dxa"/>
        <w:tblBorders>
          <w:top w:val="single" w:sz="4" w:space="0" w:color="D7DCE2"/>
          <w:left w:val="single" w:sz="4" w:space="0" w:color="D7DCE2"/>
          <w:bottom w:val="single" w:sz="4" w:space="0" w:color="D7DCE2"/>
          <w:right w:val="single" w:sz="4" w:space="0" w:color="D7DCE2"/>
          <w:insideH w:val="single" w:sz="4" w:space="0" w:color="D7DCE2"/>
          <w:insideV w:val="single" w:sz="4" w:space="0" w:color="D7DCE2"/>
        </w:tblBorders>
      </w:tblPr>
      <w:tblGrid>
        <w:gridCol w:w="2450"/>
        <w:gridCol w:w="6910"/>
      </w:tblGrid>
      <w:tr>
        <w:trPr>
          <w:tblHeader w:val="true"/>
        </w:trPr>
        <w:tc>
          <w:tcPr>
            <w:tcW w:type="dxa" w:w="2450"/>
            <w:tcMar>
              <w:top w:w="80" w:type="dxa"/>
              <w:bottom w:w="80" w:type="dxa"/>
              <w:start w:w="120" w:type="dxa"/>
              <w:end w:w="120" w:type="dxa"/>
            </w:tcMar>
            <w:vAlign w:val="center"/>
            <w:shd w:fill="F2F4F7"/>
          </w:tcPr>
          <w:p>
            <w:pPr>
              <w:spacing w:after="0"/>
              <w:jc w:val="left"/>
            </w:pPr>
            <w:r>
              <w:rPr>
                <w:rFonts w:ascii="Calibri" w:hAnsi="Calibri"/>
                <w:b/>
                <w:color w:val="1F4D78"/>
                <w:sz w:val="19"/>
              </w:rPr>
              <w:t>Release record field</w:t>
            </w:r>
          </w:p>
        </w:tc>
        <w:tc>
          <w:tcPr>
            <w:tcW w:type="dxa" w:w="6910"/>
            <w:tcMar>
              <w:top w:w="80" w:type="dxa"/>
              <w:bottom w:w="80" w:type="dxa"/>
              <w:start w:w="120" w:type="dxa"/>
              <w:end w:w="120" w:type="dxa"/>
            </w:tcMar>
            <w:vAlign w:val="center"/>
            <w:shd w:fill="F2F4F7"/>
          </w:tcPr>
          <w:p>
            <w:pPr>
              <w:spacing w:after="0"/>
              <w:jc w:val="left"/>
            </w:pPr>
            <w:r>
              <w:rPr>
                <w:rFonts w:ascii="Calibri" w:hAnsi="Calibri"/>
                <w:b/>
                <w:color w:val="1F4D78"/>
                <w:sz w:val="19"/>
              </w:rPr>
              <w:t>Required value</w:t>
            </w:r>
          </w:p>
        </w:tc>
      </w:tr>
      <w:tr>
        <w:tc>
          <w:tcPr>
            <w:tcW w:type="dxa" w:w="2450"/>
            <w:tcMar>
              <w:top w:w="80" w:type="dxa"/>
              <w:bottom w:w="80" w:type="dxa"/>
              <w:start w:w="120" w:type="dxa"/>
              <w:end w:w="120" w:type="dxa"/>
            </w:tcMar>
            <w:vAlign w:val="center"/>
          </w:tcPr>
          <w:p>
            <w:pPr>
              <w:spacing w:after="0" w:line="252" w:lineRule="auto"/>
              <w:jc w:val="left"/>
            </w:pPr>
            <w:r>
              <w:rPr>
                <w:rFonts w:ascii="Calibri" w:hAnsi="Calibri"/>
                <w:color w:val="222222"/>
                <w:sz w:val="18"/>
              </w:rPr>
              <w:t>Source</w:t>
            </w:r>
          </w:p>
        </w:tc>
        <w:tc>
          <w:tcPr>
            <w:tcW w:type="dxa" w:w="6910"/>
            <w:tcMar>
              <w:top w:w="80" w:type="dxa"/>
              <w:bottom w:w="80" w:type="dxa"/>
              <w:start w:w="120" w:type="dxa"/>
              <w:end w:w="120" w:type="dxa"/>
            </w:tcMar>
            <w:vAlign w:val="center"/>
          </w:tcPr>
          <w:p>
            <w:pPr>
              <w:spacing w:after="0" w:line="252" w:lineRule="auto"/>
              <w:jc w:val="left"/>
            </w:pPr>
            <w:r>
              <w:rPr>
                <w:rFonts w:ascii="Calibri" w:hAnsi="Calibri"/>
                <w:color w:val="222222"/>
                <w:sz w:val="18"/>
              </w:rPr>
              <w:t>Exact full commit SHA, branch, CI run, security run, and build artifact identifier.</w:t>
            </w:r>
          </w:p>
        </w:tc>
      </w:tr>
      <w:tr>
        <w:tc>
          <w:tcPr>
            <w:tcW w:type="dxa" w:w="2450"/>
            <w:tcMar>
              <w:top w:w="80" w:type="dxa"/>
              <w:bottom w:w="80" w:type="dxa"/>
              <w:start w:w="120" w:type="dxa"/>
              <w:end w:w="120" w:type="dxa"/>
            </w:tcMar>
            <w:vAlign w:val="center"/>
          </w:tcPr>
          <w:p>
            <w:pPr>
              <w:spacing w:after="0" w:line="252" w:lineRule="auto"/>
              <w:jc w:val="left"/>
            </w:pPr>
            <w:r>
              <w:rPr>
                <w:rFonts w:ascii="Calibri" w:hAnsi="Calibri"/>
                <w:color w:val="222222"/>
                <w:sz w:val="18"/>
              </w:rPr>
              <w:t>Database</w:t>
            </w:r>
          </w:p>
        </w:tc>
        <w:tc>
          <w:tcPr>
            <w:tcW w:type="dxa" w:w="6910"/>
            <w:tcMar>
              <w:top w:w="80" w:type="dxa"/>
              <w:bottom w:w="80" w:type="dxa"/>
              <w:start w:w="120" w:type="dxa"/>
              <w:end w:w="120" w:type="dxa"/>
            </w:tcMar>
            <w:vAlign w:val="center"/>
          </w:tcPr>
          <w:p>
            <w:pPr>
              <w:spacing w:after="0" w:line="252" w:lineRule="auto"/>
              <w:jc w:val="left"/>
            </w:pPr>
            <w:r>
              <w:rPr>
                <w:rFonts w:ascii="Calibri" w:hAnsi="Calibri"/>
                <w:color w:val="222222"/>
                <w:sz w:val="18"/>
              </w:rPr>
              <w:t>Migration head, pre-deploy snapshot, migration result, runtime role, and rollback compatibility.</w:t>
            </w:r>
          </w:p>
        </w:tc>
      </w:tr>
      <w:tr>
        <w:tc>
          <w:tcPr>
            <w:tcW w:type="dxa" w:w="2450"/>
            <w:tcMar>
              <w:top w:w="80" w:type="dxa"/>
              <w:bottom w:w="80" w:type="dxa"/>
              <w:start w:w="120" w:type="dxa"/>
              <w:end w:w="120" w:type="dxa"/>
            </w:tcMar>
            <w:vAlign w:val="center"/>
          </w:tcPr>
          <w:p>
            <w:pPr>
              <w:spacing w:after="0" w:line="252" w:lineRule="auto"/>
              <w:jc w:val="left"/>
            </w:pPr>
            <w:r>
              <w:rPr>
                <w:rFonts w:ascii="Calibri" w:hAnsi="Calibri"/>
                <w:color w:val="222222"/>
                <w:sz w:val="18"/>
              </w:rPr>
              <w:t>Deployment</w:t>
            </w:r>
          </w:p>
        </w:tc>
        <w:tc>
          <w:tcPr>
            <w:tcW w:type="dxa" w:w="6910"/>
            <w:tcMar>
              <w:top w:w="80" w:type="dxa"/>
              <w:bottom w:w="80" w:type="dxa"/>
              <w:start w:w="120" w:type="dxa"/>
              <w:end w:w="120" w:type="dxa"/>
            </w:tcMar>
            <w:vAlign w:val="center"/>
          </w:tcPr>
          <w:p>
            <w:pPr>
              <w:spacing w:after="0" w:line="252" w:lineRule="auto"/>
              <w:jc w:val="left"/>
            </w:pPr>
            <w:r>
              <w:rPr>
                <w:rFonts w:ascii="Calibri" w:hAnsi="Calibri"/>
                <w:color w:val="222222"/>
                <w:sz w:val="18"/>
              </w:rPr>
              <w:t>Canonical URL, deployment ID, region/config scope, start/end times, and promotion decision.</w:t>
            </w:r>
          </w:p>
        </w:tc>
      </w:tr>
      <w:tr>
        <w:tc>
          <w:tcPr>
            <w:tcW w:type="dxa" w:w="2450"/>
            <w:tcMar>
              <w:top w:w="80" w:type="dxa"/>
              <w:bottom w:w="80" w:type="dxa"/>
              <w:start w:w="120" w:type="dxa"/>
              <w:end w:w="120" w:type="dxa"/>
            </w:tcMar>
            <w:vAlign w:val="center"/>
          </w:tcPr>
          <w:p>
            <w:pPr>
              <w:spacing w:after="0" w:line="252" w:lineRule="auto"/>
              <w:jc w:val="left"/>
            </w:pPr>
            <w:r>
              <w:rPr>
                <w:rFonts w:ascii="Calibri" w:hAnsi="Calibri"/>
                <w:color w:val="222222"/>
                <w:sz w:val="18"/>
              </w:rPr>
              <w:t>Verification</w:t>
            </w:r>
          </w:p>
        </w:tc>
        <w:tc>
          <w:tcPr>
            <w:tcW w:type="dxa" w:w="6910"/>
            <w:tcMar>
              <w:top w:w="80" w:type="dxa"/>
              <w:bottom w:w="80" w:type="dxa"/>
              <w:start w:w="120" w:type="dxa"/>
              <w:end w:w="120" w:type="dxa"/>
            </w:tcMar>
            <w:vAlign w:val="center"/>
          </w:tcPr>
          <w:p>
            <w:pPr>
              <w:spacing w:after="0" w:line="252" w:lineRule="auto"/>
              <w:jc w:val="left"/>
            </w:pPr>
            <w:r>
              <w:rPr>
                <w:rFonts w:ascii="Calibri" w:hAnsi="Calibri"/>
                <w:color w:val="222222"/>
                <w:sz w:val="18"/>
              </w:rPr>
              <w:t>Authenticated critical-path smoke, scheduled-job proof, alert delivery, dependency audit, and restore evidence.</w:t>
            </w:r>
          </w:p>
        </w:tc>
      </w:tr>
      <w:tr>
        <w:tc>
          <w:tcPr>
            <w:tcW w:type="dxa" w:w="2450"/>
            <w:tcMar>
              <w:top w:w="80" w:type="dxa"/>
              <w:bottom w:w="80" w:type="dxa"/>
              <w:start w:w="120" w:type="dxa"/>
              <w:end w:w="120" w:type="dxa"/>
            </w:tcMar>
            <w:vAlign w:val="center"/>
          </w:tcPr>
          <w:p>
            <w:pPr>
              <w:spacing w:after="0" w:line="252" w:lineRule="auto"/>
              <w:jc w:val="left"/>
            </w:pPr>
            <w:r>
              <w:rPr>
                <w:rFonts w:ascii="Calibri" w:hAnsi="Calibri"/>
                <w:color w:val="222222"/>
                <w:sz w:val="18"/>
              </w:rPr>
              <w:t>Decision</w:t>
            </w:r>
          </w:p>
        </w:tc>
        <w:tc>
          <w:tcPr>
            <w:tcW w:type="dxa" w:w="6910"/>
            <w:tcMar>
              <w:top w:w="80" w:type="dxa"/>
              <w:bottom w:w="80" w:type="dxa"/>
              <w:start w:w="120" w:type="dxa"/>
              <w:end w:w="120" w:type="dxa"/>
            </w:tcMar>
            <w:vAlign w:val="center"/>
          </w:tcPr>
          <w:p>
            <w:pPr>
              <w:spacing w:after="0" w:line="252" w:lineRule="auto"/>
              <w:jc w:val="left"/>
            </w:pPr>
            <w:r>
              <w:rPr>
                <w:rFonts w:ascii="Calibri" w:hAnsi="Calibri"/>
                <w:color w:val="222222"/>
                <w:sz w:val="18"/>
              </w:rPr>
              <w:t>Launch stage, go/no-go result, approvers, residual risks, compensating controls, and expiry dates.</w:t>
            </w:r>
          </w:p>
        </w:tc>
      </w:tr>
    </w:tbl>
    <w:p>
      <w:pPr>
        <w:pStyle w:val="TableSpacer"/>
      </w:pPr>
    </w:p>
    <w:p>
      <w:pPr>
        <w:pStyle w:val="Heading2"/>
        <w:pageBreakBefore/>
      </w:pPr>
      <w:r>
        <w:t>Sign-off</w:t>
      </w:r>
    </w:p>
    <w:tbl>
      <w:tblPr>
        <w:tblW w:type="dxa" w:w="9360"/>
        <w:tblLayout w:type="fixed"/>
        <w:tblLook w:firstColumn="1" w:firstRow="1" w:lastColumn="0" w:lastRow="0" w:noHBand="0" w:noVBand="1" w:val="04A0"/>
        <w:jc w:val="left"/>
        <w:tblInd w:w="120" w:type="dxa"/>
        <w:tblBorders>
          <w:top w:val="single" w:sz="4" w:space="0" w:color="D7DCE2"/>
          <w:left w:val="single" w:sz="4" w:space="0" w:color="D7DCE2"/>
          <w:bottom w:val="single" w:sz="4" w:space="0" w:color="D7DCE2"/>
          <w:right w:val="single" w:sz="4" w:space="0" w:color="D7DCE2"/>
          <w:insideH w:val="single" w:sz="4" w:space="0" w:color="D7DCE2"/>
          <w:insideV w:val="single" w:sz="4" w:space="0" w:color="D7DCE2"/>
        </w:tblBorders>
      </w:tblPr>
      <w:tblGrid>
        <w:gridCol w:w="3100"/>
        <w:gridCol w:w="6260"/>
      </w:tblGrid>
      <w:tr>
        <w:trPr>
          <w:tblHeader w:val="true"/>
        </w:trPr>
        <w:tc>
          <w:tcPr>
            <w:tcW w:type="dxa" w:w="3100"/>
            <w:tcMar>
              <w:top w:w="80" w:type="dxa"/>
              <w:bottom w:w="80" w:type="dxa"/>
              <w:start w:w="120" w:type="dxa"/>
              <w:end w:w="120" w:type="dxa"/>
            </w:tcMar>
            <w:vAlign w:val="center"/>
            <w:shd w:fill="F2F4F7"/>
          </w:tcPr>
          <w:p>
            <w:pPr>
              <w:spacing w:after="0"/>
              <w:jc w:val="left"/>
            </w:pPr>
            <w:r>
              <w:rPr>
                <w:rFonts w:ascii="Calibri" w:hAnsi="Calibri"/>
                <w:b/>
                <w:color w:val="1F4D78"/>
                <w:sz w:val="19"/>
              </w:rPr>
              <w:t>Role</w:t>
            </w:r>
          </w:p>
        </w:tc>
        <w:tc>
          <w:tcPr>
            <w:tcW w:type="dxa" w:w="6260"/>
            <w:tcMar>
              <w:top w:w="80" w:type="dxa"/>
              <w:bottom w:w="80" w:type="dxa"/>
              <w:start w:w="120" w:type="dxa"/>
              <w:end w:w="120" w:type="dxa"/>
            </w:tcMar>
            <w:vAlign w:val="center"/>
            <w:shd w:fill="F2F4F7"/>
          </w:tcPr>
          <w:p>
            <w:pPr>
              <w:spacing w:after="0"/>
              <w:jc w:val="left"/>
            </w:pPr>
            <w:r>
              <w:rPr>
                <w:rFonts w:ascii="Calibri" w:hAnsi="Calibri"/>
                <w:b/>
                <w:color w:val="1F4D78"/>
                <w:sz w:val="19"/>
              </w:rPr>
              <w:t>Decision / name / date</w:t>
            </w:r>
          </w:p>
        </w:tc>
      </w:tr>
      <w:tr>
        <w:tc>
          <w:tcPr>
            <w:tcW w:type="dxa" w:w="3100"/>
            <w:tcMar>
              <w:top w:w="80" w:type="dxa"/>
              <w:bottom w:w="80" w:type="dxa"/>
              <w:start w:w="120" w:type="dxa"/>
              <w:end w:w="120" w:type="dxa"/>
            </w:tcMar>
            <w:vAlign w:val="center"/>
          </w:tcPr>
          <w:p>
            <w:pPr>
              <w:spacing w:after="0" w:line="252" w:lineRule="auto"/>
              <w:jc w:val="left"/>
            </w:pPr>
            <w:r>
              <w:rPr>
                <w:rFonts w:ascii="Calibri" w:hAnsi="Calibri"/>
                <w:color w:val="222222"/>
                <w:sz w:val="18"/>
              </w:rPr>
              <w:t>Engineering</w:t>
            </w:r>
          </w:p>
        </w:tc>
        <w:tc>
          <w:tcPr>
            <w:tcW w:type="dxa" w:w="6260"/>
            <w:tcMar>
              <w:top w:w="80" w:type="dxa"/>
              <w:bottom w:w="80" w:type="dxa"/>
              <w:start w:w="120" w:type="dxa"/>
              <w:end w:w="120" w:type="dxa"/>
            </w:tcMar>
            <w:vAlign w:val="center"/>
          </w:tcPr>
          <w:p>
            <w:pPr>
              <w:spacing w:after="0" w:line="252" w:lineRule="auto"/>
              <w:jc w:val="left"/>
            </w:pPr>
            <w:r>
              <w:rPr>
                <w:rFonts w:ascii="Calibri" w:hAnsi="Calibri"/>
                <w:color w:val="222222"/>
                <w:sz w:val="18"/>
              </w:rPr>
            </w:r>
          </w:p>
        </w:tc>
      </w:tr>
      <w:tr>
        <w:tc>
          <w:tcPr>
            <w:tcW w:type="dxa" w:w="3100"/>
            <w:tcMar>
              <w:top w:w="80" w:type="dxa"/>
              <w:bottom w:w="80" w:type="dxa"/>
              <w:start w:w="120" w:type="dxa"/>
              <w:end w:w="120" w:type="dxa"/>
            </w:tcMar>
            <w:vAlign w:val="center"/>
          </w:tcPr>
          <w:p>
            <w:pPr>
              <w:spacing w:after="0" w:line="252" w:lineRule="auto"/>
              <w:jc w:val="left"/>
            </w:pPr>
            <w:r>
              <w:rPr>
                <w:rFonts w:ascii="Calibri" w:hAnsi="Calibri"/>
                <w:color w:val="222222"/>
                <w:sz w:val="18"/>
              </w:rPr>
              <w:t>Security and privacy</w:t>
            </w:r>
          </w:p>
        </w:tc>
        <w:tc>
          <w:tcPr>
            <w:tcW w:type="dxa" w:w="6260"/>
            <w:tcMar>
              <w:top w:w="80" w:type="dxa"/>
              <w:bottom w:w="80" w:type="dxa"/>
              <w:start w:w="120" w:type="dxa"/>
              <w:end w:w="120" w:type="dxa"/>
            </w:tcMar>
            <w:vAlign w:val="center"/>
          </w:tcPr>
          <w:p>
            <w:pPr>
              <w:spacing w:after="0" w:line="252" w:lineRule="auto"/>
              <w:jc w:val="left"/>
            </w:pPr>
            <w:r>
              <w:rPr>
                <w:rFonts w:ascii="Calibri" w:hAnsi="Calibri"/>
                <w:color w:val="222222"/>
                <w:sz w:val="18"/>
              </w:rPr>
            </w:r>
          </w:p>
        </w:tc>
      </w:tr>
      <w:tr>
        <w:tc>
          <w:tcPr>
            <w:tcW w:type="dxa" w:w="3100"/>
            <w:tcMar>
              <w:top w:w="80" w:type="dxa"/>
              <w:bottom w:w="80" w:type="dxa"/>
              <w:start w:w="120" w:type="dxa"/>
              <w:end w:w="120" w:type="dxa"/>
            </w:tcMar>
            <w:vAlign w:val="center"/>
          </w:tcPr>
          <w:p>
            <w:pPr>
              <w:spacing w:after="0" w:line="252" w:lineRule="auto"/>
              <w:jc w:val="left"/>
            </w:pPr>
            <w:r>
              <w:rPr>
                <w:rFonts w:ascii="Calibri" w:hAnsi="Calibri"/>
                <w:color w:val="222222"/>
                <w:sz w:val="18"/>
              </w:rPr>
              <w:t>Operations</w:t>
            </w:r>
          </w:p>
        </w:tc>
        <w:tc>
          <w:tcPr>
            <w:tcW w:type="dxa" w:w="6260"/>
            <w:tcMar>
              <w:top w:w="80" w:type="dxa"/>
              <w:bottom w:w="80" w:type="dxa"/>
              <w:start w:w="120" w:type="dxa"/>
              <w:end w:w="120" w:type="dxa"/>
            </w:tcMar>
            <w:vAlign w:val="center"/>
          </w:tcPr>
          <w:p>
            <w:pPr>
              <w:spacing w:after="0" w:line="252" w:lineRule="auto"/>
              <w:jc w:val="left"/>
            </w:pPr>
            <w:r>
              <w:rPr>
                <w:rFonts w:ascii="Calibri" w:hAnsi="Calibri"/>
                <w:color w:val="222222"/>
                <w:sz w:val="18"/>
              </w:rPr>
            </w:r>
          </w:p>
        </w:tc>
      </w:tr>
      <w:tr>
        <w:tc>
          <w:tcPr>
            <w:tcW w:type="dxa" w:w="3100"/>
            <w:tcMar>
              <w:top w:w="80" w:type="dxa"/>
              <w:bottom w:w="80" w:type="dxa"/>
              <w:start w:w="120" w:type="dxa"/>
              <w:end w:w="120" w:type="dxa"/>
            </w:tcMar>
            <w:vAlign w:val="center"/>
          </w:tcPr>
          <w:p>
            <w:pPr>
              <w:spacing w:after="0" w:line="252" w:lineRule="auto"/>
              <w:jc w:val="left"/>
            </w:pPr>
            <w:r>
              <w:rPr>
                <w:rFonts w:ascii="Calibri" w:hAnsi="Calibri"/>
                <w:color w:val="222222"/>
                <w:sz w:val="18"/>
              </w:rPr>
              <w:t>Product</w:t>
            </w:r>
          </w:p>
        </w:tc>
        <w:tc>
          <w:tcPr>
            <w:tcW w:type="dxa" w:w="6260"/>
            <w:tcMar>
              <w:top w:w="80" w:type="dxa"/>
              <w:bottom w:w="80" w:type="dxa"/>
              <w:start w:w="120" w:type="dxa"/>
              <w:end w:w="120" w:type="dxa"/>
            </w:tcMar>
            <w:vAlign w:val="center"/>
          </w:tcPr>
          <w:p>
            <w:pPr>
              <w:spacing w:after="0" w:line="252" w:lineRule="auto"/>
              <w:jc w:val="left"/>
            </w:pPr>
            <w:r>
              <w:rPr>
                <w:rFonts w:ascii="Calibri" w:hAnsi="Calibri"/>
                <w:color w:val="222222"/>
                <w:sz w:val="18"/>
              </w:rPr>
            </w:r>
          </w:p>
        </w:tc>
      </w:tr>
      <w:tr>
        <w:tc>
          <w:tcPr>
            <w:tcW w:type="dxa" w:w="3100"/>
            <w:tcMar>
              <w:top w:w="80" w:type="dxa"/>
              <w:bottom w:w="80" w:type="dxa"/>
              <w:start w:w="120" w:type="dxa"/>
              <w:end w:w="120" w:type="dxa"/>
            </w:tcMar>
            <w:vAlign w:val="center"/>
          </w:tcPr>
          <w:p>
            <w:pPr>
              <w:spacing w:after="0" w:line="252" w:lineRule="auto"/>
              <w:jc w:val="left"/>
            </w:pPr>
            <w:r>
              <w:rPr>
                <w:rFonts w:ascii="Calibri" w:hAnsi="Calibri"/>
                <w:color w:val="222222"/>
                <w:sz w:val="18"/>
              </w:rPr>
              <w:t>Finance / payments, if applicable</w:t>
            </w:r>
          </w:p>
        </w:tc>
        <w:tc>
          <w:tcPr>
            <w:tcW w:type="dxa" w:w="6260"/>
            <w:tcMar>
              <w:top w:w="80" w:type="dxa"/>
              <w:bottom w:w="80" w:type="dxa"/>
              <w:start w:w="120" w:type="dxa"/>
              <w:end w:w="120" w:type="dxa"/>
            </w:tcMar>
            <w:vAlign w:val="center"/>
          </w:tcPr>
          <w:p>
            <w:pPr>
              <w:spacing w:after="0" w:line="252" w:lineRule="auto"/>
              <w:jc w:val="left"/>
            </w:pPr>
            <w:r>
              <w:rPr>
                <w:rFonts w:ascii="Calibri" w:hAnsi="Calibri"/>
                <w:color w:val="222222"/>
                <w:sz w:val="18"/>
              </w:rPr>
            </w:r>
          </w:p>
        </w:tc>
      </w:tr>
      <w:tr>
        <w:tc>
          <w:tcPr>
            <w:tcW w:type="dxa" w:w="3100"/>
            <w:tcMar>
              <w:top w:w="80" w:type="dxa"/>
              <w:bottom w:w="80" w:type="dxa"/>
              <w:start w:w="120" w:type="dxa"/>
              <w:end w:w="120" w:type="dxa"/>
            </w:tcMar>
            <w:vAlign w:val="center"/>
          </w:tcPr>
          <w:p>
            <w:pPr>
              <w:spacing w:after="0" w:line="252" w:lineRule="auto"/>
              <w:jc w:val="left"/>
            </w:pPr>
            <w:r>
              <w:rPr>
                <w:rFonts w:ascii="Calibri" w:hAnsi="Calibri"/>
                <w:color w:val="222222"/>
                <w:sz w:val="18"/>
              </w:rPr>
              <w:t>Institutional partner, if applicable</w:t>
            </w:r>
          </w:p>
        </w:tc>
        <w:tc>
          <w:tcPr>
            <w:tcW w:type="dxa" w:w="6260"/>
            <w:tcMar>
              <w:top w:w="80" w:type="dxa"/>
              <w:bottom w:w="80" w:type="dxa"/>
              <w:start w:w="120" w:type="dxa"/>
              <w:end w:w="120" w:type="dxa"/>
            </w:tcMar>
            <w:vAlign w:val="center"/>
          </w:tcPr>
          <w:p>
            <w:pPr>
              <w:spacing w:after="0" w:line="252" w:lineRule="auto"/>
              <w:jc w:val="left"/>
            </w:pPr>
            <w:r>
              <w:rPr>
                <w:rFonts w:ascii="Calibri" w:hAnsi="Calibri"/>
                <w:color w:val="222222"/>
                <w:sz w:val="18"/>
              </w:rPr>
            </w:r>
          </w:p>
        </w:tc>
      </w:tr>
    </w:tbl>
    <w:p>
      <w:pPr>
        <w:pStyle w:val="TableSpacer"/>
      </w:pPr>
    </w:p>
    <w:p>
      <w:pPr>
        <w:pStyle w:val="Callout"/>
        <w:shd w:fill="FBECEC"/>
        <w:pBdr>
          <w:left w:val="single" w:sz="18" w:space="8" w:color="9B1C1C"/>
        </w:pBdr>
      </w:pPr>
      <w:r>
        <w:rPr>
          <w:rFonts w:ascii="Calibri" w:hAnsi="Calibri"/>
          <w:b/>
          <w:color w:val="1F4D78"/>
          <w:sz w:val="22"/>
        </w:rPr>
        <w:t xml:space="preserve">CURRENT RELEASE DECISION  </w:t>
      </w:r>
      <w:r>
        <w:rPr>
          <w:rFonts w:ascii="Calibri" w:hAnsi="Calibri"/>
          <w:color w:val="222222"/>
          <w:sz w:val="22"/>
        </w:rPr>
        <w:t>NO-GO for public paid or institutional production. A supervised internal or limited beta may continue only with restricted users, no paid activation, no institutional claims, and active human monitoring.</w:t>
      </w:r>
    </w:p>
    <w:p>
      <w:pPr>
        <w:pStyle w:val="Heading2"/>
      </w:pPr>
      <w:r>
        <w:t>Key external references</w:t>
      </w:r>
    </w:p>
    <w:p>
      <w:pPr>
        <w:pStyle w:val="Evidence"/>
      </w:pPr>
      <w:r>
        <w:rPr>
          <w:rFonts w:ascii="Calibri" w:hAnsi="Calibri"/>
          <w:b/>
          <w:color w:val="5C6370"/>
          <w:sz w:val="18"/>
        </w:rPr>
        <w:t xml:space="preserve">Evidence: </w:t>
      </w:r>
      <w:hyperlink r:id="rId32">
        <w:r>
          <w:rPr>
            <w:rFonts w:ascii="Calibri" w:hAnsi="Calibri"/>
            <w:color w:val="2E74B5"/>
            <w:u w:val="single"/>
            <w:sz w:val="18"/>
          </w:rPr>
          <w:t>Vercel request-size guidance</w:t>
        </w:r>
      </w:hyperlink>
      <w:r>
        <w:rPr>
          <w:rFonts w:ascii="Calibri" w:hAnsi="Calibri"/>
          <w:color w:val="5C6370"/>
          <w:sz w:val="18"/>
        </w:rPr>
        <w:t xml:space="preserve">  |  </w:t>
      </w:r>
      <w:hyperlink r:id="rId24">
        <w:r>
          <w:rPr>
            <w:rFonts w:ascii="Calibri" w:hAnsi="Calibri"/>
            <w:color w:val="2E74B5"/>
            <w:u w:val="single"/>
            <w:sz w:val="18"/>
          </w:rPr>
          <w:t>Vercel cron operations</w:t>
        </w:r>
      </w:hyperlink>
      <w:r>
        <w:rPr>
          <w:rFonts w:ascii="Calibri" w:hAnsi="Calibri"/>
          <w:color w:val="5C6370"/>
          <w:sz w:val="18"/>
        </w:rPr>
        <w:t xml:space="preserve">  |  </w:t>
      </w:r>
      <w:hyperlink r:id="rId44">
        <w:r>
          <w:rPr>
            <w:rFonts w:ascii="Calibri" w:hAnsi="Calibri"/>
            <w:color w:val="2E74B5"/>
            <w:u w:val="single"/>
            <w:sz w:val="18"/>
          </w:rPr>
          <w:t>BookQuest production</w:t>
        </w:r>
      </w:hyperlink>
    </w:p>
    <w:sectPr>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C6370"/>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C6370"/>
        <w:sz w:val="17"/>
      </w:rPr>
      <w:t>BOOKQUEST  /  PRODUCTION READINESS AUDIT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lvlJc w:val="left"/>
      <w:pPr>
        <w:tabs>
          <w:tab w:val="num" w:pos="720"/>
        </w:tabs>
        <w:ind w:left="720" w:hanging="360"/>
      </w:pPr>
    </w:lvl>
  </w:abstractNum>
  <w:abstractNum w:abstractNumId="10">
    <w:multiLevelType w:val="singleLevel"/>
    <w:lvl w:ilvl="0">
      <w:start w:val="1"/>
      <w:numFmt w:val="decimal"/>
      <w:lvlText w:val="%1."/>
      <w:lvlJc w:val="left"/>
      <w:pPr>
        <w:tabs>
          <w:tab w:val="num" w:pos="720"/>
        </w:tabs>
        <w:ind w:left="72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uditBullet">
    <w:name w:val="Audit Bullet"/>
    <w:basedOn w:val="Normal"/>
    <w:pPr>
      <w:widowControl/>
      <w:spacing w:after="160" w:line="280" w:lineRule="auto"/>
    </w:pPr>
  </w:style>
  <w:style w:type="paragraph" w:customStyle="1" w:styleId="AuditNumber">
    <w:name w:val="Audit Number"/>
    <w:basedOn w:val="Normal"/>
    <w:pPr>
      <w:widowControl/>
      <w:spacing w:after="160" w:line="280" w:lineRule="auto"/>
    </w:pPr>
  </w:style>
  <w:style w:type="paragraph" w:customStyle="1" w:styleId="Evidence">
    <w:name w:val="Evidence"/>
    <w:basedOn w:val="Normal"/>
    <w:pPr>
      <w:keepLines/>
      <w:spacing w:before="20" w:after="180"/>
    </w:pPr>
    <w:rPr>
      <w:rFonts w:ascii="Calibri" w:hAnsi="Calibri"/>
      <w:color w:val="5C6370"/>
      <w:sz w:val="18"/>
    </w:rPr>
  </w:style>
  <w:style w:type="paragraph" w:customStyle="1" w:styleId="Callout">
    <w:name w:val="Callout"/>
    <w:basedOn w:val="Normal"/>
    <w:pPr>
      <w:keepLines/>
      <w:spacing w:before="140" w:after="200" w:line="269" w:lineRule="auto"/>
      <w:ind w:left="259" w:right="173"/>
    </w:pPr>
  </w:style>
  <w:style w:type="paragraph" w:customStyle="1" w:styleId="TableSpacer">
    <w:name w:val="Table Spacer"/>
    <w:basedOn w:val="Normal"/>
    <w:pPr>
      <w:spacing w:before="40" w:after="80"/>
    </w:pPr>
    <w:rPr>
      <w:sz w:val="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yasinjemal/BookQuest/actions/runs/29464330243" TargetMode="External"/><Relationship Id="rId12" Type="http://schemas.openxmlformats.org/officeDocument/2006/relationships/hyperlink" Target="https://github.com/yasinjemal/BookQuest/actions/runs/29464330267" TargetMode="External"/><Relationship Id="rId13" Type="http://schemas.openxmlformats.org/officeDocument/2006/relationships/hyperlink" Target="https://book-quest-silk.vercel.app/api/capabilities" TargetMode="External"/><Relationship Id="rId14" Type="http://schemas.openxmlformats.org/officeDocument/2006/relationships/hyperlink" Target="https://github.com/yasinjemal/BookQuest/blob/b2964f42c0587a6ee1f31ace1ac3c81eafd44f2d/README.md#L12" TargetMode="External"/><Relationship Id="rId15" Type="http://schemas.openxmlformats.org/officeDocument/2006/relationships/hyperlink" Target="https://github.com/yasinjemal/BookQuest/blob/b2964f42c0587a6ee1f31ace1ac3c81eafd44f2d/lib/db.ts#L59" TargetMode="External"/><Relationship Id="rId16" Type="http://schemas.openxmlformats.org/officeDocument/2006/relationships/hyperlink" Target="https://github.com/yasinjemal/BookQuest/blob/b2964f42c0587a6ee1f31ace1ac3c81eafd44f2d/app/api/auth/register/route.ts#L55" TargetMode="External"/><Relationship Id="rId17" Type="http://schemas.openxmlformats.org/officeDocument/2006/relationships/hyperlink" Target="https://github.com/yasinjemal/BookQuest/blob/b2964f42c0587a6ee1f31ace1ac3c81eafd44f2d/lib/auth.ts#L69" TargetMode="External"/><Relationship Id="rId18" Type="http://schemas.openxmlformats.org/officeDocument/2006/relationships/hyperlink" Target="https://github.com/yasinjemal/BookQuest/blob/b2964f42c0587a6ee1f31ace1ac3c81eafd44f2d/app/api/upload/route.ts#L46" TargetMode="External"/><Relationship Id="rId19" Type="http://schemas.openxmlformats.org/officeDocument/2006/relationships/hyperlink" Target="https://github.com/yasinjemal/BookQuest/blob/b2964f42c0587a6ee1f31ace1ac3c81eafd44f2d/docs/fable5%20auditio.md#L11" TargetMode="External"/><Relationship Id="rId20" Type="http://schemas.openxmlformats.org/officeDocument/2006/relationships/hyperlink" Target="https://github.com/yasinjemal/BookQuest/blob/b2964f42c0587a6ee1f31ace1ac3c81eafd44f2d/docs/SELF_HOSTING_AND_AI.md#L102" TargetMode="External"/><Relationship Id="rId21" Type="http://schemas.openxmlformats.org/officeDocument/2006/relationships/hyperlink" Target="https://github.com/yasinjemal/BookQuest/blob/b2964f42c0587a6ee1f31ace1ac3c81eafd44f2d/docs/PRIVACY_LIFECYCLE.md#L40" TargetMode="External"/><Relationship Id="rId22" Type="http://schemas.openxmlformats.org/officeDocument/2006/relationships/hyperlink" Target="https://github.com/yasinjemal/BookQuest/blob/b2964f42c0587a6ee1f31ace1ac3c81eafd44f2d/lib/privacy.ts#L540" TargetMode="External"/><Relationship Id="rId23" Type="http://schemas.openxmlformats.org/officeDocument/2006/relationships/hyperlink" Target="https://github.com/yasinjemal/BookQuest/blob/b2964f42c0587a6ee1f31ace1ac3c81eafd44f2d/scripts/privacy-maintenance.mjs#L1" TargetMode="External"/><Relationship Id="rId24" Type="http://schemas.openxmlformats.org/officeDocument/2006/relationships/hyperlink" Target="https://vercel.com/docs/cron-jobs/manage-cron-jobs" TargetMode="External"/><Relationship Id="rId25" Type="http://schemas.openxmlformats.org/officeDocument/2006/relationships/hyperlink" Target="https://github.com/yasinjemal/BookQuest/blob/b2964f42c0587a6ee1f31ace1ac3c81eafd44f2d/lib/studio.ts#L685" TargetMode="External"/><Relationship Id="rId26" Type="http://schemas.openxmlformats.org/officeDocument/2006/relationships/hyperlink" Target="https://github.com/yasinjemal/BookQuest/blob/b2964f42c0587a6ee1f31ace1ac3c81eafd44f2d/lib/studio.ts#L802" TargetMode="External"/><Relationship Id="rId27" Type="http://schemas.openxmlformats.org/officeDocument/2006/relationships/hyperlink" Target="https://github.com/yasinjemal/BookQuest/blob/b2964f42c0587a6ee1f31ace1ac3c81eafd44f2d/lib/space-authorization.ts#L42" TargetMode="External"/><Relationship Id="rId28" Type="http://schemas.openxmlformats.org/officeDocument/2006/relationships/hyperlink" Target="https://github.com/yasinjemal/BookQuest/blob/b2964f42c0587a6ee1f31ace1ac3c81eafd44f2d/lib/integrations.ts#L58" TargetMode="External"/><Relationship Id="rId29" Type="http://schemas.openxmlformats.org/officeDocument/2006/relationships/hyperlink" Target="https://github.com/yasinjemal/BookQuest/blob/b2964f42c0587a6ee1f31ace1ac3c81eafd44f2d/lib/lti.ts#L195" TargetMode="External"/><Relationship Id="rId30" Type="http://schemas.openxmlformats.org/officeDocument/2006/relationships/hyperlink" Target="https://github.com/yasinjemal/BookQuest/blob/b2964f42c0587a6ee1f31ace1ac3c81eafd44f2d/app/api/upload/route.ts#L61" TargetMode="External"/><Relationship Id="rId31" Type="http://schemas.openxmlformats.org/officeDocument/2006/relationships/hyperlink" Target="https://github.com/yasinjemal/BookQuest/blob/b2964f42c0587a6ee1f31ace1ac3c81eafd44f2d/lib/extract.ts#L17" TargetMode="External"/><Relationship Id="rId32" Type="http://schemas.openxmlformats.org/officeDocument/2006/relationships/hyperlink" Target="https://examples.vercel.com/kb/guide/how-to-bypass-vercel-body-size-limit-serverless-functions" TargetMode="External"/><Relationship Id="rId33" Type="http://schemas.openxmlformats.org/officeDocument/2006/relationships/hyperlink" Target="https://github.com/yasinjemal/BookQuest/blob/b2964f42c0587a6ee1f31ace1ac3c81eafd44f2d/.github/workflows/ci.yml#L1" TargetMode="External"/><Relationship Id="rId34" Type="http://schemas.openxmlformats.org/officeDocument/2006/relationships/hyperlink" Target="https://github.com/yasinjemal/BookQuest/blob/b2964f42c0587a6ee1f31ace1ac3c81eafd44f2d/instrumentation.ts#L3" TargetMode="External"/><Relationship Id="rId35" Type="http://schemas.openxmlformats.org/officeDocument/2006/relationships/hyperlink" Target="https://github.com/yasinjemal/BookQuest/blob/b2964f42c0587a6ee1f31ace1ac3c81eafd44f2d/lib/pg.ts#L42" TargetMode="External"/><Relationship Id="rId36" Type="http://schemas.openxmlformats.org/officeDocument/2006/relationships/hyperlink" Target="https://github.com/yasinjemal/BookQuest/blob/b2964f42c0587a6ee1f31ace1ac3c81eafd44f2d/docs/DEPLOYMENT_AND_MIGRATION.md#L262" TargetMode="External"/><Relationship Id="rId37" Type="http://schemas.openxmlformats.org/officeDocument/2006/relationships/hyperlink" Target="https://github.com/yasinjemal/BookQuest/blob/b2964f42c0587a6ee1f31ace1ac3c81eafd44f2d/lib/billing.ts#L91" TargetMode="External"/><Relationship Id="rId38" Type="http://schemas.openxmlformats.org/officeDocument/2006/relationships/hyperlink" Target="https://github.com/yasinjemal/BookQuest/blob/b2964f42c0587a6ee1f31ace1ac3c81eafd44f2d/app/api/billing/callback/route.ts#L8" TargetMode="External"/><Relationship Id="rId39" Type="http://schemas.openxmlformats.org/officeDocument/2006/relationships/hyperlink" Target="https://github.com/yasinjemal/BookQuest/blob/b2964f42c0587a6ee1f31ace1ac3c81eafd44f2d/lib/db.ts#L2187" TargetMode="External"/><Relationship Id="rId40" Type="http://schemas.openxmlformats.org/officeDocument/2006/relationships/hyperlink" Target="https://github.com/yasinjemal/BookQuest/blob/b2964f42c0587a6ee1f31ace1ac3c81eafd44f2d/components/AuthForm.tsx#L141" TargetMode="External"/><Relationship Id="rId41" Type="http://schemas.openxmlformats.org/officeDocument/2006/relationships/hyperlink" Target="https://github.com/yasinjemal/BookQuest/blob/b2964f42c0587a6ee1f31ace1ac3c81eafd44f2d/docs/PLATFORM_PHASE_TRACKER.md#L1168" TargetMode="External"/><Relationship Id="rId42" Type="http://schemas.openxmlformats.org/officeDocument/2006/relationships/hyperlink" Target="https://github.com/yasinjemal/BookQuest/blob/b2964f42c0587a6ee1f31ace1ac3c81eafd44f2d/docs/INSTITUTIONAL_SECURITY.md#L96" TargetMode="External"/><Relationship Id="rId43" Type="http://schemas.openxmlformats.org/officeDocument/2006/relationships/hyperlink" Target="https://github.com/yasinjemal/BookQuest/blob/b2964f42c0587a6ee1f31ace1ac3c81eafd44f2d/docs/PLATFORM_PHASE_TRACKER.md#L770" TargetMode="External"/><Relationship Id="rId44" Type="http://schemas.openxmlformats.org/officeDocument/2006/relationships/hyperlink" Target="https://book-quest-silk.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BookQuest Production Readiness Audit</dc:title>
  <dc:subject>Launch decision, material risks, and staged go-live plan</dc:subject>
  <dc:creator/>
  <cp:keywords>BookQuest, production readiness, audit, launch</cp:keywords>
  <dc:description>generated by python-docx</dc:description>
  <cp:lastModifiedBy/>
  <cp:revision>1</cp:revision>
  <dcterms:created xsi:type="dcterms:W3CDTF">2013-12-23T23:15:00Z</dcterms:created>
  <dcterms:modified xsi:type="dcterms:W3CDTF">2013-12-23T23:15:00Z</dcterms:modified>
  <cp:category/>
</cp:coreProperties>
</file>