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0B1A7" w14:textId="77777777" w:rsidR="00CB271F" w:rsidRDefault="00CB271F" w:rsidP="00CB271F">
      <w:pPr>
        <w:pStyle w:val="Heading1"/>
        <w:shd w:val="clear" w:color="auto" w:fill="FFFFFF"/>
        <w:spacing w:before="286" w:beforeAutospacing="0" w:after="480" w:afterAutospacing="0" w:line="780" w:lineRule="atLeast"/>
        <w:rPr>
          <w:rFonts w:ascii="Helvetica" w:hAnsi="Helvetica" w:cs="Helvetica"/>
          <w:color w:val="242424"/>
          <w:spacing w:val="-3"/>
          <w:sz w:val="63"/>
          <w:szCs w:val="63"/>
        </w:rPr>
      </w:pPr>
      <w:r>
        <w:rPr>
          <w:rFonts w:ascii="Helvetica" w:hAnsi="Helvetica" w:cs="Helvetica"/>
          <w:color w:val="242424"/>
          <w:spacing w:val="-3"/>
          <w:sz w:val="63"/>
          <w:szCs w:val="63"/>
        </w:rPr>
        <w:t>Comparative Analysis of Hematological Datasets in Predicting Anemia Using Machine Learning Techniques</w:t>
      </w:r>
    </w:p>
    <w:p w14:paraId="187A99B1" w14:textId="77777777" w:rsidR="00CB271F" w:rsidRDefault="00CB271F" w:rsidP="006877EB">
      <w:pPr>
        <w:spacing w:after="0" w:line="240" w:lineRule="auto"/>
        <w:rPr>
          <w:rFonts w:ascii="Times New Roman" w:eastAsia="Times New Roman" w:hAnsi="Times New Roman" w:cs="Times New Roman"/>
          <w:sz w:val="24"/>
          <w:szCs w:val="24"/>
          <w:lang w:eastAsia="tr-TR"/>
        </w:rPr>
      </w:pPr>
    </w:p>
    <w:p w14:paraId="3C7FCA96" w14:textId="5D4E1B4F" w:rsidR="006877EB" w:rsidRPr="006877EB" w:rsidRDefault="006877EB" w:rsidP="006877EB">
      <w:pPr>
        <w:spacing w:after="0" w:line="240" w:lineRule="auto"/>
        <w:rPr>
          <w:rFonts w:ascii="Times New Roman" w:eastAsia="Times New Roman" w:hAnsi="Times New Roman" w:cs="Times New Roman"/>
          <w:sz w:val="24"/>
          <w:szCs w:val="24"/>
          <w:lang w:eastAsia="tr-TR"/>
        </w:rPr>
      </w:pPr>
      <w:r w:rsidRPr="006877EB">
        <w:rPr>
          <w:rFonts w:ascii="Times New Roman" w:eastAsia="Times New Roman" w:hAnsi="Times New Roman" w:cs="Times New Roman"/>
          <w:noProof/>
          <w:sz w:val="24"/>
          <w:szCs w:val="24"/>
          <w:lang w:eastAsia="tr-TR"/>
        </w:rPr>
        <w:drawing>
          <wp:inline distT="0" distB="0" distL="0" distR="0" wp14:anchorId="66C1344F" wp14:editId="712DA6AA">
            <wp:extent cx="5760720" cy="2896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96870"/>
                    </a:xfrm>
                    <a:prstGeom prst="rect">
                      <a:avLst/>
                    </a:prstGeom>
                    <a:noFill/>
                    <a:ln>
                      <a:noFill/>
                    </a:ln>
                  </pic:spPr>
                </pic:pic>
              </a:graphicData>
            </a:graphic>
          </wp:inline>
        </w:drawing>
      </w:r>
    </w:p>
    <w:p w14:paraId="0D8BB7E8"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Introduction</w:t>
      </w:r>
    </w:p>
    <w:p w14:paraId="441B09D6"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 xml:space="preserve">Machine learning (ML) has brought transformative changes to healthcare diagnostics, particularly in anemia detection. This paper presents a comparative analysis of two datasets with hematological features related to anemia, evaluates various classification algorithms, and highlights the superior performance of the Random Forest classifier. Our objective is to determine which dataset better represents real-life clinical diagnoses and how different features </w:t>
      </w:r>
      <w:r w:rsidRPr="006877EB">
        <w:rPr>
          <w:rFonts w:ascii="Georgia" w:eastAsia="Times New Roman" w:hAnsi="Georgia" w:cs="Times New Roman"/>
          <w:color w:val="242424"/>
          <w:spacing w:val="-1"/>
          <w:sz w:val="30"/>
          <w:szCs w:val="30"/>
          <w:lang w:eastAsia="tr-TR"/>
        </w:rPr>
        <w:lastRenderedPageBreak/>
        <w:t>contribute to accurate anemia prediction. By emphasizing hematological parameters, this study explores the effectiveness of ML models, particularly Random Forest, in predicting anemia.</w:t>
      </w:r>
    </w:p>
    <w:p w14:paraId="5C552651"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Datasets Overview</w:t>
      </w:r>
      <w:r w:rsidRPr="006877EB">
        <w:rPr>
          <w:rFonts w:ascii="Georgia" w:eastAsia="Times New Roman" w:hAnsi="Georgia" w:cs="Times New Roman"/>
          <w:color w:val="242424"/>
          <w:spacing w:val="-1"/>
          <w:sz w:val="30"/>
          <w:szCs w:val="30"/>
          <w:lang w:eastAsia="tr-TR"/>
        </w:rPr>
        <w:br/>
        <w:t>- </w:t>
      </w:r>
      <w:r w:rsidRPr="006877EB">
        <w:rPr>
          <w:rFonts w:ascii="Georgia" w:eastAsia="Times New Roman" w:hAnsi="Georgia" w:cs="Times New Roman"/>
          <w:b/>
          <w:bCs/>
          <w:color w:val="242424"/>
          <w:spacing w:val="-1"/>
          <w:sz w:val="30"/>
          <w:szCs w:val="30"/>
          <w:lang w:eastAsia="tr-TR"/>
        </w:rPr>
        <w:t>Dataset 1</w:t>
      </w:r>
      <w:r w:rsidRPr="006877EB">
        <w:rPr>
          <w:rFonts w:ascii="Georgia" w:eastAsia="Times New Roman" w:hAnsi="Georgia" w:cs="Times New Roman"/>
          <w:color w:val="242424"/>
          <w:spacing w:val="-1"/>
          <w:sz w:val="30"/>
          <w:szCs w:val="30"/>
          <w:lang w:eastAsia="tr-TR"/>
        </w:rPr>
        <w:t>: Contains traditional hematological parameters such as hemoglobin (Hb), mean corpuscular hemoglobin (MCH), mean corpuscular hemoglobin concentration (MCHC), and mean corpuscular volume (MCV), with a binary outcome (`Result`) indicating anemia (1) or no anemia (0).</w:t>
      </w:r>
      <w:r w:rsidRPr="006877EB">
        <w:rPr>
          <w:rFonts w:ascii="Georgia" w:eastAsia="Times New Roman" w:hAnsi="Georgia" w:cs="Times New Roman"/>
          <w:color w:val="242424"/>
          <w:spacing w:val="-1"/>
          <w:sz w:val="30"/>
          <w:szCs w:val="30"/>
          <w:lang w:eastAsia="tr-TR"/>
        </w:rPr>
        <w:br/>
        <w:t>-</w:t>
      </w:r>
      <w:r w:rsidRPr="006877EB">
        <w:rPr>
          <w:rFonts w:ascii="Georgia" w:eastAsia="Times New Roman" w:hAnsi="Georgia" w:cs="Times New Roman"/>
          <w:b/>
          <w:bCs/>
          <w:color w:val="242424"/>
          <w:spacing w:val="-1"/>
          <w:sz w:val="30"/>
          <w:szCs w:val="30"/>
          <w:lang w:eastAsia="tr-TR"/>
        </w:rPr>
        <w:t> Dataset 2</w:t>
      </w:r>
      <w:r w:rsidRPr="006877EB">
        <w:rPr>
          <w:rFonts w:ascii="Georgia" w:eastAsia="Times New Roman" w:hAnsi="Georgia" w:cs="Times New Roman"/>
          <w:color w:val="242424"/>
          <w:spacing w:val="-1"/>
          <w:sz w:val="30"/>
          <w:szCs w:val="30"/>
          <w:lang w:eastAsia="tr-TR"/>
        </w:rPr>
        <w:t>: Features similar blood-related attributes but also includes additional visual data, including percentages of red, green, and blue pixel values alongside Hb levels. The outcome (`Anaemic`) indicates the presence of anemia.</w:t>
      </w:r>
    </w:p>
    <w:p w14:paraId="49ABC785"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Machine Learning Application and Differences</w:t>
      </w:r>
      <w:r w:rsidRPr="006877EB">
        <w:rPr>
          <w:rFonts w:ascii="Georgia" w:eastAsia="Times New Roman" w:hAnsi="Georgia" w:cs="Times New Roman"/>
          <w:color w:val="242424"/>
          <w:spacing w:val="-1"/>
          <w:sz w:val="30"/>
          <w:szCs w:val="30"/>
          <w:lang w:eastAsia="tr-TR"/>
        </w:rPr>
        <w:br/>
        <w:t>We applied various ML algorithms, including Decision Trees, Support Vector Machines (SVM), k-Nearest Neighbors (k-NN), and Random Forest, to both datasets. Both datasets were used for binary classification where the target variable is the presence or absence of anemia. The feature sets in each dataset, however, differ significantly:</w:t>
      </w:r>
    </w:p>
    <w:p w14:paraId="5E1207D7"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 </w:t>
      </w:r>
      <w:r w:rsidRPr="006877EB">
        <w:rPr>
          <w:rFonts w:ascii="Georgia" w:eastAsia="Times New Roman" w:hAnsi="Georgia" w:cs="Times New Roman"/>
          <w:b/>
          <w:bCs/>
          <w:color w:val="242424"/>
          <w:spacing w:val="-1"/>
          <w:sz w:val="30"/>
          <w:szCs w:val="30"/>
          <w:lang w:eastAsia="tr-TR"/>
        </w:rPr>
        <w:t>Dataset 1:</w:t>
      </w:r>
      <w:r w:rsidRPr="006877EB">
        <w:rPr>
          <w:rFonts w:ascii="Georgia" w:eastAsia="Times New Roman" w:hAnsi="Georgia" w:cs="Times New Roman"/>
          <w:color w:val="242424"/>
          <w:spacing w:val="-1"/>
          <w:sz w:val="30"/>
          <w:szCs w:val="30"/>
          <w:lang w:eastAsia="tr-TR"/>
        </w:rPr>
        <w:t> Focuses on traditional hematological indices critical for anemia diagnosis, such as Hb, MCH, MCHC, and MCV. These parameters are well-established in clinical practice for diagnosing anemia.</w:t>
      </w:r>
      <w:r w:rsidRPr="006877EB">
        <w:rPr>
          <w:rFonts w:ascii="Georgia" w:eastAsia="Times New Roman" w:hAnsi="Georgia" w:cs="Times New Roman"/>
          <w:color w:val="242424"/>
          <w:spacing w:val="-1"/>
          <w:sz w:val="30"/>
          <w:szCs w:val="30"/>
          <w:lang w:eastAsia="tr-TR"/>
        </w:rPr>
        <w:br/>
        <w:t>- </w:t>
      </w:r>
      <w:r w:rsidRPr="006877EB">
        <w:rPr>
          <w:rFonts w:ascii="Georgia" w:eastAsia="Times New Roman" w:hAnsi="Georgia" w:cs="Times New Roman"/>
          <w:b/>
          <w:bCs/>
          <w:color w:val="242424"/>
          <w:spacing w:val="-1"/>
          <w:sz w:val="30"/>
          <w:szCs w:val="30"/>
          <w:lang w:eastAsia="tr-TR"/>
        </w:rPr>
        <w:t>Dataset 2</w:t>
      </w:r>
      <w:r w:rsidRPr="006877EB">
        <w:rPr>
          <w:rFonts w:ascii="Georgia" w:eastAsia="Times New Roman" w:hAnsi="Georgia" w:cs="Times New Roman"/>
          <w:color w:val="242424"/>
          <w:spacing w:val="-1"/>
          <w:sz w:val="30"/>
          <w:szCs w:val="30"/>
          <w:lang w:eastAsia="tr-TR"/>
        </w:rPr>
        <w:t xml:space="preserve">: Introduces pixel-based data along with Hb values. </w:t>
      </w:r>
      <w:r w:rsidRPr="006877EB">
        <w:rPr>
          <w:rFonts w:ascii="Georgia" w:eastAsia="Times New Roman" w:hAnsi="Georgia" w:cs="Times New Roman"/>
          <w:color w:val="242424"/>
          <w:spacing w:val="-1"/>
          <w:sz w:val="30"/>
          <w:szCs w:val="30"/>
          <w:lang w:eastAsia="tr-TR"/>
        </w:rPr>
        <w:lastRenderedPageBreak/>
        <w:t>While Hb is a crucial indicator, the inclusion of pixel percentages offers a novel angle for detection, though it may not directly translate to conventional clinical practice.</w:t>
      </w:r>
    </w:p>
    <w:p w14:paraId="74C3AABA"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Expert Analysis on Dataset Relevance</w:t>
      </w:r>
    </w:p>
    <w:p w14:paraId="1179A9CB"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From a Hematology Perspective</w:t>
      </w:r>
      <w:r w:rsidRPr="006877EB">
        <w:rPr>
          <w:rFonts w:ascii="Georgia" w:eastAsia="Times New Roman" w:hAnsi="Georgia" w:cs="Times New Roman"/>
          <w:color w:val="242424"/>
          <w:spacing w:val="-1"/>
          <w:sz w:val="30"/>
          <w:szCs w:val="30"/>
          <w:lang w:eastAsia="tr-TR"/>
        </w:rPr>
        <w:t>:</w:t>
      </w:r>
      <w:r w:rsidRPr="006877EB">
        <w:rPr>
          <w:rFonts w:ascii="Georgia" w:eastAsia="Times New Roman" w:hAnsi="Georgia" w:cs="Times New Roman"/>
          <w:color w:val="242424"/>
          <w:spacing w:val="-1"/>
          <w:sz w:val="30"/>
          <w:szCs w:val="30"/>
          <w:lang w:eastAsia="tr-TR"/>
        </w:rPr>
        <w:br/>
      </w:r>
      <w:r w:rsidRPr="006877EB">
        <w:rPr>
          <w:rFonts w:ascii="Georgia" w:eastAsia="Times New Roman" w:hAnsi="Georgia" w:cs="Times New Roman"/>
          <w:b/>
          <w:bCs/>
          <w:color w:val="242424"/>
          <w:spacing w:val="-1"/>
          <w:sz w:val="30"/>
          <w:szCs w:val="30"/>
          <w:lang w:eastAsia="tr-TR"/>
        </w:rPr>
        <w:t>Dataset 1</w:t>
      </w:r>
      <w:r w:rsidRPr="006877EB">
        <w:rPr>
          <w:rFonts w:ascii="Georgia" w:eastAsia="Times New Roman" w:hAnsi="Georgia" w:cs="Times New Roman"/>
          <w:color w:val="242424"/>
          <w:spacing w:val="-1"/>
          <w:sz w:val="30"/>
          <w:szCs w:val="30"/>
          <w:lang w:eastAsia="tr-TR"/>
        </w:rPr>
        <w:t> aligns more closely with clinical practice. Hematologists use parameters like Hb, MCH, and MCV to diagnose anemia, making this dataset more relevant for real-world applications. The parameters are integral to assessing anemia and are frequently used in medical examinations.</w:t>
      </w:r>
    </w:p>
    <w:p w14:paraId="03738CEB"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Dataset 2</w:t>
      </w:r>
      <w:r w:rsidRPr="006877EB">
        <w:rPr>
          <w:rFonts w:ascii="Georgia" w:eastAsia="Times New Roman" w:hAnsi="Georgia" w:cs="Times New Roman"/>
          <w:color w:val="242424"/>
          <w:spacing w:val="-1"/>
          <w:sz w:val="30"/>
          <w:szCs w:val="30"/>
          <w:lang w:eastAsia="tr-TR"/>
        </w:rPr>
        <w:t>, with its additional pixel data, presents an experimental approach. While pixel-based features might offer innovative insights, they lack direct clinical applicability and may not correlate with established diagnostic methods. The pixel data might be more relevant for exploratory studies rather than standard clinical practice.</w:t>
      </w:r>
    </w:p>
    <w:p w14:paraId="02F1C162"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Model Performance Evaluation</w:t>
      </w:r>
    </w:p>
    <w:p w14:paraId="0F946DF3"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The analysis revealed that Random Forest consistently outperformed other algorithms in terms of accuracy and reliability:</w:t>
      </w:r>
    </w:p>
    <w:p w14:paraId="4C4AB03C"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 </w:t>
      </w:r>
      <w:r w:rsidRPr="006877EB">
        <w:rPr>
          <w:rFonts w:ascii="Georgia" w:eastAsia="Times New Roman" w:hAnsi="Georgia" w:cs="Times New Roman"/>
          <w:b/>
          <w:bCs/>
          <w:color w:val="242424"/>
          <w:spacing w:val="-1"/>
          <w:sz w:val="30"/>
          <w:szCs w:val="30"/>
          <w:lang w:eastAsia="tr-TR"/>
        </w:rPr>
        <w:t>Accuracy</w:t>
      </w:r>
      <w:r w:rsidRPr="006877EB">
        <w:rPr>
          <w:rFonts w:ascii="Georgia" w:eastAsia="Times New Roman" w:hAnsi="Georgia" w:cs="Times New Roman"/>
          <w:color w:val="242424"/>
          <w:spacing w:val="-1"/>
          <w:sz w:val="30"/>
          <w:szCs w:val="30"/>
          <w:lang w:eastAsia="tr-TR"/>
        </w:rPr>
        <w:t>:</w:t>
      </w:r>
      <w:r w:rsidRPr="006877EB">
        <w:rPr>
          <w:rFonts w:ascii="Georgia" w:eastAsia="Times New Roman" w:hAnsi="Georgia" w:cs="Times New Roman"/>
          <w:b/>
          <w:bCs/>
          <w:color w:val="242424"/>
          <w:spacing w:val="-1"/>
          <w:sz w:val="30"/>
          <w:szCs w:val="30"/>
          <w:lang w:eastAsia="tr-TR"/>
        </w:rPr>
        <w:t> </w:t>
      </w:r>
      <w:r w:rsidRPr="006877EB">
        <w:rPr>
          <w:rFonts w:ascii="Georgia" w:eastAsia="Times New Roman" w:hAnsi="Georgia" w:cs="Times New Roman"/>
          <w:color w:val="242424"/>
          <w:spacing w:val="-1"/>
          <w:sz w:val="30"/>
          <w:szCs w:val="30"/>
          <w:lang w:eastAsia="tr-TR"/>
        </w:rPr>
        <w:t xml:space="preserve">Random Forest achieved the highest accuracy rates, particularly with Dataset 1, where the features align with traditional medical diagnostics. In Dataset 2, while Random Forest still </w:t>
      </w:r>
      <w:r w:rsidRPr="006877EB">
        <w:rPr>
          <w:rFonts w:ascii="Georgia" w:eastAsia="Times New Roman" w:hAnsi="Georgia" w:cs="Times New Roman"/>
          <w:color w:val="242424"/>
          <w:spacing w:val="-1"/>
          <w:sz w:val="30"/>
          <w:szCs w:val="30"/>
          <w:lang w:eastAsia="tr-TR"/>
        </w:rPr>
        <w:lastRenderedPageBreak/>
        <w:t>performed well, the accuracy was slightly lower due to the experimental nature of the pixel data.</w:t>
      </w:r>
      <w:r w:rsidRPr="006877EB">
        <w:rPr>
          <w:rFonts w:ascii="Georgia" w:eastAsia="Times New Roman" w:hAnsi="Georgia" w:cs="Times New Roman"/>
          <w:color w:val="242424"/>
          <w:spacing w:val="-1"/>
          <w:sz w:val="30"/>
          <w:szCs w:val="30"/>
          <w:lang w:eastAsia="tr-TR"/>
        </w:rPr>
        <w:br/>
      </w:r>
      <w:r w:rsidRPr="006877EB">
        <w:rPr>
          <w:rFonts w:ascii="Georgia" w:eastAsia="Times New Roman" w:hAnsi="Georgia" w:cs="Times New Roman"/>
          <w:color w:val="242424"/>
          <w:spacing w:val="-1"/>
          <w:sz w:val="30"/>
          <w:szCs w:val="30"/>
          <w:lang w:eastAsia="tr-TR"/>
        </w:rPr>
        <w:br/>
        <w:t>- </w:t>
      </w:r>
      <w:r w:rsidRPr="006877EB">
        <w:rPr>
          <w:rFonts w:ascii="Georgia" w:eastAsia="Times New Roman" w:hAnsi="Georgia" w:cs="Times New Roman"/>
          <w:b/>
          <w:bCs/>
          <w:color w:val="242424"/>
          <w:spacing w:val="-1"/>
          <w:sz w:val="30"/>
          <w:szCs w:val="30"/>
          <w:lang w:eastAsia="tr-TR"/>
        </w:rPr>
        <w:t>Feature Importance</w:t>
      </w:r>
      <w:r w:rsidRPr="006877EB">
        <w:rPr>
          <w:rFonts w:ascii="Georgia" w:eastAsia="Times New Roman" w:hAnsi="Georgia" w:cs="Times New Roman"/>
          <w:color w:val="242424"/>
          <w:spacing w:val="-1"/>
          <w:sz w:val="30"/>
          <w:szCs w:val="30"/>
          <w:lang w:eastAsia="tr-TR"/>
        </w:rPr>
        <w:t>: For Dataset 1, hemoglobin emerged as the most critical feature, followed by MCH and MCV. This finding is consistent with clinical practice, where these parameters are central to anemia diagnosis.</w:t>
      </w:r>
    </w:p>
    <w:p w14:paraId="6857DE0A"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Random Forest Formula Explained</w:t>
      </w:r>
    </w:p>
    <w:p w14:paraId="0DEE0339"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The Random Forest algorithm builds multiple decision trees from random subsets of the training data and aggregates their predictions:</w:t>
      </w:r>
    </w:p>
    <w:p w14:paraId="7EFE5029" w14:textId="2939EE46" w:rsidR="006877EB" w:rsidRPr="006877EB" w:rsidRDefault="006877EB" w:rsidP="006877EB">
      <w:pPr>
        <w:spacing w:after="0" w:line="240" w:lineRule="auto"/>
        <w:rPr>
          <w:rFonts w:ascii="Times New Roman" w:eastAsia="Times New Roman" w:hAnsi="Times New Roman" w:cs="Times New Roman"/>
          <w:sz w:val="24"/>
          <w:szCs w:val="24"/>
          <w:lang w:eastAsia="tr-TR"/>
        </w:rPr>
      </w:pPr>
      <w:r w:rsidRPr="006877EB">
        <w:rPr>
          <w:rFonts w:ascii="Times New Roman" w:eastAsia="Times New Roman" w:hAnsi="Times New Roman" w:cs="Times New Roman"/>
          <w:noProof/>
          <w:sz w:val="24"/>
          <w:szCs w:val="24"/>
          <w:lang w:eastAsia="tr-TR"/>
        </w:rPr>
        <w:drawing>
          <wp:inline distT="0" distB="0" distL="0" distR="0" wp14:anchorId="1D00A327" wp14:editId="3223F9FB">
            <wp:extent cx="5760720" cy="2007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007870"/>
                    </a:xfrm>
                    <a:prstGeom prst="rect">
                      <a:avLst/>
                    </a:prstGeom>
                    <a:noFill/>
                    <a:ln>
                      <a:noFill/>
                    </a:ln>
                  </pic:spPr>
                </pic:pic>
              </a:graphicData>
            </a:graphic>
          </wp:inline>
        </w:drawing>
      </w:r>
    </w:p>
    <w:p w14:paraId="7D562668"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Discussion on Model Selection and Results</w:t>
      </w:r>
    </w:p>
    <w:p w14:paraId="6D0C6B2D"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The comparative analysis of both datasets indicates that </w:t>
      </w:r>
      <w:r w:rsidRPr="006877EB">
        <w:rPr>
          <w:rFonts w:ascii="Georgia" w:eastAsia="Times New Roman" w:hAnsi="Georgia" w:cs="Times New Roman"/>
          <w:b/>
          <w:bCs/>
          <w:color w:val="242424"/>
          <w:spacing w:val="-1"/>
          <w:sz w:val="30"/>
          <w:szCs w:val="30"/>
          <w:lang w:eastAsia="tr-TR"/>
        </w:rPr>
        <w:t>Dataset 1</w:t>
      </w:r>
      <w:r w:rsidRPr="006877EB">
        <w:rPr>
          <w:rFonts w:ascii="Georgia" w:eastAsia="Times New Roman" w:hAnsi="Georgia" w:cs="Times New Roman"/>
          <w:color w:val="242424"/>
          <w:spacing w:val="-1"/>
          <w:sz w:val="30"/>
          <w:szCs w:val="30"/>
          <w:lang w:eastAsia="tr-TR"/>
        </w:rPr>
        <w:t> provides a more accurate representation of clinical scenarios. Hematological parameters such as hemoglobin, MCH, and MCV are essential for diagnosing anemia, making models trained on this dataset more practical for real-world use.</w:t>
      </w:r>
    </w:p>
    <w:p w14:paraId="10787FE2"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lastRenderedPageBreak/>
        <w:t>Random Forest</w:t>
      </w:r>
      <w:r w:rsidRPr="006877EB">
        <w:rPr>
          <w:rFonts w:ascii="Georgia" w:eastAsia="Times New Roman" w:hAnsi="Georgia" w:cs="Times New Roman"/>
          <w:color w:val="242424"/>
          <w:spacing w:val="-1"/>
          <w:sz w:val="30"/>
          <w:szCs w:val="30"/>
          <w:lang w:eastAsia="tr-TR"/>
        </w:rPr>
        <w:t> has proven to be the most effective model for both datasets. It demonstrates superior accuracy and interpretability, especially with </w:t>
      </w:r>
      <w:r w:rsidRPr="006877EB">
        <w:rPr>
          <w:rFonts w:ascii="Georgia" w:eastAsia="Times New Roman" w:hAnsi="Georgia" w:cs="Times New Roman"/>
          <w:b/>
          <w:bCs/>
          <w:color w:val="242424"/>
          <w:spacing w:val="-1"/>
          <w:sz w:val="30"/>
          <w:szCs w:val="30"/>
          <w:lang w:eastAsia="tr-TR"/>
        </w:rPr>
        <w:t>Dataset 1</w:t>
      </w:r>
      <w:r w:rsidRPr="006877EB">
        <w:rPr>
          <w:rFonts w:ascii="Georgia" w:eastAsia="Times New Roman" w:hAnsi="Georgia" w:cs="Times New Roman"/>
          <w:color w:val="242424"/>
          <w:spacing w:val="-1"/>
          <w:sz w:val="30"/>
          <w:szCs w:val="30"/>
          <w:lang w:eastAsia="tr-TR"/>
        </w:rPr>
        <w:t>, where traditional hematological features are involved. While </w:t>
      </w:r>
      <w:r w:rsidRPr="006877EB">
        <w:rPr>
          <w:rFonts w:ascii="Georgia" w:eastAsia="Times New Roman" w:hAnsi="Georgia" w:cs="Times New Roman"/>
          <w:b/>
          <w:bCs/>
          <w:color w:val="242424"/>
          <w:spacing w:val="-1"/>
          <w:sz w:val="30"/>
          <w:szCs w:val="30"/>
          <w:lang w:eastAsia="tr-TR"/>
        </w:rPr>
        <w:t>Dataset 2</w:t>
      </w:r>
      <w:r w:rsidRPr="006877EB">
        <w:rPr>
          <w:rFonts w:ascii="Georgia" w:eastAsia="Times New Roman" w:hAnsi="Georgia" w:cs="Times New Roman"/>
          <w:color w:val="242424"/>
          <w:spacing w:val="-1"/>
          <w:sz w:val="30"/>
          <w:szCs w:val="30"/>
          <w:lang w:eastAsia="tr-TR"/>
        </w:rPr>
        <w:t> offers an innovative approach with pixel-based features, it remains less clinically actionable, which limits its applicability in standard medical diagnostics.</w:t>
      </w:r>
    </w:p>
    <w:p w14:paraId="79CEAF2E"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Conclusion</w:t>
      </w:r>
    </w:p>
    <w:p w14:paraId="09236CC1"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This study underscores the importance of selecting relevant features and robust models for medical diagnostics. Random Forest, particularly when applied to datasets like </w:t>
      </w:r>
      <w:r w:rsidRPr="006877EB">
        <w:rPr>
          <w:rFonts w:ascii="Georgia" w:eastAsia="Times New Roman" w:hAnsi="Georgia" w:cs="Times New Roman"/>
          <w:b/>
          <w:bCs/>
          <w:color w:val="242424"/>
          <w:spacing w:val="-1"/>
          <w:sz w:val="30"/>
          <w:szCs w:val="30"/>
          <w:lang w:eastAsia="tr-TR"/>
        </w:rPr>
        <w:t>Dataset 1</w:t>
      </w:r>
      <w:r w:rsidRPr="006877EB">
        <w:rPr>
          <w:rFonts w:ascii="Georgia" w:eastAsia="Times New Roman" w:hAnsi="Georgia" w:cs="Times New Roman"/>
          <w:color w:val="242424"/>
          <w:spacing w:val="-1"/>
          <w:sz w:val="30"/>
          <w:szCs w:val="30"/>
          <w:lang w:eastAsia="tr-TR"/>
        </w:rPr>
        <w:t>, offers a reliable and interpretable method for predicting anemia. Its ability to capture complex feature interactions while mitigating overfitting makes it an ideal choice for medical applications. Future research could explore integrating traditional hematological data with innovative features from </w:t>
      </w:r>
      <w:r w:rsidRPr="006877EB">
        <w:rPr>
          <w:rFonts w:ascii="Georgia" w:eastAsia="Times New Roman" w:hAnsi="Georgia" w:cs="Times New Roman"/>
          <w:b/>
          <w:bCs/>
          <w:color w:val="242424"/>
          <w:spacing w:val="-1"/>
          <w:sz w:val="30"/>
          <w:szCs w:val="30"/>
          <w:lang w:eastAsia="tr-TR"/>
        </w:rPr>
        <w:t>Dataset 2</w:t>
      </w:r>
      <w:r w:rsidRPr="006877EB">
        <w:rPr>
          <w:rFonts w:ascii="Georgia" w:eastAsia="Times New Roman" w:hAnsi="Georgia" w:cs="Times New Roman"/>
          <w:color w:val="242424"/>
          <w:spacing w:val="-1"/>
          <w:sz w:val="30"/>
          <w:szCs w:val="30"/>
          <w:lang w:eastAsia="tr-TR"/>
        </w:rPr>
        <w:t> to enhance early detection capabilities for anemia.</w:t>
      </w:r>
    </w:p>
    <w:p w14:paraId="2F0FD11A"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This research highlights the importance of aligning machine learning models with clinical practices and emphasizes the Random Forest algorithm’s efficacy in improving diagnostic accuracy in anemia prediction.</w:t>
      </w:r>
    </w:p>
    <w:p w14:paraId="0CD593A3"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color w:val="242424"/>
          <w:spacing w:val="-1"/>
          <w:sz w:val="30"/>
          <w:szCs w:val="30"/>
          <w:lang w:eastAsia="tr-TR"/>
        </w:rPr>
        <w:t>Finally, you can access the analysis and reports from this </w:t>
      </w:r>
      <w:hyperlink r:id="rId9" w:tgtFrame="_blank" w:history="1">
        <w:r w:rsidRPr="006877EB">
          <w:rPr>
            <w:rFonts w:ascii="Georgia" w:eastAsia="Times New Roman" w:hAnsi="Georgia" w:cs="Times New Roman"/>
            <w:color w:val="0000FF"/>
            <w:spacing w:val="-1"/>
            <w:sz w:val="30"/>
            <w:szCs w:val="30"/>
            <w:u w:val="single"/>
            <w:lang w:eastAsia="tr-TR"/>
          </w:rPr>
          <w:t>link</w:t>
        </w:r>
      </w:hyperlink>
      <w:r w:rsidRPr="006877EB">
        <w:rPr>
          <w:rFonts w:ascii="Georgia" w:eastAsia="Times New Roman" w:hAnsi="Georgia" w:cs="Times New Roman"/>
          <w:color w:val="242424"/>
          <w:spacing w:val="-1"/>
          <w:sz w:val="30"/>
          <w:szCs w:val="30"/>
          <w:lang w:eastAsia="tr-TR"/>
        </w:rPr>
        <w:t>.</w:t>
      </w:r>
    </w:p>
    <w:p w14:paraId="788D88BD" w14:textId="77777777" w:rsidR="006877EB" w:rsidRPr="006877EB" w:rsidRDefault="006877EB" w:rsidP="006877EB">
      <w:pPr>
        <w:shd w:val="clear" w:color="auto" w:fill="FFFFFF"/>
        <w:spacing w:before="468" w:after="0" w:line="450" w:lineRule="atLeast"/>
        <w:outlineLvl w:val="0"/>
        <w:rPr>
          <w:rFonts w:ascii="Helvetica" w:eastAsia="Times New Roman" w:hAnsi="Helvetica" w:cs="Helvetica"/>
          <w:b/>
          <w:bCs/>
          <w:color w:val="242424"/>
          <w:spacing w:val="-4"/>
          <w:kern w:val="36"/>
          <w:sz w:val="36"/>
          <w:szCs w:val="36"/>
          <w:lang w:eastAsia="tr-TR"/>
        </w:rPr>
      </w:pPr>
      <w:r w:rsidRPr="006877EB">
        <w:rPr>
          <w:rFonts w:ascii="Helvetica" w:eastAsia="Times New Roman" w:hAnsi="Helvetica" w:cs="Helvetica"/>
          <w:b/>
          <w:bCs/>
          <w:color w:val="242424"/>
          <w:spacing w:val="-4"/>
          <w:kern w:val="36"/>
          <w:sz w:val="36"/>
          <w:szCs w:val="36"/>
          <w:lang w:eastAsia="tr-TR"/>
        </w:rPr>
        <w:t>References</w:t>
      </w:r>
    </w:p>
    <w:p w14:paraId="68C3A129" w14:textId="77777777" w:rsidR="006877EB" w:rsidRPr="006877EB" w:rsidRDefault="006877EB" w:rsidP="006877EB">
      <w:pPr>
        <w:shd w:val="clear" w:color="auto" w:fill="FFFFFF"/>
        <w:spacing w:before="226"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Journal Articles:</w:t>
      </w:r>
    </w:p>
    <w:p w14:paraId="340A8E51" w14:textId="77777777" w:rsidR="006877EB" w:rsidRPr="006877EB" w:rsidRDefault="006877EB" w:rsidP="006877EB">
      <w:pPr>
        <w:numPr>
          <w:ilvl w:val="0"/>
          <w:numId w:val="1"/>
        </w:numPr>
        <w:shd w:val="clear" w:color="auto" w:fill="FFFFFF"/>
        <w:spacing w:before="51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lastRenderedPageBreak/>
        <w:t>Liu, Y., Wang, X., &amp; Zhang, Y. (2023). Advances in cancer immunotherapy: From checkpoint inhibitors to CAR-T cell therapy. </w:t>
      </w:r>
      <w:r w:rsidRPr="006877EB">
        <w:rPr>
          <w:rFonts w:ascii="Georgia" w:eastAsia="Times New Roman" w:hAnsi="Georgia" w:cs="Segoe UI"/>
          <w:i/>
          <w:iCs/>
          <w:color w:val="242424"/>
          <w:spacing w:val="-1"/>
          <w:sz w:val="30"/>
          <w:szCs w:val="30"/>
          <w:lang w:eastAsia="tr-TR"/>
        </w:rPr>
        <w:t>Journal of Clinical Oncology, 41</w:t>
      </w:r>
      <w:r w:rsidRPr="006877EB">
        <w:rPr>
          <w:rFonts w:ascii="Georgia" w:eastAsia="Times New Roman" w:hAnsi="Georgia" w:cs="Segoe UI"/>
          <w:color w:val="242424"/>
          <w:spacing w:val="-1"/>
          <w:sz w:val="30"/>
          <w:szCs w:val="30"/>
          <w:lang w:eastAsia="tr-TR"/>
        </w:rPr>
        <w:t>(20), 2150–2160. </w:t>
      </w:r>
      <w:hyperlink r:id="rId10" w:tgtFrame="_blank" w:history="1">
        <w:r w:rsidRPr="006877EB">
          <w:rPr>
            <w:rFonts w:ascii="Georgia" w:eastAsia="Times New Roman" w:hAnsi="Georgia" w:cs="Segoe UI"/>
            <w:color w:val="0000FF"/>
            <w:spacing w:val="-1"/>
            <w:sz w:val="30"/>
            <w:szCs w:val="30"/>
            <w:u w:val="single"/>
            <w:lang w:eastAsia="tr-TR"/>
          </w:rPr>
          <w:t>https://pubmed.ncbi.nlm.nih.gov/37579529/</w:t>
        </w:r>
      </w:hyperlink>
    </w:p>
    <w:p w14:paraId="14028CE6" w14:textId="77777777" w:rsidR="006877EB" w:rsidRPr="006877EB" w:rsidRDefault="006877EB" w:rsidP="006877EB">
      <w:pPr>
        <w:numPr>
          <w:ilvl w:val="0"/>
          <w:numId w:val="1"/>
        </w:numPr>
        <w:shd w:val="clear" w:color="auto" w:fill="FFFFFF"/>
        <w:spacing w:before="27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t>Basu, S., &amp; Ranjan, R. (2022). Computational models for the analysis of disease spread: A systematic review. </w:t>
      </w:r>
      <w:r w:rsidRPr="006877EB">
        <w:rPr>
          <w:rFonts w:ascii="Georgia" w:eastAsia="Times New Roman" w:hAnsi="Georgia" w:cs="Segoe UI"/>
          <w:i/>
          <w:iCs/>
          <w:color w:val="242424"/>
          <w:spacing w:val="-1"/>
          <w:sz w:val="30"/>
          <w:szCs w:val="30"/>
          <w:lang w:eastAsia="tr-TR"/>
        </w:rPr>
        <w:t>Journal of Applied Laboratory Medicine, 8</w:t>
      </w:r>
      <w:r w:rsidRPr="006877EB">
        <w:rPr>
          <w:rFonts w:ascii="Georgia" w:eastAsia="Times New Roman" w:hAnsi="Georgia" w:cs="Segoe UI"/>
          <w:color w:val="242424"/>
          <w:spacing w:val="-1"/>
          <w:sz w:val="30"/>
          <w:szCs w:val="30"/>
          <w:lang w:eastAsia="tr-TR"/>
        </w:rPr>
        <w:t>(1), 129–144. </w:t>
      </w:r>
      <w:hyperlink r:id="rId11" w:tgtFrame="_blank" w:history="1">
        <w:r w:rsidRPr="006877EB">
          <w:rPr>
            <w:rFonts w:ascii="Georgia" w:eastAsia="Times New Roman" w:hAnsi="Georgia" w:cs="Segoe UI"/>
            <w:color w:val="0000FF"/>
            <w:spacing w:val="-1"/>
            <w:sz w:val="30"/>
            <w:szCs w:val="30"/>
            <w:u w:val="single"/>
            <w:lang w:eastAsia="tr-TR"/>
          </w:rPr>
          <w:t>https://academic.oup.com/jalm/article/8/1/129/6953370</w:t>
        </w:r>
      </w:hyperlink>
    </w:p>
    <w:p w14:paraId="40E4145E"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Datasets:</w:t>
      </w:r>
    </w:p>
    <w:p w14:paraId="08EE3890" w14:textId="77777777" w:rsidR="006877EB" w:rsidRPr="006877EB" w:rsidRDefault="006877EB" w:rsidP="006877EB">
      <w:pPr>
        <w:numPr>
          <w:ilvl w:val="0"/>
          <w:numId w:val="2"/>
        </w:numPr>
        <w:shd w:val="clear" w:color="auto" w:fill="FFFFFF"/>
        <w:spacing w:before="51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t>Anemia Dataset. (n.d.). Retrieved from </w:t>
      </w:r>
      <w:hyperlink r:id="rId12" w:tgtFrame="_blank" w:history="1">
        <w:r w:rsidRPr="006877EB">
          <w:rPr>
            <w:rFonts w:ascii="Georgia" w:eastAsia="Times New Roman" w:hAnsi="Georgia" w:cs="Segoe UI"/>
            <w:color w:val="0000FF"/>
            <w:spacing w:val="-1"/>
            <w:sz w:val="30"/>
            <w:szCs w:val="30"/>
            <w:u w:val="single"/>
            <w:lang w:eastAsia="tr-TR"/>
          </w:rPr>
          <w:t>https://www.kaggle.com/datasets/biswaranjanrao/anemia-dataset</w:t>
        </w:r>
      </w:hyperlink>
    </w:p>
    <w:p w14:paraId="35FC9AB2" w14:textId="77777777" w:rsidR="006877EB" w:rsidRPr="006877EB" w:rsidRDefault="006877EB" w:rsidP="006877EB">
      <w:pPr>
        <w:numPr>
          <w:ilvl w:val="0"/>
          <w:numId w:val="2"/>
        </w:numPr>
        <w:shd w:val="clear" w:color="auto" w:fill="FFFFFF"/>
        <w:spacing w:before="27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t>Anaemia Prediction. (n.d.). Retrieved from </w:t>
      </w:r>
      <w:hyperlink r:id="rId13" w:tgtFrame="_blank" w:history="1">
        <w:r w:rsidRPr="006877EB">
          <w:rPr>
            <w:rFonts w:ascii="Georgia" w:eastAsia="Times New Roman" w:hAnsi="Georgia" w:cs="Segoe UI"/>
            <w:color w:val="0000FF"/>
            <w:spacing w:val="-1"/>
            <w:sz w:val="30"/>
            <w:szCs w:val="30"/>
            <w:u w:val="single"/>
            <w:lang w:eastAsia="tr-TR"/>
          </w:rPr>
          <w:t>https://www.kaggle.com/datasets/humairmunir/anaemia-prediction</w:t>
        </w:r>
      </w:hyperlink>
    </w:p>
    <w:p w14:paraId="36C762DA" w14:textId="77777777" w:rsidR="006877EB" w:rsidRPr="006877EB" w:rsidRDefault="006877EB" w:rsidP="006877EB">
      <w:pPr>
        <w:shd w:val="clear" w:color="auto" w:fill="FFFFFF"/>
        <w:spacing w:before="514" w:after="0" w:line="480" w:lineRule="atLeast"/>
        <w:rPr>
          <w:rFonts w:ascii="Georgia" w:eastAsia="Times New Roman" w:hAnsi="Georgia" w:cs="Times New Roman"/>
          <w:color w:val="242424"/>
          <w:spacing w:val="-1"/>
          <w:sz w:val="30"/>
          <w:szCs w:val="30"/>
          <w:lang w:eastAsia="tr-TR"/>
        </w:rPr>
      </w:pPr>
      <w:r w:rsidRPr="006877EB">
        <w:rPr>
          <w:rFonts w:ascii="Georgia" w:eastAsia="Times New Roman" w:hAnsi="Georgia" w:cs="Times New Roman"/>
          <w:b/>
          <w:bCs/>
          <w:color w:val="242424"/>
          <w:spacing w:val="-1"/>
          <w:sz w:val="30"/>
          <w:szCs w:val="30"/>
          <w:lang w:eastAsia="tr-TR"/>
        </w:rPr>
        <w:t>Articles on Machine Learning and Imaging in Healthcare:</w:t>
      </w:r>
    </w:p>
    <w:p w14:paraId="1A2803EA" w14:textId="77777777" w:rsidR="006877EB" w:rsidRPr="006877EB" w:rsidRDefault="006877EB" w:rsidP="006877EB">
      <w:pPr>
        <w:numPr>
          <w:ilvl w:val="0"/>
          <w:numId w:val="3"/>
        </w:numPr>
        <w:shd w:val="clear" w:color="auto" w:fill="FFFFFF"/>
        <w:spacing w:before="51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t>The Role of Machine Learning in Clinical Diagnosis. National Institutes of Health (NIH). Retrieved from </w:t>
      </w:r>
      <w:hyperlink r:id="rId14" w:tgtFrame="_blank" w:history="1">
        <w:r w:rsidRPr="006877EB">
          <w:rPr>
            <w:rFonts w:ascii="Georgia" w:eastAsia="Times New Roman" w:hAnsi="Georgia" w:cs="Segoe UI"/>
            <w:color w:val="0000FF"/>
            <w:spacing w:val="-1"/>
            <w:sz w:val="30"/>
            <w:szCs w:val="30"/>
            <w:u w:val="single"/>
            <w:lang w:eastAsia="tr-TR"/>
          </w:rPr>
          <w:t>https://www.ncbi.nlm.nih.gov/pmc/articles/PMC7461581/</w:t>
        </w:r>
      </w:hyperlink>
    </w:p>
    <w:p w14:paraId="0C2ADCC3" w14:textId="77777777" w:rsidR="006877EB" w:rsidRPr="006877EB" w:rsidRDefault="006877EB" w:rsidP="006877EB">
      <w:pPr>
        <w:numPr>
          <w:ilvl w:val="0"/>
          <w:numId w:val="3"/>
        </w:numPr>
        <w:shd w:val="clear" w:color="auto" w:fill="FFFFFF"/>
        <w:spacing w:before="27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lastRenderedPageBreak/>
        <w:t>The Role of Imaging in Machine Learning for Healthcare. PubMed. Retrieved from </w:t>
      </w:r>
      <w:hyperlink r:id="rId15" w:tgtFrame="_blank" w:history="1">
        <w:r w:rsidRPr="006877EB">
          <w:rPr>
            <w:rFonts w:ascii="Georgia" w:eastAsia="Times New Roman" w:hAnsi="Georgia" w:cs="Segoe UI"/>
            <w:color w:val="0000FF"/>
            <w:spacing w:val="-1"/>
            <w:sz w:val="30"/>
            <w:szCs w:val="30"/>
            <w:u w:val="single"/>
            <w:lang w:eastAsia="tr-TR"/>
          </w:rPr>
          <w:t>https://pubmed.ncbi.nlm.nih.gov/32945656/</w:t>
        </w:r>
      </w:hyperlink>
    </w:p>
    <w:p w14:paraId="6363D385" w14:textId="77777777" w:rsidR="006877EB" w:rsidRPr="006877EB" w:rsidRDefault="006877EB" w:rsidP="006877EB">
      <w:pPr>
        <w:numPr>
          <w:ilvl w:val="0"/>
          <w:numId w:val="3"/>
        </w:numPr>
        <w:shd w:val="clear" w:color="auto" w:fill="FFFFFF"/>
        <w:spacing w:before="274" w:after="0" w:line="480" w:lineRule="atLeast"/>
        <w:ind w:left="1170"/>
        <w:rPr>
          <w:rFonts w:ascii="Georgia" w:eastAsia="Times New Roman" w:hAnsi="Georgia" w:cs="Segoe UI"/>
          <w:color w:val="242424"/>
          <w:spacing w:val="-1"/>
          <w:sz w:val="30"/>
          <w:szCs w:val="30"/>
          <w:lang w:eastAsia="tr-TR"/>
        </w:rPr>
      </w:pPr>
      <w:r w:rsidRPr="006877EB">
        <w:rPr>
          <w:rFonts w:ascii="Georgia" w:eastAsia="Times New Roman" w:hAnsi="Georgia" w:cs="Segoe UI"/>
          <w:color w:val="242424"/>
          <w:spacing w:val="-1"/>
          <w:sz w:val="30"/>
          <w:szCs w:val="30"/>
          <w:lang w:eastAsia="tr-TR"/>
        </w:rPr>
        <w:t>Random Forests for Classification in Healthcare Applications. Springer. Retrieved from </w:t>
      </w:r>
      <w:hyperlink r:id="rId16" w:tgtFrame="_blank" w:history="1">
        <w:r w:rsidRPr="006877EB">
          <w:rPr>
            <w:rFonts w:ascii="Georgia" w:eastAsia="Times New Roman" w:hAnsi="Georgia" w:cs="Segoe UI"/>
            <w:color w:val="0000FF"/>
            <w:spacing w:val="-1"/>
            <w:sz w:val="30"/>
            <w:szCs w:val="30"/>
            <w:u w:val="single"/>
            <w:lang w:eastAsia="tr-TR"/>
          </w:rPr>
          <w:t>https://link.springer.com/article/10.1007/s10916-017-0702-y</w:t>
        </w:r>
      </w:hyperlink>
    </w:p>
    <w:p w14:paraId="07B67561" w14:textId="77777777" w:rsidR="006877EB" w:rsidRPr="006877EB" w:rsidRDefault="00C00879" w:rsidP="006877EB">
      <w:pPr>
        <w:numPr>
          <w:ilvl w:val="0"/>
          <w:numId w:val="4"/>
        </w:numPr>
        <w:shd w:val="clear" w:color="auto" w:fill="FFFFFF"/>
        <w:spacing w:before="514" w:after="0" w:line="480" w:lineRule="atLeast"/>
        <w:ind w:left="1170"/>
        <w:rPr>
          <w:rFonts w:ascii="Georgia" w:eastAsia="Times New Roman" w:hAnsi="Georgia" w:cs="Segoe UI"/>
          <w:color w:val="242424"/>
          <w:spacing w:val="-1"/>
          <w:sz w:val="30"/>
          <w:szCs w:val="30"/>
          <w:lang w:eastAsia="tr-TR"/>
        </w:rPr>
      </w:pPr>
      <w:hyperlink r:id="rId17" w:tgtFrame="_blank" w:history="1">
        <w:r w:rsidR="006877EB" w:rsidRPr="006877EB">
          <w:rPr>
            <w:rFonts w:ascii="Georgia" w:eastAsia="Times New Roman" w:hAnsi="Georgia" w:cs="Segoe UI"/>
            <w:color w:val="0000FF"/>
            <w:spacing w:val="-1"/>
            <w:sz w:val="30"/>
            <w:szCs w:val="30"/>
            <w:u w:val="single"/>
            <w:lang w:eastAsia="tr-TR"/>
          </w:rPr>
          <w:t>Link</w:t>
        </w:r>
      </w:hyperlink>
    </w:p>
    <w:p w14:paraId="619DDBA1" w14:textId="77777777" w:rsidR="006D0153" w:rsidRDefault="006D0153"/>
    <w:sectPr w:rsidR="006D01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0506B" w14:textId="77777777" w:rsidR="00C00879" w:rsidRDefault="00C00879" w:rsidP="00A61CEB">
      <w:pPr>
        <w:spacing w:after="0" w:line="240" w:lineRule="auto"/>
      </w:pPr>
      <w:r>
        <w:separator/>
      </w:r>
    </w:p>
  </w:endnote>
  <w:endnote w:type="continuationSeparator" w:id="0">
    <w:p w14:paraId="315800C1" w14:textId="77777777" w:rsidR="00C00879" w:rsidRDefault="00C00879" w:rsidP="00A61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Helvetica">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04902" w14:textId="77777777" w:rsidR="00C00879" w:rsidRDefault="00C00879" w:rsidP="00A61CEB">
      <w:pPr>
        <w:spacing w:after="0" w:line="240" w:lineRule="auto"/>
      </w:pPr>
      <w:r>
        <w:separator/>
      </w:r>
    </w:p>
  </w:footnote>
  <w:footnote w:type="continuationSeparator" w:id="0">
    <w:p w14:paraId="426D880F" w14:textId="77777777" w:rsidR="00C00879" w:rsidRDefault="00C00879" w:rsidP="00A61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23C78"/>
    <w:multiLevelType w:val="multilevel"/>
    <w:tmpl w:val="1706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950F1"/>
    <w:multiLevelType w:val="multilevel"/>
    <w:tmpl w:val="09A2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E5C0E"/>
    <w:multiLevelType w:val="multilevel"/>
    <w:tmpl w:val="A5F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03EAF"/>
    <w:multiLevelType w:val="multilevel"/>
    <w:tmpl w:val="F16E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E4"/>
    <w:rsid w:val="006877EB"/>
    <w:rsid w:val="006D0153"/>
    <w:rsid w:val="00724694"/>
    <w:rsid w:val="00A61CEB"/>
    <w:rsid w:val="00C00879"/>
    <w:rsid w:val="00CB271F"/>
    <w:rsid w:val="00D65608"/>
    <w:rsid w:val="00FE0A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DBEA1"/>
  <w15:chartTrackingRefBased/>
  <w15:docId w15:val="{0C3E4EFC-5384-4414-8ADB-91043087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77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EB"/>
    <w:rPr>
      <w:rFonts w:ascii="Times New Roman" w:eastAsia="Times New Roman" w:hAnsi="Times New Roman" w:cs="Times New Roman"/>
      <w:b/>
      <w:bCs/>
      <w:kern w:val="36"/>
      <w:sz w:val="48"/>
      <w:szCs w:val="48"/>
      <w:lang w:eastAsia="tr-TR"/>
    </w:rPr>
  </w:style>
  <w:style w:type="paragraph" w:customStyle="1" w:styleId="pw-post-body-paragraph">
    <w:name w:val="pw-post-body-paragraph"/>
    <w:basedOn w:val="Normal"/>
    <w:rsid w:val="006877E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6877EB"/>
    <w:rPr>
      <w:b/>
      <w:bCs/>
    </w:rPr>
  </w:style>
  <w:style w:type="character" w:styleId="Hyperlink">
    <w:name w:val="Hyperlink"/>
    <w:basedOn w:val="DefaultParagraphFont"/>
    <w:uiPriority w:val="99"/>
    <w:semiHidden/>
    <w:unhideWhenUsed/>
    <w:rsid w:val="006877EB"/>
    <w:rPr>
      <w:color w:val="0000FF"/>
      <w:u w:val="single"/>
    </w:rPr>
  </w:style>
  <w:style w:type="paragraph" w:customStyle="1" w:styleId="lo">
    <w:name w:val="lo"/>
    <w:basedOn w:val="Normal"/>
    <w:rsid w:val="006877E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Emphasis">
    <w:name w:val="Emphasis"/>
    <w:basedOn w:val="DefaultParagraphFont"/>
    <w:uiPriority w:val="20"/>
    <w:qFormat/>
    <w:rsid w:val="006877EB"/>
    <w:rPr>
      <w:i/>
      <w:iCs/>
    </w:rPr>
  </w:style>
  <w:style w:type="paragraph" w:styleId="Header">
    <w:name w:val="header"/>
    <w:basedOn w:val="Normal"/>
    <w:link w:val="HeaderChar"/>
    <w:uiPriority w:val="99"/>
    <w:unhideWhenUsed/>
    <w:rsid w:val="00A61CE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1CEB"/>
  </w:style>
  <w:style w:type="paragraph" w:styleId="Footer">
    <w:name w:val="footer"/>
    <w:basedOn w:val="Normal"/>
    <w:link w:val="FooterChar"/>
    <w:uiPriority w:val="99"/>
    <w:unhideWhenUsed/>
    <w:rsid w:val="00A61CE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1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81372">
      <w:bodyDiv w:val="1"/>
      <w:marLeft w:val="0"/>
      <w:marRight w:val="0"/>
      <w:marTop w:val="0"/>
      <w:marBottom w:val="0"/>
      <w:divBdr>
        <w:top w:val="none" w:sz="0" w:space="0" w:color="auto"/>
        <w:left w:val="none" w:sz="0" w:space="0" w:color="auto"/>
        <w:bottom w:val="none" w:sz="0" w:space="0" w:color="auto"/>
        <w:right w:val="none" w:sz="0" w:space="0" w:color="auto"/>
      </w:divBdr>
      <w:divsChild>
        <w:div w:id="531380962">
          <w:marLeft w:val="0"/>
          <w:marRight w:val="0"/>
          <w:marTop w:val="0"/>
          <w:marBottom w:val="0"/>
          <w:divBdr>
            <w:top w:val="none" w:sz="0" w:space="0" w:color="auto"/>
            <w:left w:val="none" w:sz="0" w:space="0" w:color="auto"/>
            <w:bottom w:val="none" w:sz="0" w:space="0" w:color="auto"/>
            <w:right w:val="none" w:sz="0" w:space="0" w:color="auto"/>
          </w:divBdr>
          <w:divsChild>
            <w:div w:id="1662614401">
              <w:marLeft w:val="0"/>
              <w:marRight w:val="0"/>
              <w:marTop w:val="0"/>
              <w:marBottom w:val="0"/>
              <w:divBdr>
                <w:top w:val="none" w:sz="0" w:space="0" w:color="auto"/>
                <w:left w:val="none" w:sz="0" w:space="0" w:color="auto"/>
                <w:bottom w:val="none" w:sz="0" w:space="0" w:color="auto"/>
                <w:right w:val="none" w:sz="0" w:space="0" w:color="auto"/>
              </w:divBdr>
            </w:div>
          </w:divsChild>
        </w:div>
        <w:div w:id="284970307">
          <w:marLeft w:val="0"/>
          <w:marRight w:val="0"/>
          <w:marTop w:val="0"/>
          <w:marBottom w:val="0"/>
          <w:divBdr>
            <w:top w:val="none" w:sz="0" w:space="0" w:color="auto"/>
            <w:left w:val="none" w:sz="0" w:space="0" w:color="auto"/>
            <w:bottom w:val="none" w:sz="0" w:space="0" w:color="auto"/>
            <w:right w:val="none" w:sz="0" w:space="0" w:color="auto"/>
          </w:divBdr>
          <w:divsChild>
            <w:div w:id="356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37188">
      <w:bodyDiv w:val="1"/>
      <w:marLeft w:val="0"/>
      <w:marRight w:val="0"/>
      <w:marTop w:val="0"/>
      <w:marBottom w:val="0"/>
      <w:divBdr>
        <w:top w:val="none" w:sz="0" w:space="0" w:color="auto"/>
        <w:left w:val="none" w:sz="0" w:space="0" w:color="auto"/>
        <w:bottom w:val="none" w:sz="0" w:space="0" w:color="auto"/>
        <w:right w:val="none" w:sz="0" w:space="0" w:color="auto"/>
      </w:divBdr>
    </w:div>
    <w:div w:id="177216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humairmunir/anaemia-predic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kaggle.com/datasets/biswaranjanrao/anemia-dataset" TargetMode="External"/><Relationship Id="rId17" Type="http://schemas.openxmlformats.org/officeDocument/2006/relationships/hyperlink" Target="https://link.springer.com/article/10.1007/s10916-017-0702-y" TargetMode="External"/><Relationship Id="rId2" Type="http://schemas.openxmlformats.org/officeDocument/2006/relationships/styles" Target="styles.xml"/><Relationship Id="rId16" Type="http://schemas.openxmlformats.org/officeDocument/2006/relationships/hyperlink" Target="https://link.springer.com/article/10.1007/s10916-017-0702-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ic.oup.com/jalm/article/8/1/129/6953370" TargetMode="External"/><Relationship Id="rId5" Type="http://schemas.openxmlformats.org/officeDocument/2006/relationships/footnotes" Target="footnotes.xml"/><Relationship Id="rId15" Type="http://schemas.openxmlformats.org/officeDocument/2006/relationships/hyperlink" Target="https://pubmed.ncbi.nlm.nih.gov/32945656/" TargetMode="External"/><Relationship Id="rId10" Type="http://schemas.openxmlformats.org/officeDocument/2006/relationships/hyperlink" Target="https://pubmed.ncbi.nlm.nih.gov/3757952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yasinkrcm/Anemia-Detection" TargetMode="External"/><Relationship Id="rId14" Type="http://schemas.openxmlformats.org/officeDocument/2006/relationships/hyperlink" Target="https://www.ncbi.nlm.nih.gov/pmc/articles/PMC7461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1059</Words>
  <Characters>6038</Characters>
  <Application>Microsoft Office Word</Application>
  <DocSecurity>0</DocSecurity>
  <Lines>50</Lines>
  <Paragraphs>14</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Karaçam</dc:creator>
  <cp:keywords/>
  <dc:description/>
  <cp:lastModifiedBy>Yasin Karaçam</cp:lastModifiedBy>
  <cp:revision>8</cp:revision>
  <dcterms:created xsi:type="dcterms:W3CDTF">2024-09-05T14:05:00Z</dcterms:created>
  <dcterms:modified xsi:type="dcterms:W3CDTF">2024-09-05T14:06:00Z</dcterms:modified>
</cp:coreProperties>
</file>