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4CFF" w:rsidRDefault="00D24CFF">
      <w:pPr>
        <w:spacing w:before="1440"/>
      </w:pPr>
    </w:p>
    <w:p w:rsidR="00D24CFF" w:rsidRDefault="00F52FA6">
      <w:pPr>
        <w:spacing w:after="240"/>
        <w:jc w:val="center"/>
      </w:pPr>
      <w:r>
        <w:rPr>
          <w:b/>
          <w:bCs/>
          <w:caps/>
          <w:color w:val="888888"/>
          <w:sz w:val="24"/>
          <w:szCs w:val="24"/>
        </w:rPr>
        <w:t>AI335L DEEP LEARNING LAB</w:t>
      </w:r>
    </w:p>
    <w:p w:rsidR="00D24CFF" w:rsidRDefault="00F52FA6">
      <w:pPr>
        <w:pBdr>
          <w:bottom w:val="single" w:sz="12" w:space="4" w:color="1F4E79"/>
        </w:pBdr>
        <w:spacing w:after="80"/>
        <w:jc w:val="center"/>
      </w:pPr>
      <w:r>
        <w:rPr>
          <w:b/>
          <w:bCs/>
          <w:color w:val="1F4E79"/>
          <w:sz w:val="64"/>
          <w:szCs w:val="64"/>
        </w:rPr>
        <w:t>Phase 5 Evaluation Report</w:t>
      </w:r>
    </w:p>
    <w:p w:rsidR="00D24CFF" w:rsidRDefault="00F52FA6">
      <w:pPr>
        <w:spacing w:before="200" w:after="80"/>
        <w:jc w:val="center"/>
      </w:pPr>
      <w:r>
        <w:rPr>
          <w:color w:val="2E75B6"/>
          <w:sz w:val="32"/>
          <w:szCs w:val="32"/>
        </w:rPr>
        <w:t>Rigorous Evaluation: Ablations, Errors, and Limitations</w:t>
      </w:r>
    </w:p>
    <w:p w:rsidR="00D24CFF" w:rsidRDefault="00D24CFF">
      <w:pPr>
        <w:spacing w:before="80" w:after="80"/>
      </w:pPr>
    </w:p>
    <w:p w:rsidR="00D24CFF" w:rsidRDefault="00F52FA6">
      <w:pPr>
        <w:spacing w:before="200" w:after="80"/>
        <w:jc w:val="center"/>
      </w:pPr>
      <w:r>
        <w:rPr>
          <w:b/>
          <w:bCs/>
          <w:color w:val="333333"/>
          <w:sz w:val="28"/>
          <w:szCs w:val="28"/>
        </w:rPr>
        <w:t>DAWN: Detection in Adverse Weather — Nature Dataset</w:t>
      </w:r>
    </w:p>
    <w:p w:rsidR="00D24CFF" w:rsidRDefault="00F52FA6">
      <w:pPr>
        <w:spacing w:before="80" w:after="400"/>
        <w:jc w:val="center"/>
      </w:pPr>
      <w:r>
        <w:rPr>
          <w:color w:val="666666"/>
          <w:sz w:val="24"/>
          <w:szCs w:val="24"/>
        </w:rPr>
        <w:t>Weather Condition Classification (Fog / Rain / Snow / Sand)</w:t>
      </w:r>
    </w:p>
    <w:p w:rsidR="00D24CFF" w:rsidRDefault="00F52FA6">
      <w:pPr>
        <w:spacing w:after="80"/>
        <w:jc w:val="center"/>
      </w:pPr>
      <w:r>
        <w:t>Course: AI335L</w:t>
      </w:r>
    </w:p>
    <w:p w:rsidR="00D24CFF" w:rsidRDefault="00F52FA6">
      <w:pPr>
        <w:spacing w:after="80"/>
        <w:jc w:val="center"/>
      </w:pPr>
      <w:r>
        <w:t>Experiment No. 12</w:t>
      </w:r>
    </w:p>
    <w:p w:rsidR="00D24CFF" w:rsidRDefault="00F52FA6">
      <w:pPr>
        <w:spacing w:after="80"/>
        <w:jc w:val="center"/>
      </w:pPr>
      <w:r>
        <w:t>Submission Deadline: June 07, 2026</w:t>
      </w:r>
    </w:p>
    <w:p w:rsidR="00D24CFF" w:rsidRDefault="00F52FA6">
      <w:pPr>
        <w:spacing w:after="80"/>
        <w:jc w:val="center"/>
      </w:pPr>
      <w:r>
        <w:t>Platform: Kaggle (NVIDIA Tesla T4 GPU)</w:t>
      </w:r>
    </w:p>
    <w:p w:rsidR="00D24CFF" w:rsidRDefault="00D24CFF">
      <w:pPr>
        <w:spacing w:before="80" w:after="80"/>
      </w:pPr>
    </w:p>
    <w:p w:rsidR="00D24CFF" w:rsidRDefault="00F52FA6">
      <w:pPr>
        <w:spacing w:before="80" w:after="80"/>
        <w:jc w:val="center"/>
      </w:pPr>
      <w:r>
        <w:rPr>
          <w:b/>
          <w:bCs/>
        </w:rPr>
        <w:t xml:space="preserve">GitHub Repository: </w:t>
      </w:r>
      <w:r>
        <w:rPr>
          <w:color w:val="2E75B6"/>
        </w:rPr>
        <w:t>https://github.com/[team]/dawn-adverse-weather</w:t>
      </w:r>
    </w:p>
    <w:p w:rsidR="00D24CFF" w:rsidRDefault="00F52FA6">
      <w:pPr>
        <w:spacing w:after="80"/>
        <w:jc w:val="center"/>
      </w:pPr>
      <w:r>
        <w:rPr>
          <w:b/>
          <w:bCs/>
        </w:rPr>
        <w:t xml:space="preserve">Commit Tag: </w:t>
      </w:r>
      <w:r>
        <w:rPr>
          <w:color w:val="666666"/>
        </w:rPr>
        <w:t>phase5-submission</w:t>
      </w:r>
    </w:p>
    <w:p w:rsidR="00D24CFF" w:rsidRDefault="00F52FA6">
      <w:pPr>
        <w:spacing w:after="80"/>
        <w:jc w:val="center"/>
      </w:pPr>
      <w:r>
        <w:rPr>
          <w:b/>
          <w:bCs/>
        </w:rPr>
        <w:t xml:space="preserve">Test Evaluation Tag: </w:t>
      </w:r>
      <w:r>
        <w:rPr>
          <w:color w:val="666666"/>
        </w:rPr>
        <w:t>final-test-evaluation</w:t>
      </w:r>
    </w:p>
    <w:p w:rsidR="00D24CFF" w:rsidRDefault="00F52FA6">
      <w:r>
        <w:br w:type="page"/>
      </w:r>
    </w:p>
    <w:p w:rsidR="00D24CFF" w:rsidRDefault="00F52FA6">
      <w:pPr>
        <w:pStyle w:val="Heading1"/>
        <w:pBdr>
          <w:bottom w:val="single" w:sz="6" w:space="1" w:color="1F4E79"/>
        </w:pBdr>
      </w:pPr>
      <w:r>
        <w:lastRenderedPageBreak/>
        <w:t>1. Executive Summary of Results</w:t>
      </w:r>
    </w:p>
    <w:p w:rsidR="00D24CFF" w:rsidRDefault="00F52FA6">
      <w:pPr>
        <w:spacing w:before="80" w:after="80"/>
        <w:jc w:val="both"/>
      </w:pPr>
      <w:r>
        <w:t>The final EfficientNet-B0 model trained and evaluated on the DAWN Adverse Weather dataset achieved a test-set accuracy of 81.29% ± 1.8% (mean ± std over three seeds), with a macro-averaged F1-score of 0.809 ± 0.019. This represents a 33.55 percentage-point</w:t>
      </w:r>
      <w:r>
        <w:t xml:space="preserve"> improvement over the Phase 2 MLP baseline (47.74%), a gain confirmed as statistically significant by both a paired t-test (t = 6.66, p &lt; 0.000001) and a </w:t>
      </w:r>
      <w:proofErr w:type="spellStart"/>
      <w:r>
        <w:t>McNemar</w:t>
      </w:r>
      <w:proofErr w:type="spellEnd"/>
      <w:r>
        <w:t xml:space="preserve"> test (p &lt; 0.000001) with a medium-to-large Cohen's d effect size of 0.75.</w:t>
      </w:r>
    </w:p>
    <w:p w:rsidR="00D24CFF" w:rsidRDefault="00D24CFF">
      <w:pPr>
        <w:spacing w:before="80" w:after="80"/>
      </w:pPr>
    </w:p>
    <w:p w:rsidR="00D24CFF" w:rsidRDefault="00F52FA6">
      <w:pPr>
        <w:spacing w:before="80" w:after="80"/>
        <w:jc w:val="both"/>
      </w:pPr>
      <w:r>
        <w:t xml:space="preserve">The single most important ablation finding was that removing transfer learning (training from random </w:t>
      </w:r>
      <w:proofErr w:type="spellStart"/>
      <w:r>
        <w:t>initialisation</w:t>
      </w:r>
      <w:proofErr w:type="spellEnd"/>
      <w:r>
        <w:t xml:space="preserve"> instead of ImageNet pre-trained weights) caused the largest performance drop of any single component — approximately 9–11 percentage points </w:t>
      </w:r>
      <w:r>
        <w:t>— confirming that domain-adapted visual representations are the decisive contributor to the model's success on this relatively small dataset.</w:t>
      </w:r>
    </w:p>
    <w:p w:rsidR="00D24CFF" w:rsidRDefault="00D24CFF">
      <w:pPr>
        <w:spacing w:before="80" w:after="80"/>
      </w:pPr>
    </w:p>
    <w:p w:rsidR="00D24CFF" w:rsidRDefault="00F52FA6">
      <w:pPr>
        <w:spacing w:before="80" w:after="80"/>
        <w:jc w:val="both"/>
      </w:pPr>
      <w:r>
        <w:t xml:space="preserve">The single most important limitation is that the DAWN dataset contains only ~1,000 images per weather class, all </w:t>
      </w:r>
      <w:r>
        <w:t xml:space="preserve">sourced from dashcam footage in a restricted set of geographic regions. The Sand class is systematically underrepresented and shows the lowest recall across all seeds. Any deployment on cameras from different sensors, resolutions, or regions would require </w:t>
      </w:r>
      <w:r>
        <w:t>fine-tuning or domain adaptation.</w:t>
      </w:r>
    </w:p>
    <w:p w:rsidR="00D24CFF" w:rsidRDefault="00F52FA6">
      <w:r>
        <w:br w:type="page"/>
      </w:r>
    </w:p>
    <w:p w:rsidR="00D24CFF" w:rsidRDefault="00F52FA6">
      <w:pPr>
        <w:pStyle w:val="Heading1"/>
        <w:pBdr>
          <w:bottom w:val="single" w:sz="6" w:space="1" w:color="1F4E79"/>
        </w:pBdr>
      </w:pPr>
      <w:r>
        <w:lastRenderedPageBreak/>
        <w:t>2. Test-Set Evaluation Protocol</w:t>
      </w:r>
    </w:p>
    <w:p w:rsidR="00D24CFF" w:rsidRDefault="00F52FA6">
      <w:pPr>
        <w:spacing w:before="80" w:after="80"/>
        <w:jc w:val="both"/>
      </w:pPr>
      <w:r>
        <w:t>Strict adherence to the single-evaluation ceremony was observed throughout Phase 5. The following steps were executed in order:</w:t>
      </w:r>
    </w:p>
    <w:p w:rsidR="00D24CFF" w:rsidRDefault="00D24CFF">
      <w:pPr>
        <w:spacing w:before="80" w:after="80"/>
      </w:pPr>
    </w:p>
    <w:p w:rsidR="00D24CFF" w:rsidRDefault="00F52FA6">
      <w:pPr>
        <w:pStyle w:val="Heading2"/>
      </w:pPr>
      <w:r>
        <w:t>2.1 Model Freeze</w:t>
      </w:r>
    </w:p>
    <w:p w:rsidR="00D24CFF" w:rsidRDefault="00F52FA6">
      <w:pPr>
        <w:spacing w:before="80" w:after="80"/>
        <w:jc w:val="both"/>
      </w:pPr>
      <w:r>
        <w:t>On the first day of Phase 5 the final mode</w:t>
      </w:r>
      <w:r>
        <w:t>l configuration from Phase 4 was frozen. This configuration comprised:</w:t>
      </w:r>
    </w:p>
    <w:p w:rsidR="00D24CFF" w:rsidRDefault="00F52FA6">
      <w:pPr>
        <w:pStyle w:val="ListParagraph"/>
        <w:numPr>
          <w:ilvl w:val="0"/>
          <w:numId w:val="2"/>
        </w:numPr>
        <w:spacing w:before="60" w:after="60"/>
      </w:pPr>
      <w:r>
        <w:t xml:space="preserve">Architecture: EfficientNet-B0 with ImageNet pre-trained weights, custom classifier head (Dropout 0.3 + </w:t>
      </w:r>
      <w:proofErr w:type="gramStart"/>
      <w:r>
        <w:t>Linear(</w:t>
      </w:r>
      <w:proofErr w:type="gramEnd"/>
      <w:r>
        <w:t>1280, 4))</w:t>
      </w:r>
    </w:p>
    <w:p w:rsidR="00D24CFF" w:rsidRDefault="00F52FA6">
      <w:pPr>
        <w:pStyle w:val="ListParagraph"/>
        <w:numPr>
          <w:ilvl w:val="0"/>
          <w:numId w:val="2"/>
        </w:numPr>
        <w:spacing w:before="60" w:after="60"/>
      </w:pPr>
      <w:proofErr w:type="spellStart"/>
      <w:r>
        <w:t>Optimiser</w:t>
      </w:r>
      <w:proofErr w:type="spellEnd"/>
      <w:r>
        <w:t xml:space="preserve">: </w:t>
      </w:r>
      <w:proofErr w:type="spellStart"/>
      <w:r>
        <w:t>AdamW</w:t>
      </w:r>
      <w:proofErr w:type="spellEnd"/>
      <w:r>
        <w:t xml:space="preserve">, </w:t>
      </w:r>
      <w:proofErr w:type="spellStart"/>
      <w:r>
        <w:t>lr</w:t>
      </w:r>
      <w:proofErr w:type="spellEnd"/>
      <w:r>
        <w:t xml:space="preserve"> = 1e-4, </w:t>
      </w:r>
      <w:proofErr w:type="spellStart"/>
      <w:r>
        <w:t>weight_decay</w:t>
      </w:r>
      <w:proofErr w:type="spellEnd"/>
      <w:r>
        <w:t xml:space="preserve"> = 1e-4</w:t>
      </w:r>
    </w:p>
    <w:p w:rsidR="00D24CFF" w:rsidRDefault="00F52FA6">
      <w:pPr>
        <w:pStyle w:val="ListParagraph"/>
        <w:numPr>
          <w:ilvl w:val="0"/>
          <w:numId w:val="2"/>
        </w:numPr>
        <w:spacing w:before="60" w:after="60"/>
      </w:pPr>
      <w:r>
        <w:t xml:space="preserve">Scheduler: </w:t>
      </w:r>
      <w:proofErr w:type="spellStart"/>
      <w:r>
        <w:t>Cosin</w:t>
      </w:r>
      <w:r>
        <w:t>eAnnealingLR</w:t>
      </w:r>
      <w:proofErr w:type="spellEnd"/>
      <w:r>
        <w:t xml:space="preserve"> (</w:t>
      </w:r>
      <w:proofErr w:type="spellStart"/>
      <w:r>
        <w:t>T_max</w:t>
      </w:r>
      <w:proofErr w:type="spellEnd"/>
      <w:r>
        <w:t xml:space="preserve"> = 20 epochs)</w:t>
      </w:r>
    </w:p>
    <w:p w:rsidR="00D24CFF" w:rsidRDefault="00F52FA6">
      <w:pPr>
        <w:pStyle w:val="ListParagraph"/>
        <w:numPr>
          <w:ilvl w:val="0"/>
          <w:numId w:val="2"/>
        </w:numPr>
        <w:spacing w:before="60" w:after="60"/>
      </w:pPr>
      <w:r>
        <w:t xml:space="preserve">Augmentation pipeline: </w:t>
      </w:r>
      <w:proofErr w:type="spellStart"/>
      <w:r>
        <w:t>RandomHorizontalFlip</w:t>
      </w:r>
      <w:proofErr w:type="spellEnd"/>
      <w:r>
        <w:t xml:space="preserve">, </w:t>
      </w:r>
      <w:proofErr w:type="spellStart"/>
      <w:r>
        <w:t>ColorJitter</w:t>
      </w:r>
      <w:proofErr w:type="spellEnd"/>
      <w:r>
        <w:t xml:space="preserve">, </w:t>
      </w:r>
      <w:proofErr w:type="spellStart"/>
      <w:r>
        <w:t>RandomRotation</w:t>
      </w:r>
      <w:proofErr w:type="spellEnd"/>
      <w:r>
        <w:t xml:space="preserve"> (±15°), </w:t>
      </w:r>
      <w:proofErr w:type="spellStart"/>
      <w:r>
        <w:t>Normalise</w:t>
      </w:r>
      <w:proofErr w:type="spellEnd"/>
      <w:r>
        <w:t xml:space="preserve"> (ImageNet stats)</w:t>
      </w:r>
    </w:p>
    <w:p w:rsidR="00D24CFF" w:rsidRDefault="00F52FA6">
      <w:pPr>
        <w:pStyle w:val="ListParagraph"/>
        <w:numPr>
          <w:ilvl w:val="0"/>
          <w:numId w:val="2"/>
        </w:numPr>
        <w:spacing w:before="60" w:after="60"/>
      </w:pPr>
      <w:r>
        <w:t>Phase 4 enhancements: Test-Time Augmentation (TTA, 5 crops), knowledge distillation fine-tuning</w:t>
      </w:r>
    </w:p>
    <w:p w:rsidR="00D24CFF" w:rsidRDefault="00F52FA6">
      <w:pPr>
        <w:pStyle w:val="ListParagraph"/>
        <w:numPr>
          <w:ilvl w:val="0"/>
          <w:numId w:val="2"/>
        </w:numPr>
        <w:spacing w:before="60" w:after="60"/>
      </w:pPr>
      <w:r>
        <w:t>Input resolution: 2</w:t>
      </w:r>
      <w:r>
        <w:t>24 × 224</w:t>
      </w:r>
    </w:p>
    <w:p w:rsidR="00D24CFF" w:rsidRDefault="00D24CFF">
      <w:pPr>
        <w:spacing w:before="80" w:after="80"/>
      </w:pPr>
    </w:p>
    <w:p w:rsidR="00D24CFF" w:rsidRDefault="00D24CFF">
      <w:pPr>
        <w:spacing w:before="80" w:after="80"/>
      </w:pPr>
      <w:bookmarkStart w:id="0" w:name="_GoBack"/>
      <w:bookmarkEnd w:id="0"/>
    </w:p>
    <w:p w:rsidR="00D24CFF" w:rsidRDefault="00F52FA6">
      <w:pPr>
        <w:pStyle w:val="Heading2"/>
      </w:pPr>
      <w:r>
        <w:t>2.2 Test-Set Evaluation Run</w:t>
      </w:r>
    </w:p>
    <w:p w:rsidR="00D24CFF" w:rsidRDefault="00F52FA6">
      <w:pPr>
        <w:spacing w:before="80" w:after="80"/>
        <w:jc w:val="both"/>
      </w:pPr>
      <w:r>
        <w:t>The test set was evaluated exactl</w:t>
      </w:r>
      <w:r>
        <w:t xml:space="preserve">y once, using three independent random seeds (42, 123, 777). Sources of non-determinism accounted for included: data loader worker shuffling and stochastic dropout at inference (applied only to the non-TTA forward pass for comparison with earlier phases). </w:t>
      </w:r>
      <w:r>
        <w:t xml:space="preserve">All evaluation scripts are located in </w:t>
      </w:r>
      <w:proofErr w:type="spellStart"/>
      <w:r>
        <w:t>src</w:t>
      </w:r>
      <w:proofErr w:type="spellEnd"/>
      <w:r>
        <w:t>/evaluation/ and the full evaluation is reproducible from a single command documented in the repository README.</w:t>
      </w:r>
    </w:p>
    <w:p w:rsidR="00D24CFF" w:rsidRDefault="00D24CFF">
      <w:pPr>
        <w:spacing w:before="80" w:after="80"/>
      </w:pPr>
    </w:p>
    <w:p w:rsidR="00D24CFF" w:rsidRDefault="00F52FA6">
      <w:pPr>
        <w:spacing w:before="80" w:after="80"/>
        <w:jc w:val="both"/>
      </w:pPr>
      <w:r>
        <w:t>After recording the results, the test set was closed. No further model modifications were evaluated ag</w:t>
      </w:r>
      <w:r>
        <w:t>ainst the test set. All subsequent ablation and robustness experiments reported in this document used the validation split only, and are explicitly noted as such.</w:t>
      </w:r>
    </w:p>
    <w:p w:rsidR="00D24CFF" w:rsidRDefault="00F52FA6">
      <w:r>
        <w:br w:type="page"/>
      </w:r>
    </w:p>
    <w:p w:rsidR="00D24CFF" w:rsidRDefault="00F52FA6">
      <w:pPr>
        <w:pStyle w:val="Heading1"/>
        <w:pBdr>
          <w:bottom w:val="single" w:sz="6" w:space="1" w:color="1F4E79"/>
        </w:pBdr>
      </w:pPr>
      <w:r>
        <w:lastRenderedPageBreak/>
        <w:t>3. Final Results Table</w:t>
      </w:r>
    </w:p>
    <w:p w:rsidR="00D24CFF" w:rsidRDefault="00F52FA6">
      <w:pPr>
        <w:spacing w:before="80" w:after="80"/>
        <w:jc w:val="both"/>
      </w:pPr>
      <w:r>
        <w:t>Table 1 presents the headline comparison across all model generations, evaluated on the held-out test set. All values are mean ± standard deviation over three random seeds.</w:t>
      </w:r>
    </w:p>
    <w:p w:rsidR="00D24CFF" w:rsidRDefault="00D24CFF">
      <w:pPr>
        <w:spacing w:before="80" w:after="80"/>
      </w:pPr>
    </w:p>
    <w:p w:rsidR="00D24CFF" w:rsidRDefault="00F52FA6">
      <w:pPr>
        <w:spacing w:before="160" w:after="80"/>
        <w:jc w:val="center"/>
      </w:pPr>
      <w:r>
        <w:rPr>
          <w:b/>
          <w:bCs/>
        </w:rPr>
        <w:t>Table 1: Model Performance Comparison Across Phases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80"/>
        <w:gridCol w:w="1680"/>
        <w:gridCol w:w="1680"/>
        <w:gridCol w:w="1920"/>
      </w:tblGrid>
      <w:tr w:rsidR="00D24CFF">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Model</w:t>
            </w:r>
          </w:p>
        </w:tc>
        <w:tc>
          <w:tcPr>
            <w:tcW w:w="168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Accuracy</w:t>
            </w:r>
          </w:p>
        </w:tc>
        <w:tc>
          <w:tcPr>
            <w:tcW w:w="168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Macr</w:t>
            </w:r>
            <w:r>
              <w:rPr>
                <w:b/>
                <w:bCs/>
                <w:sz w:val="20"/>
                <w:szCs w:val="20"/>
              </w:rPr>
              <w:t>o F1</w:t>
            </w:r>
          </w:p>
        </w:tc>
        <w:tc>
          <w:tcPr>
            <w:tcW w:w="168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Macro Prec.</w:t>
            </w:r>
          </w:p>
        </w:tc>
        <w:tc>
          <w:tcPr>
            <w:tcW w:w="192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Macro Recall</w:t>
            </w:r>
          </w:p>
        </w:tc>
      </w:tr>
      <w:tr w:rsidR="00D24C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Phase 2 MLP Baseline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47.74% ± 2.1%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0.471 ± 0.023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0.479 ± 0.021</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0.477 ± 0.022</w:t>
            </w:r>
          </w:p>
        </w:tc>
      </w:tr>
      <w:tr w:rsidR="00D24C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Phase 3 CNN (Scratch)</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67.3% ± 2.8%</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0.665 ± 0.030</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0.671 ± 0.028</w:t>
            </w:r>
          </w:p>
        </w:tc>
        <w:tc>
          <w:tcPr>
            <w:tcW w:w="19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0.668 ± 0.029</w:t>
            </w:r>
          </w:p>
        </w:tc>
      </w:tr>
      <w:tr w:rsidR="00D24C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Phase 3 CNN + YOLO Fusion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73.5% ± 2.4%</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0.728 ± 0.025</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0.735 ± 0.024</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0.730 ± 0.025</w:t>
            </w:r>
          </w:p>
        </w:tc>
      </w:tr>
      <w:tr w:rsidR="00D24C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Phase 4 Refined (TTA + Distill)</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79.8% ± 1.9%</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0.791 ± 0.021</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0.797 ± 0.020</w:t>
            </w:r>
          </w:p>
        </w:tc>
        <w:tc>
          <w:tcPr>
            <w:tcW w:w="19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0.793 ± 0.021</w:t>
            </w:r>
          </w:p>
        </w:tc>
      </w:tr>
      <w:tr w:rsidR="00D24C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D24CFF" w:rsidRDefault="00F52FA6">
            <w:r>
              <w:rPr>
                <w:sz w:val="19"/>
                <w:szCs w:val="19"/>
              </w:rPr>
              <w:t xml:space="preserve">Phase 5 </w:t>
            </w:r>
            <w:r>
              <w:rPr>
                <w:sz w:val="19"/>
                <w:szCs w:val="19"/>
              </w:rPr>
              <w:t>(EfficientNet-B0)</w:t>
            </w:r>
          </w:p>
        </w:tc>
        <w:tc>
          <w:tcPr>
            <w:tcW w:w="1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D24CFF" w:rsidRDefault="00F52FA6">
            <w:r>
              <w:rPr>
                <w:sz w:val="19"/>
                <w:szCs w:val="19"/>
              </w:rPr>
              <w:t>81.29% ± 1.8%</w:t>
            </w:r>
          </w:p>
        </w:tc>
        <w:tc>
          <w:tcPr>
            <w:tcW w:w="1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D24CFF" w:rsidRDefault="00F52FA6">
            <w:r>
              <w:rPr>
                <w:sz w:val="19"/>
                <w:szCs w:val="19"/>
              </w:rPr>
              <w:t>0.809 ± 0.019</w:t>
            </w:r>
          </w:p>
        </w:tc>
        <w:tc>
          <w:tcPr>
            <w:tcW w:w="1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D24CFF" w:rsidRDefault="00F52FA6">
            <w:r>
              <w:rPr>
                <w:sz w:val="19"/>
                <w:szCs w:val="19"/>
              </w:rPr>
              <w:t>0.814 ± 0.018</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D24CFF" w:rsidRDefault="00F52FA6">
            <w:r>
              <w:rPr>
                <w:sz w:val="19"/>
                <w:szCs w:val="19"/>
              </w:rPr>
              <w:t>0.811 ± 0.019</w:t>
            </w:r>
          </w:p>
        </w:tc>
      </w:tr>
    </w:tbl>
    <w:p w:rsidR="00D24CFF" w:rsidRDefault="00D24CFF">
      <w:pPr>
        <w:spacing w:before="80" w:after="80"/>
      </w:pPr>
    </w:p>
    <w:p w:rsidR="00D24CFF" w:rsidRDefault="00F52FA6">
      <w:pPr>
        <w:pStyle w:val="Heading2"/>
      </w:pPr>
      <w:r>
        <w:t>3.1 Per-Class Breakdown (Final Model, Test Set)</w:t>
      </w:r>
    </w:p>
    <w:p w:rsidR="00D24CFF" w:rsidRDefault="00F52FA6">
      <w:pPr>
        <w:spacing w:before="80" w:after="80"/>
        <w:jc w:val="both"/>
      </w:pPr>
      <w:r>
        <w:t>Table 2 provides per-class precision, recall, and F1-score for the final model, showing the distribution of performance across weather conditions.</w:t>
      </w:r>
    </w:p>
    <w:p w:rsidR="00D24CFF" w:rsidRDefault="00D24CFF">
      <w:pPr>
        <w:spacing w:before="80" w:after="80"/>
      </w:pPr>
    </w:p>
    <w:p w:rsidR="00D24CFF" w:rsidRDefault="00F52FA6">
      <w:pPr>
        <w:spacing w:before="160" w:after="80"/>
        <w:jc w:val="center"/>
      </w:pPr>
      <w:r>
        <w:rPr>
          <w:b/>
          <w:bCs/>
        </w:rPr>
        <w:t>Table 2: Per-Class Metrics — Final EfficientNet-B0 (Test Set, Mean ± Std over 3 Seeds)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D24CFF">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Class</w:t>
            </w:r>
          </w:p>
        </w:tc>
        <w:tc>
          <w:tcPr>
            <w:tcW w:w="1755"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Precision</w:t>
            </w:r>
          </w:p>
        </w:tc>
        <w:tc>
          <w:tcPr>
            <w:tcW w:w="1755"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Recal</w:t>
            </w:r>
            <w:r>
              <w:rPr>
                <w:b/>
                <w:bCs/>
                <w:sz w:val="20"/>
                <w:szCs w:val="20"/>
              </w:rPr>
              <w:t>l</w:t>
            </w:r>
          </w:p>
        </w:tc>
        <w:tc>
          <w:tcPr>
            <w:tcW w:w="1755"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F1-Score</w:t>
            </w:r>
          </w:p>
        </w:tc>
        <w:tc>
          <w:tcPr>
            <w:tcW w:w="1755"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Support</w:t>
            </w:r>
          </w:p>
        </w:tc>
      </w:tr>
      <w:tr w:rsidR="00D24CF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Fog</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0.847 ± 0.021</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0.832 ± 0.024</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0.839 ± 0.022</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~248</w:t>
            </w:r>
          </w:p>
        </w:tc>
      </w:tr>
      <w:tr w:rsidR="00D24CF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Rain</w:t>
            </w:r>
          </w:p>
        </w:tc>
        <w:tc>
          <w:tcPr>
            <w:tcW w:w="1755"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0.823 ± 0.019</w:t>
            </w:r>
          </w:p>
        </w:tc>
        <w:tc>
          <w:tcPr>
            <w:tcW w:w="1755"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0.851 ± 0.020</w:t>
            </w:r>
          </w:p>
        </w:tc>
        <w:tc>
          <w:tcPr>
            <w:tcW w:w="1755"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0.837 ± 0.019</w:t>
            </w:r>
          </w:p>
        </w:tc>
        <w:tc>
          <w:tcPr>
            <w:tcW w:w="1755"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~251</w:t>
            </w:r>
          </w:p>
        </w:tc>
      </w:tr>
      <w:tr w:rsidR="00D24CF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Snow</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0.831 ± 0.022</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0.844 ± 0.023</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0.837 ± 0.022</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~249</w:t>
            </w:r>
          </w:p>
        </w:tc>
      </w:tr>
      <w:tr w:rsidR="00D24CF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rsidR="00D24CFF" w:rsidRDefault="00F52FA6">
            <w:r>
              <w:rPr>
                <w:sz w:val="19"/>
                <w:szCs w:val="19"/>
              </w:rPr>
              <w:t>Sand</w:t>
            </w:r>
          </w:p>
        </w:tc>
        <w:tc>
          <w:tcPr>
            <w:tcW w:w="175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rsidR="00D24CFF" w:rsidRDefault="00F52FA6">
            <w:r>
              <w:rPr>
                <w:sz w:val="19"/>
                <w:szCs w:val="19"/>
              </w:rPr>
              <w:t>0.754 ± 0.031</w:t>
            </w:r>
          </w:p>
        </w:tc>
        <w:tc>
          <w:tcPr>
            <w:tcW w:w="175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rsidR="00D24CFF" w:rsidRDefault="00F52FA6">
            <w:r>
              <w:rPr>
                <w:sz w:val="19"/>
                <w:szCs w:val="19"/>
              </w:rPr>
              <w:t>0.717 ± 0.035</w:t>
            </w:r>
          </w:p>
        </w:tc>
        <w:tc>
          <w:tcPr>
            <w:tcW w:w="175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rsidR="00D24CFF" w:rsidRDefault="00F52FA6">
            <w:r>
              <w:rPr>
                <w:sz w:val="19"/>
                <w:szCs w:val="19"/>
              </w:rPr>
              <w:t>0.735 ± 0.033</w:t>
            </w:r>
          </w:p>
        </w:tc>
        <w:tc>
          <w:tcPr>
            <w:tcW w:w="175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rsidR="00D24CFF" w:rsidRDefault="00F52FA6">
            <w:r>
              <w:rPr>
                <w:sz w:val="19"/>
                <w:szCs w:val="19"/>
              </w:rPr>
              <w:t>~252</w:t>
            </w:r>
          </w:p>
        </w:tc>
      </w:tr>
      <w:tr w:rsidR="00D24CF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D24CFF" w:rsidRDefault="00F52FA6">
            <w:r>
              <w:rPr>
                <w:sz w:val="19"/>
                <w:szCs w:val="19"/>
              </w:rPr>
              <w:t>Macro Avg</w:t>
            </w:r>
          </w:p>
        </w:tc>
        <w:tc>
          <w:tcPr>
            <w:tcW w:w="1755"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D24CFF" w:rsidRDefault="00F52FA6">
            <w:r>
              <w:rPr>
                <w:sz w:val="19"/>
                <w:szCs w:val="19"/>
              </w:rPr>
              <w:t>0.814 ± 0.018</w:t>
            </w:r>
          </w:p>
        </w:tc>
        <w:tc>
          <w:tcPr>
            <w:tcW w:w="1755"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D24CFF" w:rsidRDefault="00F52FA6">
            <w:r>
              <w:rPr>
                <w:sz w:val="19"/>
                <w:szCs w:val="19"/>
              </w:rPr>
              <w:t>0.811 ± 0.019</w:t>
            </w:r>
          </w:p>
        </w:tc>
        <w:tc>
          <w:tcPr>
            <w:tcW w:w="1755"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D24CFF" w:rsidRDefault="00F52FA6">
            <w:r>
              <w:rPr>
                <w:sz w:val="19"/>
                <w:szCs w:val="19"/>
              </w:rPr>
              <w:t>0.809 ± 0.019</w:t>
            </w:r>
          </w:p>
        </w:tc>
        <w:tc>
          <w:tcPr>
            <w:tcW w:w="1755"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D24CFF" w:rsidRDefault="00F52FA6">
            <w:r>
              <w:rPr>
                <w:sz w:val="19"/>
                <w:szCs w:val="19"/>
              </w:rPr>
              <w:t>~1000</w:t>
            </w:r>
          </w:p>
        </w:tc>
      </w:tr>
    </w:tbl>
    <w:p w:rsidR="00D24CFF" w:rsidRDefault="00D24CFF">
      <w:pPr>
        <w:spacing w:before="80" w:after="80"/>
      </w:pPr>
    </w:p>
    <w:p w:rsidR="00D24CFF" w:rsidRDefault="00F52FA6">
      <w:pPr>
        <w:spacing w:before="80" w:after="80"/>
        <w:jc w:val="both"/>
      </w:pPr>
      <w:r>
        <w:t>Sand is the weakest class across all metrics, with recall 9–13 points below Fog and Rain. This pattern is consistent across seeds and is explored in detail in the error analysis section. Fog and Rain achieve the highest scores, likely because their texture</w:t>
      </w:r>
      <w:r>
        <w:t xml:space="preserve"> patterns (water droplets on lens, reduced visibility gradients) are more visually distinctive.</w:t>
      </w:r>
    </w:p>
    <w:p w:rsidR="00D24CFF" w:rsidRDefault="00F52FA6">
      <w:r>
        <w:br w:type="page"/>
      </w:r>
    </w:p>
    <w:p w:rsidR="00D24CFF" w:rsidRDefault="00F52FA6">
      <w:pPr>
        <w:pStyle w:val="Heading1"/>
        <w:pBdr>
          <w:bottom w:val="single" w:sz="6" w:space="1" w:color="1F4E79"/>
        </w:pBdr>
      </w:pPr>
      <w:r>
        <w:lastRenderedPageBreak/>
        <w:t>4. Ablation Studies</w:t>
      </w:r>
    </w:p>
    <w:p w:rsidR="00D24CFF" w:rsidRDefault="00F52FA6">
      <w:pPr>
        <w:spacing w:before="80" w:after="80"/>
        <w:jc w:val="both"/>
      </w:pPr>
      <w:r>
        <w:t>Five ablation experiments were conducted spanning four categories: component removal, component replacement, capacity variation, data scal</w:t>
      </w:r>
      <w:r>
        <w:t>ing, and training-recipe modification. All ablations used the same train/validation split and seed strategy (seeds 42, 123, 777), and are reported on the validation set only (the test set remained closed after the ceremony).</w:t>
      </w:r>
    </w:p>
    <w:p w:rsidR="00D24CFF" w:rsidRDefault="00D24CFF">
      <w:pPr>
        <w:spacing w:before="80" w:after="80"/>
      </w:pPr>
    </w:p>
    <w:p w:rsidR="00D24CFF" w:rsidRDefault="00F52FA6">
      <w:pPr>
        <w:spacing w:before="160" w:after="80"/>
        <w:jc w:val="center"/>
      </w:pPr>
      <w:r>
        <w:rPr>
          <w:b/>
          <w:bCs/>
        </w:rPr>
        <w:t>Table 3: Ablation Study Result</w:t>
      </w:r>
      <w:r>
        <w:rPr>
          <w:b/>
          <w:bCs/>
        </w:rPr>
        <w:t>s (Validation Set, Mean ± Std over 3 Seeds)</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9"/>
        <w:gridCol w:w="1589"/>
        <w:gridCol w:w="1589"/>
        <w:gridCol w:w="1589"/>
        <w:gridCol w:w="2119"/>
      </w:tblGrid>
      <w:tr w:rsidR="00D24CFF" w:rsidTr="000437EC">
        <w:tblPrEx>
          <w:tblCellMar>
            <w:top w:w="0" w:type="dxa"/>
            <w:bottom w:w="0" w:type="dxa"/>
          </w:tblCellMar>
        </w:tblPrEx>
        <w:trPr>
          <w:trHeight w:val="264"/>
          <w:tblHeader/>
        </w:trPr>
        <w:tc>
          <w:tcPr>
            <w:tcW w:w="2649"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Configuration</w:t>
            </w:r>
          </w:p>
        </w:tc>
        <w:tc>
          <w:tcPr>
            <w:tcW w:w="1589"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Val Acc.</w:t>
            </w:r>
          </w:p>
        </w:tc>
        <w:tc>
          <w:tcPr>
            <w:tcW w:w="1589"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Params (M)</w:t>
            </w:r>
          </w:p>
        </w:tc>
        <w:tc>
          <w:tcPr>
            <w:tcW w:w="1589"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Train Time</w:t>
            </w:r>
          </w:p>
        </w:tc>
        <w:tc>
          <w:tcPr>
            <w:tcW w:w="2119"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Delta vs Full</w:t>
            </w:r>
          </w:p>
        </w:tc>
      </w:tr>
      <w:tr w:rsidR="00D24CFF" w:rsidTr="000437EC">
        <w:tblPrEx>
          <w:tblCellMar>
            <w:top w:w="0" w:type="dxa"/>
            <w:bottom w:w="0" w:type="dxa"/>
          </w:tblCellMar>
        </w:tblPrEx>
        <w:trPr>
          <w:trHeight w:val="248"/>
        </w:trPr>
        <w:tc>
          <w:tcPr>
            <w:tcW w:w="2649"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D24CFF" w:rsidRDefault="00F52FA6">
            <w:r>
              <w:rPr>
                <w:sz w:val="19"/>
                <w:szCs w:val="19"/>
              </w:rPr>
              <w:t>Full Model (Baseline)</w:t>
            </w:r>
          </w:p>
        </w:tc>
        <w:tc>
          <w:tcPr>
            <w:tcW w:w="1589"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D24CFF" w:rsidRDefault="00F52FA6">
            <w:r>
              <w:rPr>
                <w:sz w:val="19"/>
                <w:szCs w:val="19"/>
              </w:rPr>
              <w:t>82.1% ± 1.7%</w:t>
            </w:r>
          </w:p>
        </w:tc>
        <w:tc>
          <w:tcPr>
            <w:tcW w:w="1589"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D24CFF" w:rsidRDefault="00F52FA6">
            <w:r>
              <w:rPr>
                <w:sz w:val="19"/>
                <w:szCs w:val="19"/>
              </w:rPr>
              <w:t>5.3M</w:t>
            </w:r>
          </w:p>
        </w:tc>
        <w:tc>
          <w:tcPr>
            <w:tcW w:w="1589"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D24CFF" w:rsidRDefault="00F52FA6">
            <w:r>
              <w:rPr>
                <w:sz w:val="19"/>
                <w:szCs w:val="19"/>
              </w:rPr>
              <w:t>~22 min</w:t>
            </w:r>
          </w:p>
        </w:tc>
        <w:tc>
          <w:tcPr>
            <w:tcW w:w="2119"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D24CFF" w:rsidRDefault="00F52FA6">
            <w:r>
              <w:rPr>
                <w:sz w:val="19"/>
                <w:szCs w:val="19"/>
              </w:rPr>
              <w:t>—</w:t>
            </w:r>
          </w:p>
        </w:tc>
      </w:tr>
      <w:tr w:rsidR="00D24CFF" w:rsidTr="000437EC">
        <w:tblPrEx>
          <w:tblCellMar>
            <w:top w:w="0" w:type="dxa"/>
            <w:bottom w:w="0" w:type="dxa"/>
          </w:tblCellMar>
        </w:tblPrEx>
        <w:trPr>
          <w:trHeight w:val="496"/>
        </w:trPr>
        <w:tc>
          <w:tcPr>
            <w:tcW w:w="2649"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rsidR="00D24CFF" w:rsidRDefault="00F52FA6">
            <w:r>
              <w:rPr>
                <w:sz w:val="19"/>
                <w:szCs w:val="19"/>
              </w:rPr>
              <w:t xml:space="preserve">A1: No Transfer Learning (random </w:t>
            </w:r>
            <w:proofErr w:type="spellStart"/>
            <w:r>
              <w:rPr>
                <w:sz w:val="19"/>
                <w:szCs w:val="19"/>
              </w:rPr>
              <w:t>init</w:t>
            </w:r>
            <w:proofErr w:type="spellEnd"/>
            <w:r>
              <w:rPr>
                <w:sz w:val="19"/>
                <w:szCs w:val="19"/>
              </w:rPr>
              <w:t>)</w:t>
            </w:r>
          </w:p>
        </w:tc>
        <w:tc>
          <w:tcPr>
            <w:tcW w:w="1589"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rsidR="00D24CFF" w:rsidRDefault="00F52FA6">
            <w:r>
              <w:rPr>
                <w:sz w:val="19"/>
                <w:szCs w:val="19"/>
              </w:rPr>
              <w:t>71.4% ± 3.1%</w:t>
            </w:r>
          </w:p>
        </w:tc>
        <w:tc>
          <w:tcPr>
            <w:tcW w:w="1589"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rsidR="00D24CFF" w:rsidRDefault="00F52FA6">
            <w:r>
              <w:rPr>
                <w:sz w:val="19"/>
                <w:szCs w:val="19"/>
              </w:rPr>
              <w:t>5.3M</w:t>
            </w:r>
          </w:p>
        </w:tc>
        <w:tc>
          <w:tcPr>
            <w:tcW w:w="1589"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rsidR="00D24CFF" w:rsidRDefault="00F52FA6">
            <w:r>
              <w:rPr>
                <w:sz w:val="19"/>
                <w:szCs w:val="19"/>
              </w:rPr>
              <w:t>~24 min</w:t>
            </w:r>
          </w:p>
        </w:tc>
        <w:tc>
          <w:tcPr>
            <w:tcW w:w="2119"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rsidR="00D24CFF" w:rsidRDefault="00F52FA6">
            <w:r>
              <w:rPr>
                <w:sz w:val="19"/>
                <w:szCs w:val="19"/>
              </w:rPr>
              <w:t>−</w:t>
            </w:r>
            <w:r>
              <w:rPr>
                <w:sz w:val="19"/>
                <w:szCs w:val="19"/>
              </w:rPr>
              <w:t>10.7%</w:t>
            </w:r>
          </w:p>
        </w:tc>
      </w:tr>
      <w:tr w:rsidR="00D24CFF" w:rsidTr="000437EC">
        <w:tblPrEx>
          <w:tblCellMar>
            <w:top w:w="0" w:type="dxa"/>
            <w:bottom w:w="0" w:type="dxa"/>
          </w:tblCellMar>
        </w:tblPrEx>
        <w:trPr>
          <w:trHeight w:val="264"/>
        </w:trPr>
        <w:tc>
          <w:tcPr>
            <w:tcW w:w="2649" w:type="dxa"/>
            <w:tcBorders>
              <w:top w:val="single" w:sz="1" w:space="0" w:color="CCCCCC"/>
              <w:left w:val="single" w:sz="1" w:space="0" w:color="CCCCCC"/>
              <w:bottom w:val="single" w:sz="1" w:space="0" w:color="CCCCCC"/>
              <w:right w:val="single" w:sz="1" w:space="0" w:color="CCCCCC"/>
            </w:tcBorders>
            <w:shd w:val="clear" w:color="auto" w:fill="FFEECC"/>
            <w:tcMar>
              <w:top w:w="80" w:type="dxa"/>
              <w:left w:w="120" w:type="dxa"/>
              <w:bottom w:w="80" w:type="dxa"/>
              <w:right w:w="120" w:type="dxa"/>
            </w:tcMar>
            <w:vAlign w:val="center"/>
          </w:tcPr>
          <w:p w:rsidR="00D24CFF" w:rsidRDefault="00F52FA6">
            <w:r>
              <w:rPr>
                <w:sz w:val="19"/>
                <w:szCs w:val="19"/>
              </w:rPr>
              <w:t>A2: No Data Augmentation</w:t>
            </w:r>
          </w:p>
        </w:tc>
        <w:tc>
          <w:tcPr>
            <w:tcW w:w="1589" w:type="dxa"/>
            <w:tcBorders>
              <w:top w:val="single" w:sz="1" w:space="0" w:color="CCCCCC"/>
              <w:left w:val="single" w:sz="1" w:space="0" w:color="CCCCCC"/>
              <w:bottom w:val="single" w:sz="1" w:space="0" w:color="CCCCCC"/>
              <w:right w:val="single" w:sz="1" w:space="0" w:color="CCCCCC"/>
            </w:tcBorders>
            <w:shd w:val="clear" w:color="auto" w:fill="FFEECC"/>
            <w:tcMar>
              <w:top w:w="80" w:type="dxa"/>
              <w:left w:w="120" w:type="dxa"/>
              <w:bottom w:w="80" w:type="dxa"/>
              <w:right w:w="120" w:type="dxa"/>
            </w:tcMar>
            <w:vAlign w:val="center"/>
          </w:tcPr>
          <w:p w:rsidR="00D24CFF" w:rsidRDefault="00F52FA6">
            <w:r>
              <w:rPr>
                <w:sz w:val="19"/>
                <w:szCs w:val="19"/>
              </w:rPr>
              <w:t>76.2% ± 2.5%</w:t>
            </w:r>
          </w:p>
        </w:tc>
        <w:tc>
          <w:tcPr>
            <w:tcW w:w="1589" w:type="dxa"/>
            <w:tcBorders>
              <w:top w:val="single" w:sz="1" w:space="0" w:color="CCCCCC"/>
              <w:left w:val="single" w:sz="1" w:space="0" w:color="CCCCCC"/>
              <w:bottom w:val="single" w:sz="1" w:space="0" w:color="CCCCCC"/>
              <w:right w:val="single" w:sz="1" w:space="0" w:color="CCCCCC"/>
            </w:tcBorders>
            <w:shd w:val="clear" w:color="auto" w:fill="FFEECC"/>
            <w:tcMar>
              <w:top w:w="80" w:type="dxa"/>
              <w:left w:w="120" w:type="dxa"/>
              <w:bottom w:w="80" w:type="dxa"/>
              <w:right w:w="120" w:type="dxa"/>
            </w:tcMar>
            <w:vAlign w:val="center"/>
          </w:tcPr>
          <w:p w:rsidR="00D24CFF" w:rsidRDefault="00F52FA6">
            <w:r>
              <w:rPr>
                <w:sz w:val="19"/>
                <w:szCs w:val="19"/>
              </w:rPr>
              <w:t>5.3M</w:t>
            </w:r>
          </w:p>
        </w:tc>
        <w:tc>
          <w:tcPr>
            <w:tcW w:w="1589" w:type="dxa"/>
            <w:tcBorders>
              <w:top w:val="single" w:sz="1" w:space="0" w:color="CCCCCC"/>
              <w:left w:val="single" w:sz="1" w:space="0" w:color="CCCCCC"/>
              <w:bottom w:val="single" w:sz="1" w:space="0" w:color="CCCCCC"/>
              <w:right w:val="single" w:sz="1" w:space="0" w:color="CCCCCC"/>
            </w:tcBorders>
            <w:shd w:val="clear" w:color="auto" w:fill="FFEECC"/>
            <w:tcMar>
              <w:top w:w="80" w:type="dxa"/>
              <w:left w:w="120" w:type="dxa"/>
              <w:bottom w:w="80" w:type="dxa"/>
              <w:right w:w="120" w:type="dxa"/>
            </w:tcMar>
            <w:vAlign w:val="center"/>
          </w:tcPr>
          <w:p w:rsidR="00D24CFF" w:rsidRDefault="00F52FA6">
            <w:r>
              <w:rPr>
                <w:sz w:val="19"/>
                <w:szCs w:val="19"/>
              </w:rPr>
              <w:t>~19 min</w:t>
            </w:r>
          </w:p>
        </w:tc>
        <w:tc>
          <w:tcPr>
            <w:tcW w:w="2119" w:type="dxa"/>
            <w:tcBorders>
              <w:top w:val="single" w:sz="1" w:space="0" w:color="CCCCCC"/>
              <w:left w:val="single" w:sz="1" w:space="0" w:color="CCCCCC"/>
              <w:bottom w:val="single" w:sz="1" w:space="0" w:color="CCCCCC"/>
              <w:right w:val="single" w:sz="1" w:space="0" w:color="CCCCCC"/>
            </w:tcBorders>
            <w:shd w:val="clear" w:color="auto" w:fill="FFEECC"/>
            <w:tcMar>
              <w:top w:w="80" w:type="dxa"/>
              <w:left w:w="120" w:type="dxa"/>
              <w:bottom w:w="80" w:type="dxa"/>
              <w:right w:w="120" w:type="dxa"/>
            </w:tcMar>
            <w:vAlign w:val="center"/>
          </w:tcPr>
          <w:p w:rsidR="00D24CFF" w:rsidRDefault="00F52FA6">
            <w:r>
              <w:rPr>
                <w:sz w:val="19"/>
                <w:szCs w:val="19"/>
              </w:rPr>
              <w:t>−</w:t>
            </w:r>
            <w:r>
              <w:rPr>
                <w:sz w:val="19"/>
                <w:szCs w:val="19"/>
              </w:rPr>
              <w:t>5.9%</w:t>
            </w:r>
          </w:p>
        </w:tc>
      </w:tr>
      <w:tr w:rsidR="00D24CFF" w:rsidTr="000437EC">
        <w:tblPrEx>
          <w:tblCellMar>
            <w:top w:w="0" w:type="dxa"/>
            <w:bottom w:w="0" w:type="dxa"/>
          </w:tblCellMar>
        </w:tblPrEx>
        <w:trPr>
          <w:trHeight w:val="248"/>
        </w:trPr>
        <w:tc>
          <w:tcPr>
            <w:tcW w:w="2649" w:type="dxa"/>
            <w:tcBorders>
              <w:top w:val="single" w:sz="1" w:space="0" w:color="CCCCCC"/>
              <w:left w:val="single" w:sz="1" w:space="0" w:color="CCCCCC"/>
              <w:bottom w:val="single" w:sz="1" w:space="0" w:color="CCCCCC"/>
              <w:right w:val="single" w:sz="1" w:space="0" w:color="CCCCCC"/>
            </w:tcBorders>
            <w:shd w:val="clear" w:color="auto" w:fill="FFFACC"/>
            <w:tcMar>
              <w:top w:w="80" w:type="dxa"/>
              <w:left w:w="120" w:type="dxa"/>
              <w:bottom w:w="80" w:type="dxa"/>
              <w:right w:w="120" w:type="dxa"/>
            </w:tcMar>
            <w:vAlign w:val="center"/>
          </w:tcPr>
          <w:p w:rsidR="00D24CFF" w:rsidRDefault="00F52FA6">
            <w:r>
              <w:rPr>
                <w:sz w:val="19"/>
                <w:szCs w:val="19"/>
              </w:rPr>
              <w:t xml:space="preserve">A3: SGD replaces </w:t>
            </w:r>
            <w:proofErr w:type="spellStart"/>
            <w:r>
              <w:rPr>
                <w:sz w:val="19"/>
                <w:szCs w:val="19"/>
              </w:rPr>
              <w:t>AdamW</w:t>
            </w:r>
            <w:proofErr w:type="spellEnd"/>
          </w:p>
        </w:tc>
        <w:tc>
          <w:tcPr>
            <w:tcW w:w="1589" w:type="dxa"/>
            <w:tcBorders>
              <w:top w:val="single" w:sz="1" w:space="0" w:color="CCCCCC"/>
              <w:left w:val="single" w:sz="1" w:space="0" w:color="CCCCCC"/>
              <w:bottom w:val="single" w:sz="1" w:space="0" w:color="CCCCCC"/>
              <w:right w:val="single" w:sz="1" w:space="0" w:color="CCCCCC"/>
            </w:tcBorders>
            <w:shd w:val="clear" w:color="auto" w:fill="FFFACC"/>
            <w:tcMar>
              <w:top w:w="80" w:type="dxa"/>
              <w:left w:w="120" w:type="dxa"/>
              <w:bottom w:w="80" w:type="dxa"/>
              <w:right w:w="120" w:type="dxa"/>
            </w:tcMar>
            <w:vAlign w:val="center"/>
          </w:tcPr>
          <w:p w:rsidR="00D24CFF" w:rsidRDefault="00F52FA6">
            <w:r>
              <w:rPr>
                <w:sz w:val="19"/>
                <w:szCs w:val="19"/>
              </w:rPr>
              <w:t>79.3% ± 2.2%</w:t>
            </w:r>
          </w:p>
        </w:tc>
        <w:tc>
          <w:tcPr>
            <w:tcW w:w="1589" w:type="dxa"/>
            <w:tcBorders>
              <w:top w:val="single" w:sz="1" w:space="0" w:color="CCCCCC"/>
              <w:left w:val="single" w:sz="1" w:space="0" w:color="CCCCCC"/>
              <w:bottom w:val="single" w:sz="1" w:space="0" w:color="CCCCCC"/>
              <w:right w:val="single" w:sz="1" w:space="0" w:color="CCCCCC"/>
            </w:tcBorders>
            <w:shd w:val="clear" w:color="auto" w:fill="FFFACC"/>
            <w:tcMar>
              <w:top w:w="80" w:type="dxa"/>
              <w:left w:w="120" w:type="dxa"/>
              <w:bottom w:w="80" w:type="dxa"/>
              <w:right w:w="120" w:type="dxa"/>
            </w:tcMar>
            <w:vAlign w:val="center"/>
          </w:tcPr>
          <w:p w:rsidR="00D24CFF" w:rsidRDefault="00F52FA6">
            <w:r>
              <w:rPr>
                <w:sz w:val="19"/>
                <w:szCs w:val="19"/>
              </w:rPr>
              <w:t>5.3M</w:t>
            </w:r>
          </w:p>
        </w:tc>
        <w:tc>
          <w:tcPr>
            <w:tcW w:w="1589" w:type="dxa"/>
            <w:tcBorders>
              <w:top w:val="single" w:sz="1" w:space="0" w:color="CCCCCC"/>
              <w:left w:val="single" w:sz="1" w:space="0" w:color="CCCCCC"/>
              <w:bottom w:val="single" w:sz="1" w:space="0" w:color="CCCCCC"/>
              <w:right w:val="single" w:sz="1" w:space="0" w:color="CCCCCC"/>
            </w:tcBorders>
            <w:shd w:val="clear" w:color="auto" w:fill="FFFACC"/>
            <w:tcMar>
              <w:top w:w="80" w:type="dxa"/>
              <w:left w:w="120" w:type="dxa"/>
              <w:bottom w:w="80" w:type="dxa"/>
              <w:right w:w="120" w:type="dxa"/>
            </w:tcMar>
            <w:vAlign w:val="center"/>
          </w:tcPr>
          <w:p w:rsidR="00D24CFF" w:rsidRDefault="00F52FA6">
            <w:r>
              <w:rPr>
                <w:sz w:val="19"/>
                <w:szCs w:val="19"/>
              </w:rPr>
              <w:t>~23 min</w:t>
            </w:r>
          </w:p>
        </w:tc>
        <w:tc>
          <w:tcPr>
            <w:tcW w:w="2119" w:type="dxa"/>
            <w:tcBorders>
              <w:top w:val="single" w:sz="1" w:space="0" w:color="CCCCCC"/>
              <w:left w:val="single" w:sz="1" w:space="0" w:color="CCCCCC"/>
              <w:bottom w:val="single" w:sz="1" w:space="0" w:color="CCCCCC"/>
              <w:right w:val="single" w:sz="1" w:space="0" w:color="CCCCCC"/>
            </w:tcBorders>
            <w:shd w:val="clear" w:color="auto" w:fill="FFFACC"/>
            <w:tcMar>
              <w:top w:w="80" w:type="dxa"/>
              <w:left w:w="120" w:type="dxa"/>
              <w:bottom w:w="80" w:type="dxa"/>
              <w:right w:w="120" w:type="dxa"/>
            </w:tcMar>
            <w:vAlign w:val="center"/>
          </w:tcPr>
          <w:p w:rsidR="00D24CFF" w:rsidRDefault="00F52FA6">
            <w:r>
              <w:rPr>
                <w:sz w:val="19"/>
                <w:szCs w:val="19"/>
              </w:rPr>
              <w:t>−</w:t>
            </w:r>
            <w:r>
              <w:rPr>
                <w:sz w:val="19"/>
                <w:szCs w:val="19"/>
              </w:rPr>
              <w:t>2.8%</w:t>
            </w:r>
          </w:p>
        </w:tc>
      </w:tr>
      <w:tr w:rsidR="00D24CFF" w:rsidTr="000437EC">
        <w:tblPrEx>
          <w:tblCellMar>
            <w:top w:w="0" w:type="dxa"/>
            <w:bottom w:w="0" w:type="dxa"/>
          </w:tblCellMar>
        </w:tblPrEx>
        <w:trPr>
          <w:trHeight w:val="264"/>
        </w:trPr>
        <w:tc>
          <w:tcPr>
            <w:tcW w:w="2649" w:type="dxa"/>
            <w:tcBorders>
              <w:top w:val="single" w:sz="1" w:space="0" w:color="CCCCCC"/>
              <w:left w:val="single" w:sz="1" w:space="0" w:color="CCCCCC"/>
              <w:bottom w:val="single" w:sz="1" w:space="0" w:color="CCCCCC"/>
              <w:right w:val="single" w:sz="1" w:space="0" w:color="CCCCCC"/>
            </w:tcBorders>
            <w:shd w:val="clear" w:color="auto" w:fill="FFEECC"/>
            <w:tcMar>
              <w:top w:w="80" w:type="dxa"/>
              <w:left w:w="120" w:type="dxa"/>
              <w:bottom w:w="80" w:type="dxa"/>
              <w:right w:w="120" w:type="dxa"/>
            </w:tcMar>
            <w:vAlign w:val="center"/>
          </w:tcPr>
          <w:p w:rsidR="00D24CFF" w:rsidRDefault="00F52FA6">
            <w:r>
              <w:rPr>
                <w:sz w:val="19"/>
                <w:szCs w:val="19"/>
              </w:rPr>
              <w:t>A4: 50% training data only</w:t>
            </w:r>
          </w:p>
        </w:tc>
        <w:tc>
          <w:tcPr>
            <w:tcW w:w="1589" w:type="dxa"/>
            <w:tcBorders>
              <w:top w:val="single" w:sz="1" w:space="0" w:color="CCCCCC"/>
              <w:left w:val="single" w:sz="1" w:space="0" w:color="CCCCCC"/>
              <w:bottom w:val="single" w:sz="1" w:space="0" w:color="CCCCCC"/>
              <w:right w:val="single" w:sz="1" w:space="0" w:color="CCCCCC"/>
            </w:tcBorders>
            <w:shd w:val="clear" w:color="auto" w:fill="FFEECC"/>
            <w:tcMar>
              <w:top w:w="80" w:type="dxa"/>
              <w:left w:w="120" w:type="dxa"/>
              <w:bottom w:w="80" w:type="dxa"/>
              <w:right w:w="120" w:type="dxa"/>
            </w:tcMar>
            <w:vAlign w:val="center"/>
          </w:tcPr>
          <w:p w:rsidR="00D24CFF" w:rsidRDefault="00F52FA6">
            <w:r>
              <w:rPr>
                <w:sz w:val="19"/>
                <w:szCs w:val="19"/>
              </w:rPr>
              <w:t>74.8% ± 3.4%</w:t>
            </w:r>
          </w:p>
        </w:tc>
        <w:tc>
          <w:tcPr>
            <w:tcW w:w="1589" w:type="dxa"/>
            <w:tcBorders>
              <w:top w:val="single" w:sz="1" w:space="0" w:color="CCCCCC"/>
              <w:left w:val="single" w:sz="1" w:space="0" w:color="CCCCCC"/>
              <w:bottom w:val="single" w:sz="1" w:space="0" w:color="CCCCCC"/>
              <w:right w:val="single" w:sz="1" w:space="0" w:color="CCCCCC"/>
            </w:tcBorders>
            <w:shd w:val="clear" w:color="auto" w:fill="FFEECC"/>
            <w:tcMar>
              <w:top w:w="80" w:type="dxa"/>
              <w:left w:w="120" w:type="dxa"/>
              <w:bottom w:w="80" w:type="dxa"/>
              <w:right w:w="120" w:type="dxa"/>
            </w:tcMar>
            <w:vAlign w:val="center"/>
          </w:tcPr>
          <w:p w:rsidR="00D24CFF" w:rsidRDefault="00F52FA6">
            <w:r>
              <w:rPr>
                <w:sz w:val="19"/>
                <w:szCs w:val="19"/>
              </w:rPr>
              <w:t>5.3M</w:t>
            </w:r>
          </w:p>
        </w:tc>
        <w:tc>
          <w:tcPr>
            <w:tcW w:w="1589" w:type="dxa"/>
            <w:tcBorders>
              <w:top w:val="single" w:sz="1" w:space="0" w:color="CCCCCC"/>
              <w:left w:val="single" w:sz="1" w:space="0" w:color="CCCCCC"/>
              <w:bottom w:val="single" w:sz="1" w:space="0" w:color="CCCCCC"/>
              <w:right w:val="single" w:sz="1" w:space="0" w:color="CCCCCC"/>
            </w:tcBorders>
            <w:shd w:val="clear" w:color="auto" w:fill="FFEECC"/>
            <w:tcMar>
              <w:top w:w="80" w:type="dxa"/>
              <w:left w:w="120" w:type="dxa"/>
              <w:bottom w:w="80" w:type="dxa"/>
              <w:right w:w="120" w:type="dxa"/>
            </w:tcMar>
            <w:vAlign w:val="center"/>
          </w:tcPr>
          <w:p w:rsidR="00D24CFF" w:rsidRDefault="00F52FA6">
            <w:r>
              <w:rPr>
                <w:sz w:val="19"/>
                <w:szCs w:val="19"/>
              </w:rPr>
              <w:t>~11 min</w:t>
            </w:r>
          </w:p>
        </w:tc>
        <w:tc>
          <w:tcPr>
            <w:tcW w:w="2119" w:type="dxa"/>
            <w:tcBorders>
              <w:top w:val="single" w:sz="1" w:space="0" w:color="CCCCCC"/>
              <w:left w:val="single" w:sz="1" w:space="0" w:color="CCCCCC"/>
              <w:bottom w:val="single" w:sz="1" w:space="0" w:color="CCCCCC"/>
              <w:right w:val="single" w:sz="1" w:space="0" w:color="CCCCCC"/>
            </w:tcBorders>
            <w:shd w:val="clear" w:color="auto" w:fill="FFEECC"/>
            <w:tcMar>
              <w:top w:w="80" w:type="dxa"/>
              <w:left w:w="120" w:type="dxa"/>
              <w:bottom w:w="80" w:type="dxa"/>
              <w:right w:w="120" w:type="dxa"/>
            </w:tcMar>
            <w:vAlign w:val="center"/>
          </w:tcPr>
          <w:p w:rsidR="00D24CFF" w:rsidRDefault="00F52FA6">
            <w:r>
              <w:rPr>
                <w:sz w:val="19"/>
                <w:szCs w:val="19"/>
              </w:rPr>
              <w:t>−</w:t>
            </w:r>
            <w:r>
              <w:rPr>
                <w:sz w:val="19"/>
                <w:szCs w:val="19"/>
              </w:rPr>
              <w:t>7.3%</w:t>
            </w:r>
          </w:p>
        </w:tc>
      </w:tr>
      <w:tr w:rsidR="00D24CFF" w:rsidTr="000437EC">
        <w:tblPrEx>
          <w:tblCellMar>
            <w:top w:w="0" w:type="dxa"/>
            <w:bottom w:w="0" w:type="dxa"/>
          </w:tblCellMar>
        </w:tblPrEx>
        <w:trPr>
          <w:trHeight w:val="248"/>
        </w:trPr>
        <w:tc>
          <w:tcPr>
            <w:tcW w:w="2649" w:type="dxa"/>
            <w:tcBorders>
              <w:top w:val="single" w:sz="1" w:space="0" w:color="CCCCCC"/>
              <w:left w:val="single" w:sz="1" w:space="0" w:color="CCCCCC"/>
              <w:bottom w:val="single" w:sz="1" w:space="0" w:color="CCCCCC"/>
              <w:right w:val="single" w:sz="1" w:space="0" w:color="CCCCCC"/>
            </w:tcBorders>
            <w:shd w:val="clear" w:color="auto" w:fill="FFFACC"/>
            <w:tcMar>
              <w:top w:w="80" w:type="dxa"/>
              <w:left w:w="120" w:type="dxa"/>
              <w:bottom w:w="80" w:type="dxa"/>
              <w:right w:w="120" w:type="dxa"/>
            </w:tcMar>
            <w:vAlign w:val="center"/>
          </w:tcPr>
          <w:p w:rsidR="00D24CFF" w:rsidRDefault="00F52FA6">
            <w:r>
              <w:rPr>
                <w:sz w:val="19"/>
                <w:szCs w:val="19"/>
              </w:rPr>
              <w:t>A5: No LR Scheduling</w:t>
            </w:r>
          </w:p>
        </w:tc>
        <w:tc>
          <w:tcPr>
            <w:tcW w:w="1589" w:type="dxa"/>
            <w:tcBorders>
              <w:top w:val="single" w:sz="1" w:space="0" w:color="CCCCCC"/>
              <w:left w:val="single" w:sz="1" w:space="0" w:color="CCCCCC"/>
              <w:bottom w:val="single" w:sz="1" w:space="0" w:color="CCCCCC"/>
              <w:right w:val="single" w:sz="1" w:space="0" w:color="CCCCCC"/>
            </w:tcBorders>
            <w:shd w:val="clear" w:color="auto" w:fill="FFFACC"/>
            <w:tcMar>
              <w:top w:w="80" w:type="dxa"/>
              <w:left w:w="120" w:type="dxa"/>
              <w:bottom w:w="80" w:type="dxa"/>
              <w:right w:w="120" w:type="dxa"/>
            </w:tcMar>
            <w:vAlign w:val="center"/>
          </w:tcPr>
          <w:p w:rsidR="00D24CFF" w:rsidRDefault="00F52FA6">
            <w:r>
              <w:rPr>
                <w:sz w:val="19"/>
                <w:szCs w:val="19"/>
              </w:rPr>
              <w:t>78.6% ± 2.9%</w:t>
            </w:r>
          </w:p>
        </w:tc>
        <w:tc>
          <w:tcPr>
            <w:tcW w:w="1589" w:type="dxa"/>
            <w:tcBorders>
              <w:top w:val="single" w:sz="1" w:space="0" w:color="CCCCCC"/>
              <w:left w:val="single" w:sz="1" w:space="0" w:color="CCCCCC"/>
              <w:bottom w:val="single" w:sz="1" w:space="0" w:color="CCCCCC"/>
              <w:right w:val="single" w:sz="1" w:space="0" w:color="CCCCCC"/>
            </w:tcBorders>
            <w:shd w:val="clear" w:color="auto" w:fill="FFFACC"/>
            <w:tcMar>
              <w:top w:w="80" w:type="dxa"/>
              <w:left w:w="120" w:type="dxa"/>
              <w:bottom w:w="80" w:type="dxa"/>
              <w:right w:w="120" w:type="dxa"/>
            </w:tcMar>
            <w:vAlign w:val="center"/>
          </w:tcPr>
          <w:p w:rsidR="00D24CFF" w:rsidRDefault="00F52FA6">
            <w:r>
              <w:rPr>
                <w:sz w:val="19"/>
                <w:szCs w:val="19"/>
              </w:rPr>
              <w:t>5.3M</w:t>
            </w:r>
          </w:p>
        </w:tc>
        <w:tc>
          <w:tcPr>
            <w:tcW w:w="1589" w:type="dxa"/>
            <w:tcBorders>
              <w:top w:val="single" w:sz="1" w:space="0" w:color="CCCCCC"/>
              <w:left w:val="single" w:sz="1" w:space="0" w:color="CCCCCC"/>
              <w:bottom w:val="single" w:sz="1" w:space="0" w:color="CCCCCC"/>
              <w:right w:val="single" w:sz="1" w:space="0" w:color="CCCCCC"/>
            </w:tcBorders>
            <w:shd w:val="clear" w:color="auto" w:fill="FFFACC"/>
            <w:tcMar>
              <w:top w:w="80" w:type="dxa"/>
              <w:left w:w="120" w:type="dxa"/>
              <w:bottom w:w="80" w:type="dxa"/>
              <w:right w:w="120" w:type="dxa"/>
            </w:tcMar>
            <w:vAlign w:val="center"/>
          </w:tcPr>
          <w:p w:rsidR="00D24CFF" w:rsidRDefault="00F52FA6">
            <w:r>
              <w:rPr>
                <w:sz w:val="19"/>
                <w:szCs w:val="19"/>
              </w:rPr>
              <w:t>~22 min</w:t>
            </w:r>
          </w:p>
        </w:tc>
        <w:tc>
          <w:tcPr>
            <w:tcW w:w="2119" w:type="dxa"/>
            <w:tcBorders>
              <w:top w:val="single" w:sz="1" w:space="0" w:color="CCCCCC"/>
              <w:left w:val="single" w:sz="1" w:space="0" w:color="CCCCCC"/>
              <w:bottom w:val="single" w:sz="1" w:space="0" w:color="CCCCCC"/>
              <w:right w:val="single" w:sz="1" w:space="0" w:color="CCCCCC"/>
            </w:tcBorders>
            <w:shd w:val="clear" w:color="auto" w:fill="FFFACC"/>
            <w:tcMar>
              <w:top w:w="80" w:type="dxa"/>
              <w:left w:w="120" w:type="dxa"/>
              <w:bottom w:w="80" w:type="dxa"/>
              <w:right w:w="120" w:type="dxa"/>
            </w:tcMar>
            <w:vAlign w:val="center"/>
          </w:tcPr>
          <w:p w:rsidR="00D24CFF" w:rsidRDefault="00F52FA6">
            <w:r>
              <w:rPr>
                <w:sz w:val="19"/>
                <w:szCs w:val="19"/>
              </w:rPr>
              <w:t>−</w:t>
            </w:r>
            <w:r>
              <w:rPr>
                <w:sz w:val="19"/>
                <w:szCs w:val="19"/>
              </w:rPr>
              <w:t>3.5%</w:t>
            </w:r>
          </w:p>
        </w:tc>
      </w:tr>
    </w:tbl>
    <w:p w:rsidR="00D24CFF" w:rsidRDefault="00D24CFF">
      <w:pPr>
        <w:spacing w:before="80" w:after="80"/>
      </w:pPr>
    </w:p>
    <w:p w:rsidR="00D24CFF" w:rsidRDefault="00F52FA6">
      <w:pPr>
        <w:pStyle w:val="Heading2"/>
      </w:pPr>
      <w:r>
        <w:t>4.1 Ablation Interpretations</w:t>
      </w:r>
    </w:p>
    <w:p w:rsidR="00D24CFF" w:rsidRDefault="00F52FA6">
      <w:pPr>
        <w:pStyle w:val="Heading3"/>
      </w:pPr>
      <w:r>
        <w:t>A1 — No Transfer Learning (−10.7 pp)</w:t>
      </w:r>
    </w:p>
    <w:p w:rsidR="00D24CFF" w:rsidRDefault="00F52FA6">
      <w:pPr>
        <w:spacing w:before="80" w:after="80"/>
        <w:jc w:val="both"/>
      </w:pPr>
      <w:r>
        <w:t>This was the largest drop of any ablation and was not fully anticipated at this magnitude. With only ~3,200 training images, the network must learn low-level visual features (edges, textures, gradients) from scratch in addition to high-level decision bound</w:t>
      </w:r>
      <w:r>
        <w:t>aries. ImageNet pre-training provides this foundation for free. The finding confirms that for small adverse-weather datasets, transfer learning is not merely a nice-to-have but a structural requirement. Without it, training instability was also higher (std</w:t>
      </w:r>
      <w:r>
        <w:t xml:space="preserve"> = 3.1 vs 1.7).</w:t>
      </w:r>
    </w:p>
    <w:p w:rsidR="00D24CFF" w:rsidRDefault="00D24CFF">
      <w:pPr>
        <w:spacing w:before="80" w:after="80"/>
      </w:pPr>
    </w:p>
    <w:p w:rsidR="00D24CFF" w:rsidRDefault="00F52FA6">
      <w:pPr>
        <w:pStyle w:val="Heading3"/>
      </w:pPr>
      <w:r>
        <w:t>A2 — No Data Augmentation (−5.9 pp)</w:t>
      </w:r>
    </w:p>
    <w:p w:rsidR="00D24CFF" w:rsidRDefault="00F52FA6">
      <w:pPr>
        <w:spacing w:before="80" w:after="80"/>
        <w:jc w:val="both"/>
      </w:pPr>
      <w:r>
        <w:t xml:space="preserve">Removing augmentation caused a meaningful drop, though smaller than transfer learning. The DAWN dataset's images vary in brightness and contrast across weather conditions, and the horizontal flip and </w:t>
      </w:r>
      <w:proofErr w:type="spellStart"/>
      <w:r>
        <w:t>col</w:t>
      </w:r>
      <w:r>
        <w:t>our</w:t>
      </w:r>
      <w:proofErr w:type="spellEnd"/>
      <w:r>
        <w:t xml:space="preserve"> jitter augmentations apparently help the model learn invariance to these transformations. The result implies augmentation earns its place, particularly for preventing overfitting on weather-specific lighting artefacts.</w:t>
      </w:r>
    </w:p>
    <w:p w:rsidR="00D24CFF" w:rsidRDefault="00D24CFF">
      <w:pPr>
        <w:spacing w:before="80" w:after="80"/>
      </w:pPr>
    </w:p>
    <w:p w:rsidR="00D24CFF" w:rsidRDefault="00F52FA6">
      <w:pPr>
        <w:pStyle w:val="Heading3"/>
      </w:pPr>
      <w:r>
        <w:t xml:space="preserve">A3 — SGD Replaces </w:t>
      </w:r>
      <w:proofErr w:type="spellStart"/>
      <w:r>
        <w:t>AdamW</w:t>
      </w:r>
      <w:proofErr w:type="spellEnd"/>
      <w:r>
        <w:t xml:space="preserve"> (−2.8 pp</w:t>
      </w:r>
      <w:r>
        <w:t>)</w:t>
      </w:r>
    </w:p>
    <w:p w:rsidR="00D24CFF" w:rsidRDefault="00F52FA6">
      <w:pPr>
        <w:spacing w:before="80" w:after="80"/>
        <w:jc w:val="both"/>
      </w:pPr>
      <w:r>
        <w:t xml:space="preserve">The optimizer swap produced a modest but consistent drop. SGD with momentum converges more slowly on this dataset and appears to require a more carefully tuned learning-rate schedule. </w:t>
      </w:r>
      <w:proofErr w:type="spellStart"/>
      <w:r>
        <w:t>AdamW's</w:t>
      </w:r>
      <w:proofErr w:type="spellEnd"/>
      <w:r>
        <w:t xml:space="preserve"> adaptive step sizes are more forgiving for the heterogeneous v</w:t>
      </w:r>
      <w:r>
        <w:t>isual inputs. This finding was mildly surprising — many computer vision papers prefer SGD for fine-tuning — but may reflect the small dataset and the relatively short training run.</w:t>
      </w:r>
    </w:p>
    <w:p w:rsidR="00D24CFF" w:rsidRDefault="00D24CFF">
      <w:pPr>
        <w:spacing w:before="80" w:after="80"/>
      </w:pPr>
    </w:p>
    <w:p w:rsidR="00D24CFF" w:rsidRDefault="00F52FA6">
      <w:pPr>
        <w:pStyle w:val="Heading3"/>
      </w:pPr>
      <w:r>
        <w:t>A4 — 50% Training Data (−7.3 pp)</w:t>
      </w:r>
    </w:p>
    <w:p w:rsidR="00D24CFF" w:rsidRDefault="00F52FA6">
      <w:pPr>
        <w:spacing w:before="80" w:after="80"/>
        <w:jc w:val="both"/>
      </w:pPr>
      <w:r>
        <w:t>Halving the training data causes a 7.3-point drop with substantially higher variance (std 3.4), confirming the model is data-hungry. This is a strong signal that the project would benefit from collecting more data or applying stronger data generation (e.g.</w:t>
      </w:r>
      <w:r>
        <w:t>, GANs or diffusion-based augmentation). The learning-curve analysis (10%, 25%, 50%, 100%) showed approximately log-linear improvement with data fraction, indicating there is no saturation at 100% — more data would continue to help.</w:t>
      </w:r>
    </w:p>
    <w:p w:rsidR="00D24CFF" w:rsidRDefault="00D24CFF">
      <w:pPr>
        <w:spacing w:before="80" w:after="80"/>
      </w:pPr>
    </w:p>
    <w:p w:rsidR="00D24CFF" w:rsidRDefault="00F52FA6">
      <w:pPr>
        <w:pStyle w:val="Heading3"/>
      </w:pPr>
      <w:r>
        <w:t xml:space="preserve">A5 — No Learning Rate </w:t>
      </w:r>
      <w:r>
        <w:t>Scheduling (−3.5 pp)</w:t>
      </w:r>
    </w:p>
    <w:p w:rsidR="00D24CFF" w:rsidRDefault="00F52FA6">
      <w:pPr>
        <w:spacing w:before="80" w:after="80"/>
        <w:jc w:val="both"/>
      </w:pPr>
      <w:r>
        <w:t xml:space="preserve">Removing cosine annealing produced a consistent 3.5-point drop. The scheduler allows the model to escape sharp minima late in training by annealing the step size; without it, the model </w:t>
      </w:r>
      <w:proofErr w:type="spellStart"/>
      <w:r>
        <w:t>stabilises</w:t>
      </w:r>
      <w:proofErr w:type="spellEnd"/>
      <w:r>
        <w:t xml:space="preserve"> at a slightly worse local optimum. The </w:t>
      </w:r>
      <w:r>
        <w:t>training curves showed continued oscillation in the no-scheduling variant beyond epoch 15, while the scheduled variant had clearly converged. The scheduling earns its place.</w:t>
      </w:r>
    </w:p>
    <w:p w:rsidR="00D24CFF" w:rsidRDefault="00D24CFF"/>
    <w:p w:rsidR="00D24CFF" w:rsidRDefault="00F52FA6">
      <w:pPr>
        <w:pStyle w:val="Heading1"/>
        <w:pBdr>
          <w:bottom w:val="single" w:sz="6" w:space="1" w:color="1F4E79"/>
        </w:pBdr>
      </w:pPr>
      <w:r>
        <w:t>5. Error Analysis</w:t>
      </w:r>
    </w:p>
    <w:p w:rsidR="00D24CFF" w:rsidRDefault="00F52FA6">
      <w:pPr>
        <w:pStyle w:val="Heading2"/>
      </w:pPr>
      <w:r>
        <w:t>5.1 Quantitative Error Analysis</w:t>
      </w:r>
    </w:p>
    <w:p w:rsidR="00D24CFF" w:rsidRDefault="00F52FA6">
      <w:pPr>
        <w:pStyle w:val="Heading3"/>
      </w:pPr>
      <w:r>
        <w:t>Confusion Matrix (</w:t>
      </w:r>
      <w:proofErr w:type="spellStart"/>
      <w:r>
        <w:t>Normalised</w:t>
      </w:r>
      <w:proofErr w:type="spellEnd"/>
      <w:r>
        <w:t xml:space="preserve">, </w:t>
      </w:r>
      <w:r>
        <w:t>Seed 42)</w:t>
      </w:r>
    </w:p>
    <w:p w:rsidR="00D24CFF" w:rsidRDefault="00F52FA6">
      <w:pPr>
        <w:spacing w:before="80" w:after="80"/>
        <w:jc w:val="both"/>
      </w:pPr>
      <w:r>
        <w:t>The row-</w:t>
      </w:r>
      <w:proofErr w:type="spellStart"/>
      <w:r>
        <w:t>normalised</w:t>
      </w:r>
      <w:proofErr w:type="spellEnd"/>
      <w:r>
        <w:t xml:space="preserve"> confusion matrix reveals that Sand is most often confused with Fog (12.4% of Sand images predicted as Fog) and with Rain (9.1%). Fog is occasionally confused with Rain (6.8%) and vice versa. Snow has the cleanest diagonal (recal</w:t>
      </w:r>
      <w:r>
        <w:t xml:space="preserve">l ~84%), likely because snow introduces distinctive visual patterns (white ground cover, altered sky </w:t>
      </w:r>
      <w:proofErr w:type="spellStart"/>
      <w:r>
        <w:t>colour</w:t>
      </w:r>
      <w:proofErr w:type="spellEnd"/>
      <w:r>
        <w:t>) absent in the other three classes.</w:t>
      </w:r>
    </w:p>
    <w:p w:rsidR="00D24CFF" w:rsidRDefault="00D24CFF">
      <w:pPr>
        <w:spacing w:before="80" w:after="80"/>
      </w:pPr>
    </w:p>
    <w:p w:rsidR="00D24CFF" w:rsidRDefault="00F52FA6">
      <w:pPr>
        <w:spacing w:before="160" w:after="80"/>
        <w:jc w:val="center"/>
      </w:pPr>
      <w:r>
        <w:rPr>
          <w:b/>
          <w:bCs/>
        </w:rPr>
        <w:t xml:space="preserve">Table 4: </w:t>
      </w:r>
      <w:proofErr w:type="spellStart"/>
      <w:r>
        <w:rPr>
          <w:b/>
          <w:bCs/>
        </w:rPr>
        <w:t>Normalised</w:t>
      </w:r>
      <w:proofErr w:type="spellEnd"/>
      <w:r>
        <w:rPr>
          <w:b/>
          <w:bCs/>
        </w:rPr>
        <w:t xml:space="preserve"> Confusion Matrix (%, Seed 42)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950"/>
        <w:gridCol w:w="1950"/>
        <w:gridCol w:w="1950"/>
        <w:gridCol w:w="1950"/>
      </w:tblGrid>
      <w:tr w:rsidR="00D24CFF">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 xml:space="preserve">True \ </w:t>
            </w:r>
            <w:proofErr w:type="spellStart"/>
            <w:r>
              <w:rPr>
                <w:b/>
                <w:bCs/>
                <w:sz w:val="20"/>
                <w:szCs w:val="20"/>
              </w:rPr>
              <w:t>Pred</w:t>
            </w:r>
            <w:proofErr w:type="spellEnd"/>
          </w:p>
        </w:tc>
        <w:tc>
          <w:tcPr>
            <w:tcW w:w="195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Fog</w:t>
            </w:r>
          </w:p>
        </w:tc>
        <w:tc>
          <w:tcPr>
            <w:tcW w:w="195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Rain</w:t>
            </w:r>
          </w:p>
        </w:tc>
        <w:tc>
          <w:tcPr>
            <w:tcW w:w="195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Snow</w:t>
            </w:r>
          </w:p>
        </w:tc>
        <w:tc>
          <w:tcPr>
            <w:tcW w:w="195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Sand</w:t>
            </w:r>
          </w:p>
        </w:tc>
      </w:tr>
      <w:tr w:rsidR="00D24CFF">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Fog</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83.5%</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6.8%</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5.1%</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4.6%</w:t>
            </w:r>
          </w:p>
        </w:tc>
      </w:tr>
      <w:tr w:rsidR="00D24CFF">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Rain</w:t>
            </w:r>
          </w:p>
        </w:tc>
        <w:tc>
          <w:tcPr>
            <w:tcW w:w="195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5.2%</w:t>
            </w:r>
          </w:p>
        </w:tc>
        <w:tc>
          <w:tcPr>
            <w:tcW w:w="195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85.1%</w:t>
            </w:r>
          </w:p>
        </w:tc>
        <w:tc>
          <w:tcPr>
            <w:tcW w:w="195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4.3%</w:t>
            </w:r>
          </w:p>
        </w:tc>
        <w:tc>
          <w:tcPr>
            <w:tcW w:w="195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5.4%</w:t>
            </w:r>
          </w:p>
        </w:tc>
      </w:tr>
      <w:tr w:rsidR="00D24CFF">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Snow</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4.1%</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3.8%</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84.3%</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7.8%</w:t>
            </w:r>
          </w:p>
        </w:tc>
      </w:tr>
      <w:tr w:rsidR="00D24CFF">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rsidR="00D24CFF" w:rsidRDefault="00F52FA6">
            <w:r>
              <w:rPr>
                <w:sz w:val="19"/>
                <w:szCs w:val="19"/>
              </w:rPr>
              <w:t>Sand</w:t>
            </w:r>
          </w:p>
        </w:tc>
        <w:tc>
          <w:tcPr>
            <w:tcW w:w="195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rsidR="00D24CFF" w:rsidRDefault="00F52FA6">
            <w:r>
              <w:rPr>
                <w:sz w:val="19"/>
                <w:szCs w:val="19"/>
              </w:rPr>
              <w:t>12.4%</w:t>
            </w:r>
          </w:p>
        </w:tc>
        <w:tc>
          <w:tcPr>
            <w:tcW w:w="195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rsidR="00D24CFF" w:rsidRDefault="00F52FA6">
            <w:r>
              <w:rPr>
                <w:sz w:val="19"/>
                <w:szCs w:val="19"/>
              </w:rPr>
              <w:t>9.1%</w:t>
            </w:r>
          </w:p>
        </w:tc>
        <w:tc>
          <w:tcPr>
            <w:tcW w:w="195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rsidR="00D24CFF" w:rsidRDefault="00F52FA6">
            <w:r>
              <w:rPr>
                <w:sz w:val="19"/>
                <w:szCs w:val="19"/>
              </w:rPr>
              <w:t>6.6%</w:t>
            </w:r>
          </w:p>
        </w:tc>
        <w:tc>
          <w:tcPr>
            <w:tcW w:w="195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rsidR="00D24CFF" w:rsidRDefault="00F52FA6">
            <w:r>
              <w:rPr>
                <w:sz w:val="19"/>
                <w:szCs w:val="19"/>
              </w:rPr>
              <w:t>71.9%</w:t>
            </w:r>
          </w:p>
        </w:tc>
      </w:tr>
    </w:tbl>
    <w:p w:rsidR="00D24CFF" w:rsidRDefault="00D24CFF">
      <w:pPr>
        <w:spacing w:before="80" w:after="80"/>
      </w:pPr>
    </w:p>
    <w:p w:rsidR="00D24CFF" w:rsidRDefault="00F52FA6">
      <w:pPr>
        <w:pStyle w:val="Heading3"/>
      </w:pPr>
      <w:r>
        <w:t>Calibration Analysis (ECE)</w:t>
      </w:r>
    </w:p>
    <w:p w:rsidR="00D24CFF" w:rsidRDefault="00F52FA6">
      <w:pPr>
        <w:spacing w:before="80" w:after="80"/>
        <w:jc w:val="both"/>
      </w:pPr>
      <w:r>
        <w:t>Expected Calibration Error (ECE) was computed by binning predictions into 10 equal-width probability bins and measuring the gap between mean predicted probability and empirical accuracy. ECE = 0.068 (seed 42). The reliability diagram shows that the model i</w:t>
      </w:r>
      <w:r>
        <w:t xml:space="preserve">s slightly overconfident for high-confidence predictions (probability &gt; 0.85): the empirical accuracy in those bins is approximately 3–5 points below the predicted probability. This pattern is consistent across </w:t>
      </w:r>
      <w:r>
        <w:lastRenderedPageBreak/>
        <w:t>seeds. A post-hoc temperature scaling calibra</w:t>
      </w:r>
      <w:r>
        <w:t>tion step with T = 1.4 would reduce ECE to approximately 0.031.</w:t>
      </w:r>
    </w:p>
    <w:p w:rsidR="00D24CFF" w:rsidRDefault="00D24CFF">
      <w:pPr>
        <w:spacing w:before="80" w:after="80"/>
      </w:pPr>
    </w:p>
    <w:p w:rsidR="00D24CFF" w:rsidRDefault="00F52FA6">
      <w:pPr>
        <w:pStyle w:val="Heading2"/>
      </w:pPr>
      <w:r>
        <w:t>5.2 Qualitative Error Analysis</w:t>
      </w:r>
    </w:p>
    <w:p w:rsidR="00D24CFF" w:rsidRDefault="00F52FA6">
      <w:pPr>
        <w:spacing w:before="80" w:after="80"/>
        <w:jc w:val="both"/>
      </w:pPr>
      <w:r>
        <w:t>Fifty wrong predictions (seed 42) were manually inspected. The errors were grouped into five categories:</w:t>
      </w:r>
    </w:p>
    <w:p w:rsidR="00D24CFF" w:rsidRDefault="00D24CFF">
      <w:pPr>
        <w:spacing w:before="80" w:after="80"/>
      </w:pPr>
    </w:p>
    <w:p w:rsidR="00D24CFF" w:rsidRDefault="00F52FA6">
      <w:pPr>
        <w:spacing w:before="160" w:after="80"/>
        <w:jc w:val="center"/>
      </w:pPr>
      <w:r>
        <w:rPr>
          <w:b/>
          <w:bCs/>
        </w:rPr>
        <w:t>Table 5: Qualitative Error Categories (50 Wrong Predic</w:t>
      </w:r>
      <w:r>
        <w:rPr>
          <w:b/>
          <w:bCs/>
        </w:rPr>
        <w:t>tions, Seed 42)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5460"/>
      </w:tblGrid>
      <w:tr w:rsidR="00D24CFF">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Category</w:t>
            </w:r>
          </w:p>
        </w:tc>
        <w:tc>
          <w:tcPr>
            <w:tcW w:w="13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Count (%)</w:t>
            </w:r>
          </w:p>
        </w:tc>
        <w:tc>
          <w:tcPr>
            <w:tcW w:w="546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Description</w:t>
            </w:r>
          </w:p>
        </w:tc>
      </w:tr>
      <w:tr w:rsidR="00D24CF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Ambiguous boundary conditions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16 (32%)</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Light sand haze visually indistinguishable from heavy fog; light drizzle resembles thin fog layers. Likely reducible only with higher-resolution inputs or depth cues.</w:t>
            </w:r>
          </w:p>
        </w:tc>
      </w:tr>
      <w:tr w:rsidR="00D24CF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rsidR="00D24CFF" w:rsidRDefault="00F52FA6">
            <w:r>
              <w:rPr>
                <w:sz w:val="19"/>
                <w:szCs w:val="19"/>
              </w:rPr>
              <w:t>Structural label noise</w:t>
            </w:r>
          </w:p>
        </w:tc>
        <w:tc>
          <w:tcPr>
            <w:tcW w:w="13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rsidR="00D24CFF" w:rsidRDefault="00F52FA6">
            <w:r>
              <w:rPr>
                <w:sz w:val="19"/>
                <w:szCs w:val="19"/>
              </w:rPr>
              <w:t>12 (24%)</w:t>
            </w:r>
          </w:p>
        </w:tc>
        <w:tc>
          <w:tcPr>
            <w:tcW w:w="54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rsidR="00D24CFF" w:rsidRDefault="00F52FA6">
            <w:r>
              <w:rPr>
                <w:sz w:val="19"/>
                <w:szCs w:val="19"/>
              </w:rPr>
              <w:t>Images where the folder-based DAWN label appears inconsistent with the visible weather (e.g., clear sky with no precipitation but labelled Sand). Cannot be fixed without re-annotation.</w:t>
            </w:r>
          </w:p>
        </w:tc>
      </w:tr>
      <w:tr w:rsidR="00D24CF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Sensor artefacts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9 (18%)</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Lens flare, overexposed frames, and motion blur that degrade visual features. The model predicts a weather class plausibly but incorrectly.</w:t>
            </w:r>
          </w:p>
        </w:tc>
      </w:tr>
      <w:tr w:rsidR="00D24CF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Near-duplicate class textures</w:t>
            </w:r>
          </w:p>
        </w:tc>
        <w:tc>
          <w:tcPr>
            <w:tcW w:w="13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8 (16%)</w:t>
            </w:r>
          </w:p>
        </w:tc>
        <w:tc>
          <w:tcPr>
            <w:tcW w:w="54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 xml:space="preserve">Sand and Fog share similar opacity and </w:t>
            </w:r>
            <w:proofErr w:type="spellStart"/>
            <w:r>
              <w:rPr>
                <w:sz w:val="19"/>
                <w:szCs w:val="19"/>
              </w:rPr>
              <w:t>colour</w:t>
            </w:r>
            <w:proofErr w:type="spellEnd"/>
            <w:r>
              <w:rPr>
                <w:sz w:val="19"/>
                <w:szCs w:val="19"/>
              </w:rPr>
              <w:t xml:space="preserve"> desaturation patterns at distance. The model is systematically uncertain on these pairs.</w:t>
            </w:r>
          </w:p>
        </w:tc>
      </w:tr>
      <w:tr w:rsidR="00D24CF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EECC"/>
            <w:tcMar>
              <w:top w:w="80" w:type="dxa"/>
              <w:left w:w="120" w:type="dxa"/>
              <w:bottom w:w="80" w:type="dxa"/>
              <w:right w:w="120" w:type="dxa"/>
            </w:tcMar>
            <w:vAlign w:val="center"/>
          </w:tcPr>
          <w:p w:rsidR="00D24CFF" w:rsidRDefault="00F52FA6">
            <w:r>
              <w:rPr>
                <w:sz w:val="19"/>
                <w:szCs w:val="19"/>
              </w:rPr>
              <w:t>Out-of-distribution inputs</w:t>
            </w:r>
          </w:p>
        </w:tc>
        <w:tc>
          <w:tcPr>
            <w:tcW w:w="1300" w:type="dxa"/>
            <w:tcBorders>
              <w:top w:val="single" w:sz="1" w:space="0" w:color="CCCCCC"/>
              <w:left w:val="single" w:sz="1" w:space="0" w:color="CCCCCC"/>
              <w:bottom w:val="single" w:sz="1" w:space="0" w:color="CCCCCC"/>
              <w:right w:val="single" w:sz="1" w:space="0" w:color="CCCCCC"/>
            </w:tcBorders>
            <w:shd w:val="clear" w:color="auto" w:fill="FFEECC"/>
            <w:tcMar>
              <w:top w:w="80" w:type="dxa"/>
              <w:left w:w="120" w:type="dxa"/>
              <w:bottom w:w="80" w:type="dxa"/>
              <w:right w:w="120" w:type="dxa"/>
            </w:tcMar>
            <w:vAlign w:val="center"/>
          </w:tcPr>
          <w:p w:rsidR="00D24CFF" w:rsidRDefault="00F52FA6">
            <w:r>
              <w:rPr>
                <w:sz w:val="19"/>
                <w:szCs w:val="19"/>
              </w:rPr>
              <w:t>5 (10%)</w:t>
            </w:r>
          </w:p>
        </w:tc>
        <w:tc>
          <w:tcPr>
            <w:tcW w:w="5460" w:type="dxa"/>
            <w:tcBorders>
              <w:top w:val="single" w:sz="1" w:space="0" w:color="CCCCCC"/>
              <w:left w:val="single" w:sz="1" w:space="0" w:color="CCCCCC"/>
              <w:bottom w:val="single" w:sz="1" w:space="0" w:color="CCCCCC"/>
              <w:right w:val="single" w:sz="1" w:space="0" w:color="CCCCCC"/>
            </w:tcBorders>
            <w:shd w:val="clear" w:color="auto" w:fill="FFEECC"/>
            <w:tcMar>
              <w:top w:w="80" w:type="dxa"/>
              <w:left w:w="120" w:type="dxa"/>
              <w:bottom w:w="80" w:type="dxa"/>
              <w:right w:w="120" w:type="dxa"/>
            </w:tcMar>
            <w:vAlign w:val="center"/>
          </w:tcPr>
          <w:p w:rsidR="00D24CFF" w:rsidRDefault="00F52FA6">
            <w:r>
              <w:rPr>
                <w:sz w:val="19"/>
                <w:szCs w:val="19"/>
              </w:rPr>
              <w:t>Night-time images or extremely dark frames not well-represented in training. Prediction confidence is typically lower on these.</w:t>
            </w:r>
          </w:p>
        </w:tc>
      </w:tr>
    </w:tbl>
    <w:p w:rsidR="00D24CFF" w:rsidRDefault="00D24CFF">
      <w:pPr>
        <w:spacing w:before="80" w:after="80"/>
      </w:pPr>
    </w:p>
    <w:p w:rsidR="00D24CFF" w:rsidRDefault="00F52FA6">
      <w:pPr>
        <w:spacing w:before="80" w:after="80"/>
        <w:jc w:val="both"/>
      </w:pPr>
      <w:r>
        <w:t>Proposed fix for the largest category (ambiguous boundary conditions): incorporating temporal context (e.g., treating consecutive video frames as a sequence input to a lightweight LSTM or 3D convolutional layer) would allow the model to distinguish gradual</w:t>
      </w:r>
      <w:r>
        <w:t xml:space="preserve"> fog onset from sand particulate events, which differ in temporal dynamics.</w:t>
      </w:r>
    </w:p>
    <w:p w:rsidR="00D24CFF" w:rsidRDefault="00D24CFF">
      <w:pPr>
        <w:spacing w:before="80" w:after="80"/>
      </w:pPr>
    </w:p>
    <w:p w:rsidR="00D24CFF" w:rsidRDefault="00F52FA6">
      <w:pPr>
        <w:pStyle w:val="Heading2"/>
      </w:pPr>
      <w:r>
        <w:t>5.3 Hard-Example Mining</w:t>
      </w:r>
    </w:p>
    <w:p w:rsidR="00D24CFF" w:rsidRDefault="00F52FA6">
      <w:pPr>
        <w:spacing w:before="80" w:after="80"/>
        <w:jc w:val="both"/>
      </w:pPr>
      <w:r>
        <w:t>The 20 test examples with highest prediction entropy (most uncertain model outputs) were inspected. Of these:</w:t>
      </w:r>
    </w:p>
    <w:p w:rsidR="00D24CFF" w:rsidRDefault="00F52FA6">
      <w:pPr>
        <w:pStyle w:val="ListParagraph"/>
        <w:numPr>
          <w:ilvl w:val="0"/>
          <w:numId w:val="2"/>
        </w:numPr>
        <w:spacing w:before="60" w:after="60"/>
      </w:pPr>
      <w:r>
        <w:t>9 were genuine ambiguous-boundary images (San</w:t>
      </w:r>
      <w:r>
        <w:t>d/Fog overlap) — hard even for a human annotator</w:t>
      </w:r>
    </w:p>
    <w:p w:rsidR="00D24CFF" w:rsidRDefault="00F52FA6">
      <w:pPr>
        <w:pStyle w:val="ListParagraph"/>
        <w:numPr>
          <w:ilvl w:val="0"/>
          <w:numId w:val="2"/>
        </w:numPr>
        <w:spacing w:before="60" w:after="60"/>
      </w:pPr>
      <w:r>
        <w:t xml:space="preserve">6 appeared to be </w:t>
      </w:r>
      <w:proofErr w:type="spellStart"/>
      <w:r>
        <w:t>mislabelled</w:t>
      </w:r>
      <w:proofErr w:type="spellEnd"/>
      <w:r>
        <w:t xml:space="preserve"> (correct visual weather ≠ folder label)</w:t>
      </w:r>
    </w:p>
    <w:p w:rsidR="00D24CFF" w:rsidRDefault="00F52FA6">
      <w:pPr>
        <w:pStyle w:val="ListParagraph"/>
        <w:numPr>
          <w:ilvl w:val="0"/>
          <w:numId w:val="2"/>
        </w:numPr>
        <w:spacing w:before="60" w:after="60"/>
      </w:pPr>
      <w:r>
        <w:t>3 were severe sensor-noise frames (almost entirely overexposed or black)</w:t>
      </w:r>
    </w:p>
    <w:p w:rsidR="00D24CFF" w:rsidRDefault="00F52FA6">
      <w:pPr>
        <w:pStyle w:val="ListParagraph"/>
        <w:numPr>
          <w:ilvl w:val="0"/>
          <w:numId w:val="2"/>
        </w:numPr>
        <w:spacing w:before="60" w:after="60"/>
      </w:pPr>
      <w:r>
        <w:t>2 were clear night-time images labelled as Fog — an OOD input typ</w:t>
      </w:r>
      <w:r>
        <w:t>e</w:t>
      </w:r>
    </w:p>
    <w:p w:rsidR="00D24CFF" w:rsidRDefault="00D24CFF">
      <w:pPr>
        <w:spacing w:before="80" w:after="80"/>
      </w:pPr>
    </w:p>
    <w:p w:rsidR="00D24CFF" w:rsidRDefault="00F52FA6">
      <w:pPr>
        <w:spacing w:before="80" w:after="80"/>
        <w:jc w:val="both"/>
      </w:pPr>
      <w:r>
        <w:lastRenderedPageBreak/>
        <w:t xml:space="preserve">The proportion of likely </w:t>
      </w:r>
      <w:proofErr w:type="spellStart"/>
      <w:r>
        <w:t>mislabelled</w:t>
      </w:r>
      <w:proofErr w:type="spellEnd"/>
      <w:r>
        <w:t xml:space="preserve"> examples in the hard-example pool (30%) is higher than in the general error population (24%), confirming that hard examples cluster around label noise. Cleaning even the 20 most uncertain training images would likely</w:t>
      </w:r>
      <w:r>
        <w:t xml:space="preserve"> reduce ECE and improve Sand recall.</w:t>
      </w:r>
    </w:p>
    <w:p w:rsidR="00D24CFF" w:rsidRDefault="00D24CFF"/>
    <w:p w:rsidR="00D24CFF" w:rsidRDefault="00F52FA6">
      <w:pPr>
        <w:pStyle w:val="Heading1"/>
        <w:pBdr>
          <w:bottom w:val="single" w:sz="6" w:space="1" w:color="1F4E79"/>
        </w:pBdr>
      </w:pPr>
      <w:r>
        <w:t>6. Robustness Analysis</w:t>
      </w:r>
    </w:p>
    <w:p w:rsidR="00D24CFF" w:rsidRDefault="00F52FA6">
      <w:pPr>
        <w:spacing w:before="80" w:after="80"/>
        <w:jc w:val="both"/>
      </w:pPr>
      <w:r>
        <w:t xml:space="preserve">Four robustness probes were applied to the test set using </w:t>
      </w:r>
      <w:proofErr w:type="spellStart"/>
      <w:r>
        <w:t>Albumentations</w:t>
      </w:r>
      <w:proofErr w:type="spellEnd"/>
      <w:r>
        <w:t xml:space="preserve"> perturbations. For each probe, performance was measured at five perturbation strengths. The baseline (clean test set) accuracy is 81.29%.</w:t>
      </w:r>
    </w:p>
    <w:p w:rsidR="00D24CFF" w:rsidRDefault="00D24CFF">
      <w:pPr>
        <w:spacing w:before="80" w:after="80"/>
      </w:pPr>
    </w:p>
    <w:p w:rsidR="00D24CFF" w:rsidRDefault="00F52FA6">
      <w:pPr>
        <w:pStyle w:val="Heading2"/>
      </w:pPr>
      <w:r>
        <w:t>6.1 Probe 1: Gaussian Noise</w:t>
      </w:r>
    </w:p>
    <w:p w:rsidR="00D24CFF" w:rsidRDefault="00F52FA6">
      <w:pPr>
        <w:spacing w:before="80" w:after="80"/>
        <w:jc w:val="both"/>
      </w:pPr>
      <w:r>
        <w:t>Gaussian noise w</w:t>
      </w:r>
      <w:r>
        <w:t>as added at variance levels σ² ∈ {0.001, 0.005, 0.01, 0.05, 0.1}. At low noise (σ² = 0.001), accuracy dropped only 0.8 pp. At moderate noise (σ² = 0.01), accuracy fell to ~77.4%. At severe noise (σ² = 0.1), accuracy dropped to ~63.2%. The model degrades gr</w:t>
      </w:r>
      <w:r>
        <w:t xml:space="preserve">acefully at low noise but shows accelerating decay beyond σ² = 0.01, suggesting the </w:t>
      </w:r>
      <w:proofErr w:type="spellStart"/>
      <w:r>
        <w:t>EfficientNet</w:t>
      </w:r>
      <w:proofErr w:type="spellEnd"/>
      <w:r>
        <w:t xml:space="preserve"> feature extractor is sensitive to high-frequency pixel corruption. Augmenting training with Gaussian noise would likely shift the graceful-degradation range.</w:t>
      </w:r>
    </w:p>
    <w:p w:rsidR="00D24CFF" w:rsidRDefault="00D24CFF">
      <w:pPr>
        <w:spacing w:before="80" w:after="80"/>
      </w:pPr>
    </w:p>
    <w:p w:rsidR="00D24CFF" w:rsidRDefault="00F52FA6">
      <w:pPr>
        <w:spacing w:before="80" w:after="80"/>
        <w:jc w:val="center"/>
      </w:pPr>
      <w:r>
        <w:rPr>
          <w:b/>
          <w:bCs/>
        </w:rPr>
        <w:t>Table 6: Gaussian Noise Degradation Curve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D24CFF">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Noise σ²</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0 (clean)</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0.001</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0.005</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0.01</w:t>
            </w:r>
          </w:p>
        </w:tc>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0.05</w:t>
            </w:r>
          </w:p>
        </w:tc>
      </w:tr>
      <w:tr w:rsidR="00D24CFF">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Accuracy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81.29%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80.5%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78.9%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77.4%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70.1%</w:t>
            </w:r>
          </w:p>
        </w:tc>
      </w:tr>
    </w:tbl>
    <w:p w:rsidR="00D24CFF" w:rsidRDefault="00D24CFF">
      <w:pPr>
        <w:spacing w:before="80" w:after="80"/>
      </w:pPr>
    </w:p>
    <w:p w:rsidR="00D24CFF" w:rsidRDefault="00F52FA6">
      <w:pPr>
        <w:pStyle w:val="Heading2"/>
      </w:pPr>
      <w:r>
        <w:t>6.2 Probe 2: Brightness and Contrast Shift</w:t>
      </w:r>
    </w:p>
    <w:p w:rsidR="00D24CFF" w:rsidRDefault="00F52FA6">
      <w:pPr>
        <w:spacing w:before="80" w:after="80"/>
        <w:jc w:val="both"/>
      </w:pPr>
      <w:r>
        <w:t xml:space="preserve">Brightness and contrast were shifted using </w:t>
      </w:r>
      <w:proofErr w:type="spellStart"/>
      <w:r>
        <w:t>Albumentations</w:t>
      </w:r>
      <w:proofErr w:type="spellEnd"/>
      <w:r>
        <w:t xml:space="preserve"> </w:t>
      </w:r>
      <w:proofErr w:type="spellStart"/>
      <w:r>
        <w:t>RandomBrightnessContrast</w:t>
      </w:r>
      <w:proofErr w:type="spellEnd"/>
      <w:r>
        <w:t xml:space="preserve"> at five levels (±10%, ±20%, ±30%, ±40%, ±50% from baseline). Accuracy degraded more slowly than under Gaussian noise, with a drop of only 2.1 pp at ±30% shift. At extreme sh</w:t>
      </w:r>
      <w:r>
        <w:t xml:space="preserve">ift (±50%), accuracy fell to ~74.8%. This robustness is expected — the ImageNet pre-training included diverse illumination conditions, and the training augmentation pipeline included </w:t>
      </w:r>
      <w:proofErr w:type="spellStart"/>
      <w:r>
        <w:t>colour</w:t>
      </w:r>
      <w:proofErr w:type="spellEnd"/>
      <w:r>
        <w:t xml:space="preserve"> jitter that approximates brightness/contrast shifts.</w:t>
      </w:r>
    </w:p>
    <w:p w:rsidR="00D24CFF" w:rsidRDefault="00D24CFF">
      <w:pPr>
        <w:spacing w:before="80" w:after="80"/>
      </w:pPr>
    </w:p>
    <w:p w:rsidR="00D24CFF" w:rsidRDefault="00F52FA6">
      <w:pPr>
        <w:pStyle w:val="Heading2"/>
      </w:pPr>
      <w:r>
        <w:t>6.3 Probe 3:</w:t>
      </w:r>
      <w:r>
        <w:t xml:space="preserve"> JPEG Compression</w:t>
      </w:r>
    </w:p>
    <w:p w:rsidR="00D24CFF" w:rsidRDefault="00F52FA6">
      <w:pPr>
        <w:spacing w:before="80" w:after="80"/>
        <w:jc w:val="both"/>
      </w:pPr>
      <w:r>
        <w:t>JPEG quality was varied from 100 (lossless) down to 10 (severe compression). Accuracy was largely unaffected above quality 50 (drop &lt; 1 pp). At quality 20, accuracy fell to ~78.1%. At quality 10 (severe blocking artefacts), accuracy reach</w:t>
      </w:r>
      <w:r>
        <w:t>ed ~72.3%. The model is reasonably robust to realistic JPEG compression (quality ≥ 50 covers most practical camera streams).</w:t>
      </w:r>
    </w:p>
    <w:p w:rsidR="00D24CFF" w:rsidRDefault="00D24CFF">
      <w:pPr>
        <w:spacing w:before="80" w:after="80"/>
      </w:pPr>
    </w:p>
    <w:p w:rsidR="00D24CFF" w:rsidRDefault="00F52FA6">
      <w:pPr>
        <w:pStyle w:val="Heading2"/>
      </w:pPr>
      <w:r>
        <w:t>6.4 Probe 4: Occlusion Patches</w:t>
      </w:r>
    </w:p>
    <w:p w:rsidR="00D24CFF" w:rsidRDefault="00F52FA6">
      <w:pPr>
        <w:spacing w:before="80" w:after="80"/>
        <w:jc w:val="both"/>
      </w:pPr>
      <w:r>
        <w:lastRenderedPageBreak/>
        <w:t>Random square patches (black) of increasing size were placed at random locations. Patch size varied</w:t>
      </w:r>
      <w:r>
        <w:t xml:space="preserve"> from 8×8 to 128×128 pixels on 224×224 inputs (3.6% to 57.1% of image area). At patch size 32×32 (~6% occluded), accuracy dropped only 1.2 pp. At 96×96 (~43% occluded), accuracy fell to ~71.6%. The model relies on global texture statistics distributed acro</w:t>
      </w:r>
      <w:r>
        <w:t>ss the image rather than a single discriminative region, which confers moderate spatial robustness.</w:t>
      </w:r>
    </w:p>
    <w:p w:rsidR="00D24CFF" w:rsidRDefault="00D24CFF"/>
    <w:p w:rsidR="00D24CFF" w:rsidRDefault="00F52FA6">
      <w:pPr>
        <w:pStyle w:val="Heading1"/>
        <w:pBdr>
          <w:bottom w:val="single" w:sz="6" w:space="1" w:color="1F4E79"/>
        </w:pBdr>
      </w:pPr>
      <w:r>
        <w:t>7. Efficiency and Compute Reporting</w:t>
      </w:r>
    </w:p>
    <w:p w:rsidR="00D24CFF" w:rsidRDefault="00F52FA6">
      <w:pPr>
        <w:pStyle w:val="Heading2"/>
      </w:pPr>
      <w:r>
        <w:t>7.1 Model Complexity</w:t>
      </w:r>
    </w:p>
    <w:p w:rsidR="00D24CFF" w:rsidRDefault="00F52FA6">
      <w:pPr>
        <w:spacing w:before="80" w:after="80"/>
        <w:jc w:val="center"/>
      </w:pPr>
      <w:r>
        <w:rPr>
          <w:b/>
          <w:bCs/>
        </w:rPr>
        <w:t>Table 7: Model Efficiency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24CFF">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Value</w:t>
            </w:r>
          </w:p>
        </w:tc>
      </w:tr>
      <w:tr w:rsidR="00D24CF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Total parameters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5.33M</w:t>
            </w:r>
          </w:p>
        </w:tc>
      </w:tr>
      <w:tr w:rsidR="00D24CF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Trainable parameters</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5.33M (all)</w:t>
            </w:r>
          </w:p>
        </w:tc>
      </w:tr>
      <w:tr w:rsidR="00D24CF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FLOPs per forward pass (</w:t>
            </w:r>
            <w:proofErr w:type="spellStart"/>
            <w:r>
              <w:rPr>
                <w:sz w:val="19"/>
                <w:szCs w:val="19"/>
              </w:rPr>
              <w:t>thop</w:t>
            </w:r>
            <w:proofErr w:type="spellEnd"/>
            <w:r>
              <w:rPr>
                <w:sz w:val="19"/>
                <w:szCs w:val="19"/>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~0.39 GFLOPs</w:t>
            </w:r>
          </w:p>
        </w:tc>
      </w:tr>
      <w:tr w:rsidR="00D24CF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Inference latency — single sample (GPU)</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 xml:space="preserve">8.2 </w:t>
            </w:r>
            <w:proofErr w:type="spellStart"/>
            <w:r>
              <w:rPr>
                <w:sz w:val="19"/>
                <w:szCs w:val="19"/>
              </w:rPr>
              <w:t>ms</w:t>
            </w:r>
            <w:proofErr w:type="spellEnd"/>
            <w:r>
              <w:rPr>
                <w:sz w:val="19"/>
                <w:szCs w:val="19"/>
              </w:rPr>
              <w:t xml:space="preserve"> (excl. warmup)</w:t>
            </w:r>
          </w:p>
        </w:tc>
      </w:tr>
      <w:tr w:rsidR="00D24CF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Inference latency — batch 32 (GPU)</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 xml:space="preserve">3.1 </w:t>
            </w:r>
            <w:proofErr w:type="spellStart"/>
            <w:r>
              <w:rPr>
                <w:sz w:val="19"/>
                <w:szCs w:val="19"/>
              </w:rPr>
              <w:t>ms</w:t>
            </w:r>
            <w:proofErr w:type="spellEnd"/>
            <w:r>
              <w:rPr>
                <w:sz w:val="19"/>
                <w:szCs w:val="19"/>
              </w:rPr>
              <w:t xml:space="preserve"> / sample</w:t>
            </w:r>
          </w:p>
        </w:tc>
      </w:tr>
      <w:tr w:rsidR="00D24CF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Peak GPU memory at inference (batch 32)</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~1.4 GB</w:t>
            </w:r>
          </w:p>
        </w:tc>
      </w:tr>
      <w:tr w:rsidR="00D24CF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Checkpoint size (disk)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~21 MB</w:t>
            </w:r>
          </w:p>
        </w:tc>
      </w:tr>
      <w:tr w:rsidR="00D24CF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Total training time (Phase 2–5)</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~6.8 GPU-hours</w:t>
            </w:r>
          </w:p>
        </w:tc>
      </w:tr>
      <w:tr w:rsidR="00D24CF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 xml:space="preserve">HPO study (Phase 4 </w:t>
            </w:r>
            <w:proofErr w:type="spellStart"/>
            <w:r>
              <w:rPr>
                <w:sz w:val="19"/>
                <w:szCs w:val="19"/>
              </w:rPr>
              <w:t>Optuna</w:t>
            </w:r>
            <w:proofErr w:type="spellEnd"/>
            <w:r>
              <w:rPr>
                <w:sz w:val="19"/>
                <w:szCs w:val="19"/>
              </w:rPr>
              <w:t>, 30 trials)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~2.1 GPU-hours</w:t>
            </w:r>
          </w:p>
        </w:tc>
      </w:tr>
    </w:tbl>
    <w:p w:rsidR="00D24CFF" w:rsidRDefault="00D24CFF">
      <w:pPr>
        <w:spacing w:before="80" w:after="80"/>
      </w:pPr>
    </w:p>
    <w:p w:rsidR="00D24CFF" w:rsidRDefault="00F52FA6">
      <w:pPr>
        <w:pStyle w:val="Heading2"/>
      </w:pPr>
      <w:r>
        <w:t>7.2 Pareto Analysis</w:t>
      </w:r>
    </w:p>
    <w:p w:rsidR="00D24CFF" w:rsidRDefault="00F52FA6">
      <w:pPr>
        <w:spacing w:before="80" w:after="80"/>
        <w:jc w:val="both"/>
      </w:pPr>
      <w:r>
        <w:t xml:space="preserve">Three capacity variants were also trained as part of Ablation A1/A4: the full EfficientNet-B0 (5.33M params, 81.3% accuracy), a half-width variant (2.7M, 78.4%), and a MobileNetV3-Small substitute (2.5M, 75.9%). The full EfficientNet-B0 sits at a </w:t>
      </w:r>
      <w:proofErr w:type="spellStart"/>
      <w:r>
        <w:t>favourabl</w:t>
      </w:r>
      <w:r>
        <w:t>e</w:t>
      </w:r>
      <w:proofErr w:type="spellEnd"/>
      <w:r>
        <w:t xml:space="preserve"> point on the accuracy-vs-parameter Pareto frontier for this problem scale. A deployment requiring sub-2-second latency on CPU would likely </w:t>
      </w:r>
      <w:proofErr w:type="spellStart"/>
      <w:r>
        <w:t>favour</w:t>
      </w:r>
      <w:proofErr w:type="spellEnd"/>
      <w:r>
        <w:t xml:space="preserve"> MobileNetV3-Small at a 5-point accuracy cost.</w:t>
      </w:r>
    </w:p>
    <w:p w:rsidR="00D24CFF" w:rsidRDefault="00F52FA6">
      <w:r>
        <w:br w:type="page"/>
      </w:r>
    </w:p>
    <w:p w:rsidR="00D24CFF" w:rsidRDefault="00F52FA6">
      <w:pPr>
        <w:pStyle w:val="Heading1"/>
        <w:pBdr>
          <w:bottom w:val="single" w:sz="6" w:space="1" w:color="1F4E79"/>
        </w:pBdr>
      </w:pPr>
      <w:r>
        <w:lastRenderedPageBreak/>
        <w:t>8. Comparison with Published Work</w:t>
      </w:r>
    </w:p>
    <w:p w:rsidR="00D24CFF" w:rsidRDefault="00F52FA6">
      <w:pPr>
        <w:spacing w:before="80" w:after="80"/>
        <w:jc w:val="both"/>
      </w:pPr>
      <w:r>
        <w:t>The following published re</w:t>
      </w:r>
      <w:r>
        <w:t>sults were identified for adverse-weather classification and detection tasks on or closely related to the DAWN dataset. Comparisons are noted with explicit asymmetries.</w:t>
      </w:r>
    </w:p>
    <w:p w:rsidR="00D24CFF" w:rsidRDefault="00D24CFF">
      <w:pPr>
        <w:spacing w:before="80" w:after="80"/>
      </w:pPr>
    </w:p>
    <w:p w:rsidR="00D24CFF" w:rsidRDefault="00F52FA6">
      <w:pPr>
        <w:spacing w:before="80" w:after="80"/>
        <w:jc w:val="center"/>
      </w:pPr>
      <w:r>
        <w:rPr>
          <w:b/>
          <w:bCs/>
        </w:rPr>
        <w:t>Table 8: Comparison with Published Work</w:t>
      </w:r>
    </w:p>
    <w:tbl>
      <w:tblPr>
        <w:tblW w:w="9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4"/>
        <w:gridCol w:w="1609"/>
        <w:gridCol w:w="1341"/>
        <w:gridCol w:w="1341"/>
        <w:gridCol w:w="2951"/>
      </w:tblGrid>
      <w:tr w:rsidR="00D24CFF" w:rsidTr="000437EC">
        <w:tblPrEx>
          <w:tblCellMar>
            <w:top w:w="0" w:type="dxa"/>
            <w:bottom w:w="0" w:type="dxa"/>
          </w:tblCellMar>
        </w:tblPrEx>
        <w:trPr>
          <w:trHeight w:val="237"/>
          <w:tblHeader/>
        </w:trPr>
        <w:tc>
          <w:tcPr>
            <w:tcW w:w="2414"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Method</w:t>
            </w:r>
          </w:p>
        </w:tc>
        <w:tc>
          <w:tcPr>
            <w:tcW w:w="1609"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Accuracy</w:t>
            </w:r>
          </w:p>
        </w:tc>
        <w:tc>
          <w:tcPr>
            <w:tcW w:w="1341"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Dataset</w:t>
            </w:r>
          </w:p>
        </w:tc>
        <w:tc>
          <w:tcPr>
            <w:tcW w:w="1341"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Year</w:t>
            </w:r>
          </w:p>
        </w:tc>
        <w:tc>
          <w:tcPr>
            <w:tcW w:w="2951"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Notes / Asymmetries</w:t>
            </w:r>
          </w:p>
        </w:tc>
      </w:tr>
      <w:tr w:rsidR="00D24CFF" w:rsidTr="000437EC">
        <w:tblPrEx>
          <w:tblCellMar>
            <w:top w:w="0" w:type="dxa"/>
            <w:bottom w:w="0" w:type="dxa"/>
          </w:tblCellMar>
        </w:tblPrEx>
        <w:trPr>
          <w:trHeight w:val="445"/>
        </w:trPr>
        <w:tc>
          <w:tcPr>
            <w:tcW w:w="2414"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D24CFF" w:rsidRDefault="00F52FA6">
            <w:r>
              <w:rPr>
                <w:sz w:val="19"/>
                <w:szCs w:val="19"/>
              </w:rPr>
              <w:t>This work (EfficientNet-B0)</w:t>
            </w:r>
          </w:p>
        </w:tc>
        <w:tc>
          <w:tcPr>
            <w:tcW w:w="1609"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D24CFF" w:rsidRDefault="00F52FA6">
            <w:r>
              <w:rPr>
                <w:sz w:val="19"/>
                <w:szCs w:val="19"/>
              </w:rPr>
              <w:t>81.29%</w:t>
            </w:r>
          </w:p>
        </w:tc>
        <w:tc>
          <w:tcPr>
            <w:tcW w:w="1341"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D24CFF" w:rsidRDefault="00F52FA6">
            <w:r>
              <w:rPr>
                <w:sz w:val="19"/>
                <w:szCs w:val="19"/>
              </w:rPr>
              <w:t>DAWN (4-class)</w:t>
            </w:r>
          </w:p>
        </w:tc>
        <w:tc>
          <w:tcPr>
            <w:tcW w:w="1341"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D24CFF" w:rsidRDefault="00F52FA6">
            <w:r>
              <w:rPr>
                <w:sz w:val="19"/>
                <w:szCs w:val="19"/>
              </w:rPr>
              <w:t>2026</w:t>
            </w:r>
          </w:p>
        </w:tc>
        <w:tc>
          <w:tcPr>
            <w:tcW w:w="2951"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D24CFF" w:rsidRDefault="000437EC">
            <w:r>
              <w:t xml:space="preserve">Compatible, Advanced for detection in adverse weather conditions </w:t>
            </w:r>
          </w:p>
        </w:tc>
      </w:tr>
      <w:tr w:rsidR="00D24CFF" w:rsidTr="000437EC">
        <w:tblPrEx>
          <w:tblCellMar>
            <w:top w:w="0" w:type="dxa"/>
            <w:bottom w:w="0" w:type="dxa"/>
          </w:tblCellMar>
        </w:tblPrEx>
        <w:trPr>
          <w:trHeight w:val="445"/>
        </w:trPr>
        <w:tc>
          <w:tcPr>
            <w:tcW w:w="24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proofErr w:type="spellStart"/>
            <w:r>
              <w:rPr>
                <w:sz w:val="19"/>
                <w:szCs w:val="19"/>
              </w:rPr>
              <w:t>Hassaballah</w:t>
            </w:r>
            <w:proofErr w:type="spellEnd"/>
            <w:r>
              <w:rPr>
                <w:sz w:val="19"/>
                <w:szCs w:val="19"/>
              </w:rPr>
              <w:t xml:space="preserve"> et al. (SVM + HOG)</w:t>
            </w:r>
          </w:p>
        </w:tc>
        <w:tc>
          <w:tcPr>
            <w:tcW w:w="16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63.4%</w:t>
            </w:r>
          </w:p>
        </w:tc>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DAWN (4-class)</w:t>
            </w:r>
          </w:p>
        </w:tc>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2021</w:t>
            </w:r>
          </w:p>
        </w:tc>
        <w:tc>
          <w:tcPr>
            <w:tcW w:w="29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Hand-crafted features; no DL. Direct comparison.</w:t>
            </w:r>
          </w:p>
        </w:tc>
      </w:tr>
      <w:tr w:rsidR="00D24CFF" w:rsidTr="000437EC">
        <w:tblPrEx>
          <w:tblCellMar>
            <w:top w:w="0" w:type="dxa"/>
            <w:bottom w:w="0" w:type="dxa"/>
          </w:tblCellMar>
        </w:tblPrEx>
        <w:trPr>
          <w:trHeight w:val="876"/>
        </w:trPr>
        <w:tc>
          <w:tcPr>
            <w:tcW w:w="2414"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proofErr w:type="spellStart"/>
            <w:r>
              <w:rPr>
                <w:sz w:val="19"/>
                <w:szCs w:val="19"/>
              </w:rPr>
              <w:t>Kenk</w:t>
            </w:r>
            <w:proofErr w:type="spellEnd"/>
            <w:r>
              <w:rPr>
                <w:sz w:val="19"/>
                <w:szCs w:val="19"/>
              </w:rPr>
              <w:t xml:space="preserve"> &amp; </w:t>
            </w:r>
            <w:proofErr w:type="spellStart"/>
            <w:r>
              <w:rPr>
                <w:sz w:val="19"/>
                <w:szCs w:val="19"/>
              </w:rPr>
              <w:t>Hassaballah</w:t>
            </w:r>
            <w:proofErr w:type="spellEnd"/>
            <w:r>
              <w:rPr>
                <w:sz w:val="19"/>
                <w:szCs w:val="19"/>
              </w:rPr>
              <w:t xml:space="preserve"> (ResNet-50)</w:t>
            </w:r>
          </w:p>
        </w:tc>
        <w:tc>
          <w:tcPr>
            <w:tcW w:w="1609"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78.1%</w:t>
            </w:r>
          </w:p>
        </w:tc>
        <w:tc>
          <w:tcPr>
            <w:tcW w:w="1341"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DAWN (4-class)</w:t>
            </w:r>
          </w:p>
        </w:tc>
        <w:tc>
          <w:tcPr>
            <w:tcW w:w="1341"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2020</w:t>
            </w:r>
          </w:p>
        </w:tc>
        <w:tc>
          <w:tcPr>
            <w:tcW w:w="2951"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Same dataset, same 4 classes, similar split. Closest comparison. We outperform by ~3.2 pp.</w:t>
            </w:r>
          </w:p>
        </w:tc>
      </w:tr>
      <w:tr w:rsidR="00D24CFF" w:rsidTr="000437EC">
        <w:tblPrEx>
          <w:tblCellMar>
            <w:top w:w="0" w:type="dxa"/>
            <w:bottom w:w="0" w:type="dxa"/>
          </w:tblCellMar>
        </w:tblPrEx>
        <w:trPr>
          <w:trHeight w:val="668"/>
        </w:trPr>
        <w:tc>
          <w:tcPr>
            <w:tcW w:w="2414"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rsidR="00D24CFF" w:rsidRDefault="00F52FA6">
            <w:r>
              <w:rPr>
                <w:sz w:val="19"/>
                <w:szCs w:val="19"/>
              </w:rPr>
              <w:t>Narayanan et al. (</w:t>
            </w:r>
            <w:proofErr w:type="spellStart"/>
            <w:r>
              <w:rPr>
                <w:sz w:val="19"/>
                <w:szCs w:val="19"/>
              </w:rPr>
              <w:t>ViT</w:t>
            </w:r>
            <w:proofErr w:type="spellEnd"/>
            <w:r>
              <w:rPr>
                <w:sz w:val="19"/>
                <w:szCs w:val="19"/>
              </w:rPr>
              <w:t>-B/16 fine-tuned)</w:t>
            </w:r>
          </w:p>
        </w:tc>
        <w:tc>
          <w:tcPr>
            <w:tcW w:w="1609"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rsidR="00D24CFF" w:rsidRDefault="00F52FA6">
            <w:r>
              <w:rPr>
                <w:sz w:val="19"/>
                <w:szCs w:val="19"/>
              </w:rPr>
              <w:t>89.4%</w:t>
            </w:r>
          </w:p>
        </w:tc>
        <w:tc>
          <w:tcPr>
            <w:tcW w:w="1341"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rsidR="00D24CFF" w:rsidRDefault="00F52FA6">
            <w:r>
              <w:rPr>
                <w:sz w:val="19"/>
                <w:szCs w:val="19"/>
              </w:rPr>
              <w:t>DAWN + external data</w:t>
            </w:r>
          </w:p>
        </w:tc>
        <w:tc>
          <w:tcPr>
            <w:tcW w:w="1341"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rsidR="00D24CFF" w:rsidRDefault="00F52FA6">
            <w:r>
              <w:rPr>
                <w:sz w:val="19"/>
                <w:szCs w:val="19"/>
              </w:rPr>
              <w:t>2023</w:t>
            </w:r>
          </w:p>
        </w:tc>
        <w:tc>
          <w:tcPr>
            <w:tcW w:w="2951"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rsidR="00D24CFF" w:rsidRDefault="00F52FA6">
            <w:r>
              <w:rPr>
                <w:sz w:val="19"/>
                <w:szCs w:val="19"/>
              </w:rPr>
              <w:t>Uses 3× more data; Vision Transformer; different train/test split. NOT directly comparable.</w:t>
            </w:r>
          </w:p>
        </w:tc>
      </w:tr>
      <w:tr w:rsidR="00D24CFF" w:rsidTr="000437EC">
        <w:tblPrEx>
          <w:tblCellMar>
            <w:top w:w="0" w:type="dxa"/>
            <w:bottom w:w="0" w:type="dxa"/>
          </w:tblCellMar>
        </w:tblPrEx>
        <w:trPr>
          <w:trHeight w:val="1084"/>
        </w:trPr>
        <w:tc>
          <w:tcPr>
            <w:tcW w:w="24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Mirza et al. (EfficientNet-B3 + CBAM)</w:t>
            </w:r>
          </w:p>
        </w:tc>
        <w:tc>
          <w:tcPr>
            <w:tcW w:w="16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85.7%</w:t>
            </w:r>
          </w:p>
        </w:tc>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DAWN (4-class)</w:t>
            </w:r>
          </w:p>
        </w:tc>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2022</w:t>
            </w:r>
          </w:p>
        </w:tc>
        <w:tc>
          <w:tcPr>
            <w:tcW w:w="29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Larger backbone (B3 vs B0, 12M vs 5.3M params); attention module. Approximately 4.4 pp gap explained by capacity.</w:t>
            </w:r>
          </w:p>
        </w:tc>
      </w:tr>
    </w:tbl>
    <w:p w:rsidR="00D24CFF" w:rsidRDefault="00D24CFF">
      <w:pPr>
        <w:spacing w:before="80" w:after="80"/>
      </w:pPr>
    </w:p>
    <w:p w:rsidR="00D24CFF" w:rsidRDefault="00F52FA6">
      <w:pPr>
        <w:spacing w:before="80" w:after="80"/>
        <w:jc w:val="both"/>
      </w:pPr>
      <w:r>
        <w:t xml:space="preserve">Our result (81.29%) compares </w:t>
      </w:r>
      <w:r w:rsidR="000437EC">
        <w:t>favorably</w:t>
      </w:r>
      <w:r>
        <w:t xml:space="preserve"> with ResNet-50 (</w:t>
      </w:r>
      <w:proofErr w:type="spellStart"/>
      <w:r>
        <w:t>Kenk</w:t>
      </w:r>
      <w:proofErr w:type="spellEnd"/>
      <w:r>
        <w:t xml:space="preserve"> &amp; </w:t>
      </w:r>
      <w:proofErr w:type="spellStart"/>
      <w:r>
        <w:t>Hassaballah</w:t>
      </w:r>
      <w:proofErr w:type="spellEnd"/>
      <w:r>
        <w:t xml:space="preserve"> 2020) on the same dataset and split. The gap to Mirza et al. (85.7%) is attributable primarily to backbone capacity: EfficientNet-B3 has 12M parameters versus 5.3M, and additionally</w:t>
      </w:r>
      <w:r>
        <w:t xml:space="preserve"> incorporates channel-spatial attention. The </w:t>
      </w:r>
      <w:proofErr w:type="spellStart"/>
      <w:r>
        <w:t>ViT</w:t>
      </w:r>
      <w:proofErr w:type="spellEnd"/>
      <w:r>
        <w:t xml:space="preserve"> result (89.4%) is not a fair comparison due to additional training data and a different evaluation protocol.</w:t>
      </w:r>
    </w:p>
    <w:p w:rsidR="00D24CFF" w:rsidRDefault="00F52FA6">
      <w:pPr>
        <w:spacing w:before="80" w:after="80"/>
        <w:jc w:val="both"/>
      </w:pPr>
      <w:r>
        <w:t>We do not claim victory over the EfficientNet-B3 + CBAM result. Our model is computationally light</w:t>
      </w:r>
      <w:r>
        <w:t>er (5.3M vs 12M params, 0.39 vs 1.8 GFLOPs) and may be preferable in latency-constrained deployments.</w:t>
      </w:r>
    </w:p>
    <w:p w:rsidR="00D24CFF" w:rsidRDefault="00F52FA6">
      <w:r>
        <w:br w:type="page"/>
      </w:r>
    </w:p>
    <w:p w:rsidR="00D24CFF" w:rsidRDefault="00F52FA6">
      <w:pPr>
        <w:pStyle w:val="Heading1"/>
        <w:pBdr>
          <w:bottom w:val="single" w:sz="6" w:space="1" w:color="1F4E79"/>
        </w:pBdr>
      </w:pPr>
      <w:r>
        <w:lastRenderedPageBreak/>
        <w:t>9. Statistical Reporting</w:t>
      </w:r>
    </w:p>
    <w:p w:rsidR="00D24CFF" w:rsidRDefault="00F52FA6">
      <w:pPr>
        <w:pStyle w:val="Heading2"/>
      </w:pPr>
      <w:r>
        <w:t>9.1 Bootstrap Confidence Intervals (Primary Metric)</w:t>
      </w:r>
    </w:p>
    <w:p w:rsidR="00D24CFF" w:rsidRDefault="00F52FA6">
      <w:pPr>
        <w:spacing w:before="80" w:after="80"/>
        <w:jc w:val="both"/>
      </w:pPr>
      <w:r>
        <w:t>Bootstrap confidence intervals (1,000 resamples, seed 42) for test-set accu</w:t>
      </w:r>
      <w:r>
        <w:t>racy of the final model:</w:t>
      </w:r>
    </w:p>
    <w:p w:rsidR="00D24CFF" w:rsidRDefault="00F52FA6">
      <w:pPr>
        <w:pStyle w:val="ListParagraph"/>
        <w:numPr>
          <w:ilvl w:val="0"/>
          <w:numId w:val="2"/>
        </w:numPr>
        <w:spacing w:before="60" w:after="60"/>
      </w:pPr>
      <w:r>
        <w:t>Mean accuracy: 81.29%</w:t>
      </w:r>
    </w:p>
    <w:p w:rsidR="00D24CFF" w:rsidRDefault="00F52FA6">
      <w:pPr>
        <w:pStyle w:val="ListParagraph"/>
        <w:numPr>
          <w:ilvl w:val="0"/>
          <w:numId w:val="2"/>
        </w:numPr>
        <w:spacing w:before="60" w:after="60"/>
      </w:pPr>
      <w:r>
        <w:t>95% Bootstrap CI: [79.4%, 83.1%]</w:t>
      </w:r>
    </w:p>
    <w:p w:rsidR="00D24CFF" w:rsidRDefault="00F52FA6">
      <w:pPr>
        <w:pStyle w:val="ListParagraph"/>
        <w:numPr>
          <w:ilvl w:val="0"/>
          <w:numId w:val="2"/>
        </w:numPr>
        <w:spacing w:before="60" w:after="60"/>
      </w:pPr>
      <w:r>
        <w:t>99% Bootstrap CI: [78.7%, 83.8%]</w:t>
      </w:r>
    </w:p>
    <w:p w:rsidR="00D24CFF" w:rsidRDefault="00D24CFF">
      <w:pPr>
        <w:spacing w:before="80" w:after="80"/>
      </w:pPr>
    </w:p>
    <w:p w:rsidR="00D24CFF" w:rsidRDefault="00F52FA6">
      <w:pPr>
        <w:spacing w:before="80" w:after="80"/>
        <w:jc w:val="both"/>
      </w:pPr>
      <w:r>
        <w:t>The Phase 2 MLP baseline bootstrap CI is [45.2%, 50.3%] (95%), confirming the two intervals do not overlap and the gap is not a statistical artefact.</w:t>
      </w:r>
    </w:p>
    <w:p w:rsidR="00D24CFF" w:rsidRDefault="00D24CFF">
      <w:pPr>
        <w:spacing w:before="80" w:after="80"/>
      </w:pPr>
    </w:p>
    <w:p w:rsidR="00D24CFF" w:rsidRDefault="00F52FA6">
      <w:pPr>
        <w:pStyle w:val="Heading2"/>
      </w:pPr>
      <w:r>
        <w:t>9.2 Paired Statistical Tests</w:t>
      </w:r>
    </w:p>
    <w:p w:rsidR="00D24CFF" w:rsidRDefault="00F52FA6">
      <w:pPr>
        <w:spacing w:before="80" w:after="80"/>
        <w:jc w:val="both"/>
      </w:pPr>
      <w:r>
        <w:t xml:space="preserve">A paired t-test and a </w:t>
      </w:r>
      <w:proofErr w:type="spellStart"/>
      <w:r>
        <w:t>McNemar</w:t>
      </w:r>
      <w:proofErr w:type="spellEnd"/>
      <w:r>
        <w:t xml:space="preserve"> test were conducted comparing the final CNN mo</w:t>
      </w:r>
      <w:r>
        <w:t>del against the Phase 2 MLP baseline, using per-sample binary correctness vectors on the test set (same index alignment, trimmed to equal length).</w:t>
      </w:r>
    </w:p>
    <w:p w:rsidR="00D24CFF" w:rsidRDefault="00D24CFF">
      <w:pPr>
        <w:spacing w:before="80" w:after="80"/>
      </w:pPr>
    </w:p>
    <w:p w:rsidR="00D24CFF" w:rsidRDefault="00F52FA6">
      <w:pPr>
        <w:spacing w:before="80" w:after="80"/>
        <w:jc w:val="center"/>
      </w:pPr>
      <w:r>
        <w:rPr>
          <w:b/>
          <w:bCs/>
        </w:rPr>
        <w:t>Table 9: Statistical Test Results (Final CNN vs Phase 2 MLP)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24CFF">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Test</w:t>
            </w:r>
          </w:p>
        </w:tc>
        <w:tc>
          <w:tcPr>
            <w:tcW w:w="312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Statistic</w:t>
            </w:r>
          </w:p>
        </w:tc>
        <w:tc>
          <w:tcPr>
            <w:tcW w:w="312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rsidR="00D24CFF" w:rsidRDefault="00F52FA6">
            <w:r>
              <w:rPr>
                <w:b/>
                <w:bCs/>
                <w:sz w:val="20"/>
                <w:szCs w:val="20"/>
              </w:rPr>
              <w:t>p-value</w:t>
            </w:r>
          </w:p>
        </w:tc>
      </w:tr>
      <w:tr w:rsidR="00D24CF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Paired t-test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t = 6.6608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24CFF" w:rsidRDefault="00F52FA6">
            <w:r>
              <w:rPr>
                <w:sz w:val="19"/>
                <w:szCs w:val="19"/>
              </w:rPr>
              <w:t>p &lt; 0.000001</w:t>
            </w:r>
          </w:p>
        </w:tc>
      </w:tr>
      <w:tr w:rsidR="00D24CFF">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proofErr w:type="spellStart"/>
            <w:r>
              <w:rPr>
                <w:sz w:val="19"/>
                <w:szCs w:val="19"/>
              </w:rPr>
              <w:t>McNemar</w:t>
            </w:r>
            <w:proofErr w:type="spellEnd"/>
            <w:r>
              <w:rPr>
                <w:sz w:val="19"/>
                <w:szCs w:val="19"/>
              </w:rPr>
              <w:t xml:space="preserve"> test (exact)</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statistic = 13.0</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vAlign w:val="center"/>
          </w:tcPr>
          <w:p w:rsidR="00D24CFF" w:rsidRDefault="00F52FA6">
            <w:r>
              <w:rPr>
                <w:sz w:val="19"/>
                <w:szCs w:val="19"/>
              </w:rPr>
              <w:t>p &lt; 0.000001</w:t>
            </w:r>
          </w:p>
        </w:tc>
      </w:tr>
    </w:tbl>
    <w:p w:rsidR="00D24CFF" w:rsidRDefault="00D24CFF">
      <w:pPr>
        <w:spacing w:before="80" w:after="80"/>
      </w:pPr>
    </w:p>
    <w:p w:rsidR="00D24CFF" w:rsidRDefault="00F52FA6">
      <w:pPr>
        <w:pStyle w:val="Heading2"/>
      </w:pPr>
      <w:r>
        <w:t>9.3 Effect Size</w:t>
      </w:r>
    </w:p>
    <w:p w:rsidR="00D24CFF" w:rsidRDefault="00F52FA6">
      <w:pPr>
        <w:spacing w:before="80" w:after="80"/>
        <w:jc w:val="both"/>
      </w:pPr>
      <w:r>
        <w:t>Cohen's d was computed as the mean accuracy difference divided by pooled standard deviation: d = 0.7487. This falls in the medium-to-large range (0.5 &lt; d &lt; 0.8 = medium; d &gt; 0.8 = large). The 33.55 percentage-point gain is not only statistically significan</w:t>
      </w:r>
      <w:r>
        <w:t>t but also practically meaningful for any adverse-weather classification application.</w:t>
      </w:r>
    </w:p>
    <w:p w:rsidR="00D24CFF" w:rsidRDefault="00F52FA6">
      <w:pPr>
        <w:spacing w:before="80" w:after="80"/>
        <w:jc w:val="both"/>
      </w:pPr>
      <w:r>
        <w:t xml:space="preserve">Note that the paired t-test is consistent with the </w:t>
      </w:r>
      <w:proofErr w:type="spellStart"/>
      <w:r>
        <w:t>McNemar</w:t>
      </w:r>
      <w:proofErr w:type="spellEnd"/>
      <w:r>
        <w:t xml:space="preserve"> test here because the sample size is large enough (n ≈ 800) for the normal approximation to hold. Both tests co</w:t>
      </w:r>
      <w:r>
        <w:t>nverge on the same conclusion: the CNN's improvement over the MLP is real and large.</w:t>
      </w:r>
    </w:p>
    <w:p w:rsidR="00D24CFF" w:rsidRDefault="00F52FA6">
      <w:r>
        <w:br w:type="page"/>
      </w:r>
    </w:p>
    <w:p w:rsidR="00D24CFF" w:rsidRDefault="00F52FA6">
      <w:pPr>
        <w:pStyle w:val="Heading1"/>
        <w:pBdr>
          <w:bottom w:val="single" w:sz="6" w:space="1" w:color="1F4E79"/>
        </w:pBdr>
      </w:pPr>
      <w:r>
        <w:lastRenderedPageBreak/>
        <w:t>10. Limitations</w:t>
      </w:r>
    </w:p>
    <w:p w:rsidR="00D24CFF" w:rsidRDefault="00F52FA6">
      <w:pPr>
        <w:spacing w:before="80" w:after="80"/>
        <w:jc w:val="both"/>
      </w:pPr>
      <w:r>
        <w:t>This section documents the model's known limitations with the precision required for responsible deployment decisions. These limitations are not minor ca</w:t>
      </w:r>
      <w:r>
        <w:t>veats — each represents a real constraint on where and how the model should be trusted.</w:t>
      </w:r>
    </w:p>
    <w:p w:rsidR="00D24CFF" w:rsidRDefault="00D24CFF">
      <w:pPr>
        <w:spacing w:before="80" w:after="80"/>
      </w:pPr>
    </w:p>
    <w:p w:rsidR="00D24CFF" w:rsidRDefault="00F52FA6">
      <w:pPr>
        <w:pStyle w:val="Heading2"/>
      </w:pPr>
      <w:r>
        <w:t>10.1 Dataset Size and Representativeness</w:t>
      </w:r>
    </w:p>
    <w:p w:rsidR="00D24CFF" w:rsidRDefault="00F52FA6">
      <w:pPr>
        <w:spacing w:before="80" w:after="80"/>
        <w:jc w:val="both"/>
      </w:pPr>
      <w:r>
        <w:t>The DAWN dataset contains approximately 1,000 images per class for a total of ~4,000 images. This is small for fine-grained vi</w:t>
      </w:r>
      <w:r>
        <w:t xml:space="preserve">sual recognition. The images were collected from dashcam footage in a limited geographic region (predominantly European roads) during a constrained time period. Sand storms, for example, are geographically specific and the model has seen far fewer of them </w:t>
      </w:r>
      <w:r>
        <w:t>than fog or rain events at moderate intensity. Any deployment outside the original collection geography and sensor configuration should be treated with caution and would benefit from at least a lightweight fine-tuning pass on local data.</w:t>
      </w:r>
    </w:p>
    <w:p w:rsidR="00D24CFF" w:rsidRDefault="00D24CFF">
      <w:pPr>
        <w:spacing w:before="80" w:after="80"/>
      </w:pPr>
    </w:p>
    <w:p w:rsidR="00D24CFF" w:rsidRDefault="00F52FA6">
      <w:pPr>
        <w:pStyle w:val="Heading2"/>
      </w:pPr>
      <w:r>
        <w:t>10.2 Label Qualit</w:t>
      </w:r>
      <w:r>
        <w:t>y</w:t>
      </w:r>
    </w:p>
    <w:p w:rsidR="00D24CFF" w:rsidRDefault="00F52FA6">
      <w:pPr>
        <w:spacing w:before="80" w:after="80"/>
        <w:jc w:val="both"/>
      </w:pPr>
      <w:r>
        <w:t xml:space="preserve">DAWN annotations were generated from folder names rather than per-image expert labels. The qualitative error analysis found that approximately 24% of wrong predictions — and 30% of the hard-example pool — are plausibly </w:t>
      </w:r>
      <w:proofErr w:type="spellStart"/>
      <w:r>
        <w:t>mislabelled</w:t>
      </w:r>
      <w:proofErr w:type="spellEnd"/>
      <w:r>
        <w:t xml:space="preserve"> rather than genuinely wro</w:t>
      </w:r>
      <w:r>
        <w:t>ng predictions. There is no reliable mechanism in the current pipeline to flag or correct these labels. As a result, the true upper bound on achievable accuracy with this architecture may be higher than 81.29%, but cannot be estimated without re-annotation</w:t>
      </w:r>
      <w:r>
        <w:t>.</w:t>
      </w:r>
    </w:p>
    <w:p w:rsidR="00D24CFF" w:rsidRDefault="00D24CFF">
      <w:pPr>
        <w:spacing w:before="80" w:after="80"/>
      </w:pPr>
    </w:p>
    <w:p w:rsidR="00D24CFF" w:rsidRDefault="00F52FA6">
      <w:pPr>
        <w:pStyle w:val="Heading2"/>
      </w:pPr>
      <w:r>
        <w:t>10.3 Distribution Shift</w:t>
      </w:r>
    </w:p>
    <w:p w:rsidR="00D24CFF" w:rsidRDefault="00F52FA6">
      <w:pPr>
        <w:spacing w:before="80" w:after="80"/>
        <w:jc w:val="both"/>
      </w:pPr>
      <w:r>
        <w:t>The robustness probes confirm that accuracy degrades under increasing noise, compression, and occlusion. More importantly, none of the probes simulate the most realistic distribution shifts: (a) a different camera sensor with dif</w:t>
      </w:r>
      <w:r>
        <w:t>ferent spectral response, (b) images from a different time of day (night-time is underrepresented), or (c) weather conditions at unusual intensities (e.g., very light snow that looks like fog). The model should not be deployed in conditions materially diff</w:t>
      </w:r>
      <w:r>
        <w:t>erent from the DAWN collection without a prior robustness audit.</w:t>
      </w:r>
    </w:p>
    <w:p w:rsidR="00D24CFF" w:rsidRDefault="00D24CFF">
      <w:pPr>
        <w:spacing w:before="80" w:after="80"/>
      </w:pPr>
    </w:p>
    <w:p w:rsidR="00D24CFF" w:rsidRDefault="00F52FA6">
      <w:pPr>
        <w:pStyle w:val="Heading2"/>
      </w:pPr>
      <w:r>
        <w:t>10.4 Compute Budget</w:t>
      </w:r>
    </w:p>
    <w:p w:rsidR="00D24CFF" w:rsidRDefault="00F52FA6">
      <w:pPr>
        <w:spacing w:before="80" w:after="80"/>
        <w:jc w:val="both"/>
      </w:pPr>
      <w:r>
        <w:t xml:space="preserve">The </w:t>
      </w:r>
      <w:proofErr w:type="spellStart"/>
      <w:r>
        <w:t>Optuna</w:t>
      </w:r>
      <w:proofErr w:type="spellEnd"/>
      <w:r>
        <w:t xml:space="preserve"> HPO study in Phase 4 was limited to 30 trials of 10 epochs each due to Kaggle notebook runtime constraints (~2.1 GPU-hours). A full-length search (30 epochs × </w:t>
      </w:r>
      <w:r>
        <w:t>100 trials) would likely identify better hyperparameter configurations and could plausibly push validation accuracy above 84%. Similarly, training EfficientNet-B3 or B4 was not explored due to VRAM constraints. The published 85.7% (Mirza et al.) result wit</w:t>
      </w:r>
      <w:r>
        <w:t>h EfficientNet-B3 suggests that a larger backbone is the most accessible path to closing the performance gap.</w:t>
      </w:r>
    </w:p>
    <w:p w:rsidR="00D24CFF" w:rsidRDefault="00D24CFF">
      <w:pPr>
        <w:spacing w:before="80" w:after="80"/>
      </w:pPr>
    </w:p>
    <w:p w:rsidR="00D24CFF" w:rsidRDefault="00F52FA6">
      <w:pPr>
        <w:pStyle w:val="Heading2"/>
      </w:pPr>
      <w:r>
        <w:t>10.5 Fairness and Subgroup Disparities</w:t>
      </w:r>
    </w:p>
    <w:p w:rsidR="00D24CFF" w:rsidRDefault="00F52FA6">
      <w:pPr>
        <w:spacing w:before="80" w:after="80"/>
        <w:jc w:val="both"/>
      </w:pPr>
      <w:r>
        <w:lastRenderedPageBreak/>
        <w:t>The dataset does not include human demographic labels, so classical fairness analysis does not apply. Howe</w:t>
      </w:r>
      <w:r>
        <w:t xml:space="preserve">ver, the Sand class — which corresponds to geographic contexts (Middle Eastern/North African road conditions) not well-represented in European dashcam datasets — shows systematically lower recall (71.9%) compared to Fog (83.5%) and Rain (85.1%). This is a </w:t>
      </w:r>
      <w:r>
        <w:t>subgroup disparity by geography and deployment context. A model deployed in a region where sand events are common would perform materially worse than the headline accuracy implies.</w:t>
      </w:r>
    </w:p>
    <w:p w:rsidR="00D24CFF" w:rsidRDefault="00D24CFF">
      <w:pPr>
        <w:spacing w:before="80" w:after="80"/>
      </w:pPr>
    </w:p>
    <w:p w:rsidR="00D24CFF" w:rsidRDefault="00F52FA6">
      <w:pPr>
        <w:pStyle w:val="Heading2"/>
      </w:pPr>
      <w:r>
        <w:t>10.6 Failure Modes in Safety-Critical Deployment</w:t>
      </w:r>
    </w:p>
    <w:p w:rsidR="00D24CFF" w:rsidRDefault="00F52FA6">
      <w:pPr>
        <w:spacing w:before="80" w:after="80"/>
        <w:jc w:val="both"/>
      </w:pPr>
      <w:r>
        <w:t>The hard-example analysis</w:t>
      </w:r>
      <w:r>
        <w:t xml:space="preserve"> found that the model can produce high-confidence wrong predictions on ambiguous or noisy inputs. In a safety-critical application — such as adaptive cruise control adjusting </w:t>
      </w:r>
      <w:proofErr w:type="spellStart"/>
      <w:r>
        <w:t>behaviour</w:t>
      </w:r>
      <w:proofErr w:type="spellEnd"/>
      <w:r>
        <w:t xml:space="preserve"> based on inferred weather conditions — a confident misclassification of</w:t>
      </w:r>
      <w:r>
        <w:t xml:space="preserve"> a Sand event as Clear would be dangerous. The model has no built-in uncertainty quantification or out-of-distribution detection mechanism. Deploying it without an explicit confidence threshold, rejection option, or ensemble-based uncertainty estimate woul</w:t>
      </w:r>
      <w:r>
        <w:t>d be irresponsible.</w:t>
      </w:r>
    </w:p>
    <w:p w:rsidR="00D24CFF" w:rsidRDefault="00D24CFF">
      <w:pPr>
        <w:spacing w:before="80" w:after="80"/>
      </w:pPr>
    </w:p>
    <w:p w:rsidR="00D24CFF" w:rsidRDefault="00F52FA6">
      <w:pPr>
        <w:pStyle w:val="Heading2"/>
      </w:pPr>
      <w:r>
        <w:t>10.7 Calibration</w:t>
      </w:r>
    </w:p>
    <w:p w:rsidR="00D24CFF" w:rsidRDefault="00F52FA6">
      <w:pPr>
        <w:spacing w:before="80" w:after="80"/>
        <w:jc w:val="both"/>
      </w:pPr>
      <w:r>
        <w:t>ECE = 0.068 (seed 42). The reliability diagram shows overconfidence at probabilities above ~0.85. A post-hoc temperature scaling calibration step (T ≈ 1.4) would reduce ECE to ~0.031, and this step is strongly recommen</w:t>
      </w:r>
      <w:r>
        <w:t>ded before any deployment requiring calibrated probability outputs (e.g., systems that use confidence thresholds for triggering downstream actions).</w:t>
      </w:r>
    </w:p>
    <w:p w:rsidR="00D24CFF" w:rsidRDefault="00D24CFF">
      <w:pPr>
        <w:spacing w:before="80" w:after="80"/>
      </w:pPr>
    </w:p>
    <w:p w:rsidR="00D24CFF" w:rsidRDefault="00F52FA6">
      <w:pPr>
        <w:pStyle w:val="Heading2"/>
      </w:pPr>
      <w:r>
        <w:t>10.8 Threats to Validity</w:t>
      </w:r>
    </w:p>
    <w:p w:rsidR="00D24CFF" w:rsidRDefault="00F52FA6">
      <w:pPr>
        <w:spacing w:before="80" w:after="80"/>
        <w:jc w:val="both"/>
      </w:pPr>
      <w:r>
        <w:t xml:space="preserve">The test set was evaluated exactly once per the ceremony. However, the training pipeline was iteratively tuned across Phases 2–4 using validation accuracy. While the </w:t>
      </w:r>
      <w:proofErr w:type="spellStart"/>
      <w:r>
        <w:t>val</w:t>
      </w:r>
      <w:proofErr w:type="spellEnd"/>
      <w:r>
        <w:t>/test split was established in Phase 2 and not touched, the validation loss guided arch</w:t>
      </w:r>
      <w:r>
        <w:t xml:space="preserve">itectural and hyperparameter decisions for 8+ weeks before Phase 5. This creates a weak but real information channel between the validation signal and the test-set evaluation. The reported test number is honest and unbiased in a technical sense (no direct </w:t>
      </w:r>
      <w:r>
        <w:t>test-set tuning) but should not be treated as a guarantee of performance on truly novel deployments.</w:t>
      </w:r>
    </w:p>
    <w:p w:rsidR="00D24CFF" w:rsidRDefault="00F52FA6">
      <w:r>
        <w:br w:type="page"/>
      </w:r>
    </w:p>
    <w:p w:rsidR="00D24CFF" w:rsidRDefault="00F52FA6">
      <w:pPr>
        <w:pStyle w:val="Heading1"/>
        <w:pBdr>
          <w:bottom w:val="single" w:sz="6" w:space="1" w:color="1F4E79"/>
        </w:pBdr>
      </w:pPr>
      <w:r>
        <w:lastRenderedPageBreak/>
        <w:t>11. Plan for Phase 6 (Deployment and Final Integration)</w:t>
      </w:r>
    </w:p>
    <w:p w:rsidR="00D24CFF" w:rsidRDefault="00F52FA6">
      <w:pPr>
        <w:spacing w:before="80" w:after="80"/>
        <w:jc w:val="both"/>
      </w:pPr>
      <w:r>
        <w:t>Phase 6 addresses deployment, final presentation, and system integration. Based on the findings o</w:t>
      </w:r>
      <w:r>
        <w:t xml:space="preserve">f this evaluation, the following items are </w:t>
      </w:r>
      <w:proofErr w:type="spellStart"/>
      <w:r>
        <w:t>prioritised</w:t>
      </w:r>
      <w:proofErr w:type="spellEnd"/>
      <w:r>
        <w:t>:</w:t>
      </w:r>
    </w:p>
    <w:p w:rsidR="00D24CFF" w:rsidRDefault="00D24CFF">
      <w:pPr>
        <w:spacing w:before="80" w:after="80"/>
      </w:pPr>
    </w:p>
    <w:p w:rsidR="00D24CFF" w:rsidRDefault="00F52FA6">
      <w:pPr>
        <w:pStyle w:val="Heading2"/>
      </w:pPr>
      <w:r>
        <w:t>11.1 Post-Hoc Calibration</w:t>
      </w:r>
    </w:p>
    <w:p w:rsidR="00D24CFF" w:rsidRDefault="00F52FA6">
      <w:pPr>
        <w:spacing w:before="80" w:after="80"/>
        <w:jc w:val="both"/>
      </w:pPr>
      <w:r>
        <w:t>Implement temperature scaling on the validation set (T ≈ 1.4) and verify ECE reduction. This is a one-shot fix that requires no re-training and directly addresses the calibr</w:t>
      </w:r>
      <w:r>
        <w:t>ation limitation documented above.</w:t>
      </w:r>
    </w:p>
    <w:p w:rsidR="00D24CFF" w:rsidRDefault="00D24CFF">
      <w:pPr>
        <w:spacing w:before="80" w:after="80"/>
      </w:pPr>
    </w:p>
    <w:p w:rsidR="00D24CFF" w:rsidRDefault="00F52FA6">
      <w:pPr>
        <w:pStyle w:val="Heading2"/>
      </w:pPr>
      <w:r>
        <w:t>11.2 Confidence Thresholding and Rejection</w:t>
      </w:r>
    </w:p>
    <w:p w:rsidR="00D24CFF" w:rsidRDefault="00F52FA6">
      <w:pPr>
        <w:spacing w:before="80" w:after="80"/>
        <w:jc w:val="both"/>
      </w:pPr>
      <w:r>
        <w:t>Add an explicit rejection option: if max predicted probability is below a tunable threshold τ (suggested τ = 0.6 as starting point), the model returns "uncertain" rather than a class label. This addresses the safety-critical failure mode.</w:t>
      </w:r>
    </w:p>
    <w:p w:rsidR="00D24CFF" w:rsidRDefault="00D24CFF">
      <w:pPr>
        <w:spacing w:before="80" w:after="80"/>
      </w:pPr>
    </w:p>
    <w:p w:rsidR="00D24CFF" w:rsidRDefault="00F52FA6">
      <w:pPr>
        <w:pStyle w:val="Heading2"/>
      </w:pPr>
      <w:r>
        <w:t>11.3 Model Packa</w:t>
      </w:r>
      <w:r>
        <w:t>ging and Inference API</w:t>
      </w:r>
    </w:p>
    <w:p w:rsidR="00D24CFF" w:rsidRDefault="00F52FA6">
      <w:pPr>
        <w:spacing w:before="80" w:after="80"/>
        <w:jc w:val="both"/>
      </w:pPr>
      <w:r>
        <w:t xml:space="preserve">Export the final model to ONNX format for hardware-agnostic deployment. Wrap in a </w:t>
      </w:r>
      <w:proofErr w:type="spellStart"/>
      <w:r>
        <w:t>FastAPI</w:t>
      </w:r>
      <w:proofErr w:type="spellEnd"/>
      <w:r>
        <w:t xml:space="preserve"> endpoint with batch support. Document expected input format (224×224 RGB, ImageNet </w:t>
      </w:r>
      <w:proofErr w:type="spellStart"/>
      <w:r>
        <w:t>normalisation</w:t>
      </w:r>
      <w:proofErr w:type="spellEnd"/>
      <w:r>
        <w:t>) and output format (class probabilities + temp</w:t>
      </w:r>
      <w:r>
        <w:t>erature-scaled calibrated confidence).</w:t>
      </w:r>
    </w:p>
    <w:p w:rsidR="00D24CFF" w:rsidRDefault="00D24CFF">
      <w:pPr>
        <w:spacing w:before="80" w:after="80"/>
      </w:pPr>
    </w:p>
    <w:p w:rsidR="00D24CFF" w:rsidRDefault="00F52FA6">
      <w:pPr>
        <w:pStyle w:val="Heading2"/>
      </w:pPr>
      <w:r>
        <w:t>11.4 Demo and Presentation</w:t>
      </w:r>
    </w:p>
    <w:p w:rsidR="00D24CFF" w:rsidRDefault="00F52FA6">
      <w:pPr>
        <w:spacing w:before="80" w:after="80"/>
        <w:jc w:val="both"/>
      </w:pPr>
      <w:r>
        <w:t>Prepare a live demo on a subset of DAWN test images and a small set of novel images collected from publicly available dashcam footage. The demo should visually demonstrate both correct pred</w:t>
      </w:r>
      <w:r>
        <w:t xml:space="preserve">ictions and the rejection </w:t>
      </w:r>
      <w:proofErr w:type="spellStart"/>
      <w:r>
        <w:t>behaviour</w:t>
      </w:r>
      <w:proofErr w:type="spellEnd"/>
      <w:r>
        <w:t xml:space="preserve"> on ambiguous inputs, directly illustrating the limitations documented in this report.</w:t>
      </w:r>
    </w:p>
    <w:p w:rsidR="00D24CFF" w:rsidRDefault="00D24CFF">
      <w:pPr>
        <w:spacing w:before="80" w:after="80"/>
      </w:pPr>
    </w:p>
    <w:p w:rsidR="00D24CFF" w:rsidRDefault="00F52FA6">
      <w:pPr>
        <w:pStyle w:val="Heading2"/>
      </w:pPr>
      <w:r>
        <w:t>11.5 Final Report Integration</w:t>
      </w:r>
    </w:p>
    <w:p w:rsidR="00D24CFF" w:rsidRDefault="00F52FA6">
      <w:pPr>
        <w:spacing w:before="80" w:after="80"/>
        <w:jc w:val="both"/>
      </w:pPr>
      <w:r>
        <w:t>Integrate Phases 1–5 findings into the final capstone report. The limitations section of the Phase 5 re</w:t>
      </w:r>
      <w:r>
        <w:t>port will be carried forward with minimal modification, as it represents the team's honest post-evaluation assessment of the system.</w:t>
      </w:r>
    </w:p>
    <w:p w:rsidR="00D24CFF" w:rsidRDefault="00D24CFF" w:rsidP="000437EC"/>
    <w:sectPr w:rsidR="00D24CF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52FA6" w:rsidRDefault="00F52FA6">
      <w:r>
        <w:separator/>
      </w:r>
    </w:p>
  </w:endnote>
  <w:endnote w:type="continuationSeparator" w:id="0">
    <w:p w:rsidR="00F52FA6" w:rsidRDefault="00F52F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4CFF" w:rsidRDefault="00F52FA6">
    <w:pPr>
      <w:pBdr>
        <w:top w:val="single" w:sz="4" w:space="1" w:color="CCCCCC"/>
      </w:pBdr>
      <w:tabs>
        <w:tab w:val="right" w:pos="9360"/>
      </w:tabs>
      <w:spacing w:before="120"/>
    </w:pPr>
    <w:r>
      <w:rPr>
        <w:color w:val="888888"/>
        <w:sz w:val="18"/>
        <w:szCs w:val="18"/>
      </w:rPr>
      <w:t>Confidential — Course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52FA6" w:rsidRDefault="00F52FA6">
      <w:r>
        <w:separator/>
      </w:r>
    </w:p>
  </w:footnote>
  <w:footnote w:type="continuationSeparator" w:id="0">
    <w:p w:rsidR="00F52FA6" w:rsidRDefault="00F52F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4CFF" w:rsidRDefault="00F52FA6">
    <w:pPr>
      <w:pBdr>
        <w:bottom w:val="single" w:sz="6" w:space="1" w:color="2E75B6"/>
      </w:pBdr>
      <w:spacing w:after="160"/>
    </w:pPr>
    <w:r>
      <w:rPr>
        <w:color w:val="555555"/>
        <w:sz w:val="18"/>
        <w:szCs w:val="18"/>
      </w:rPr>
      <w:t xml:space="preserve">AI335L Deep Learning </w:t>
    </w:r>
    <w:proofErr w:type="gramStart"/>
    <w:r>
      <w:rPr>
        <w:color w:val="555555"/>
        <w:sz w:val="18"/>
        <w:szCs w:val="18"/>
      </w:rPr>
      <w:t>Lab  |</w:t>
    </w:r>
    <w:proofErr w:type="gramEnd"/>
    <w:r>
      <w:rPr>
        <w:color w:val="555555"/>
        <w:sz w:val="18"/>
        <w:szCs w:val="18"/>
      </w:rPr>
      <w:t xml:space="preserve">  Phase 5 Evaluation Report  |  DAWN Adverse Weather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A7491C"/>
    <w:multiLevelType w:val="hybridMultilevel"/>
    <w:tmpl w:val="DA046A10"/>
    <w:lvl w:ilvl="0" w:tplc="7338959E">
      <w:start w:val="1"/>
      <w:numFmt w:val="decimal"/>
      <w:lvlText w:val="%1."/>
      <w:lvlJc w:val="left"/>
      <w:pPr>
        <w:ind w:left="720" w:hanging="360"/>
      </w:pPr>
    </w:lvl>
    <w:lvl w:ilvl="1" w:tplc="4196A71C">
      <w:numFmt w:val="decimal"/>
      <w:lvlText w:val=""/>
      <w:lvlJc w:val="left"/>
    </w:lvl>
    <w:lvl w:ilvl="2" w:tplc="765E67F4">
      <w:numFmt w:val="decimal"/>
      <w:lvlText w:val=""/>
      <w:lvlJc w:val="left"/>
    </w:lvl>
    <w:lvl w:ilvl="3" w:tplc="6774590C">
      <w:numFmt w:val="decimal"/>
      <w:lvlText w:val=""/>
      <w:lvlJc w:val="left"/>
    </w:lvl>
    <w:lvl w:ilvl="4" w:tplc="B4A6DCFA">
      <w:numFmt w:val="decimal"/>
      <w:lvlText w:val=""/>
      <w:lvlJc w:val="left"/>
    </w:lvl>
    <w:lvl w:ilvl="5" w:tplc="F6C22C5E">
      <w:numFmt w:val="decimal"/>
      <w:lvlText w:val=""/>
      <w:lvlJc w:val="left"/>
    </w:lvl>
    <w:lvl w:ilvl="6" w:tplc="8F1CAF9A">
      <w:numFmt w:val="decimal"/>
      <w:lvlText w:val=""/>
      <w:lvlJc w:val="left"/>
    </w:lvl>
    <w:lvl w:ilvl="7" w:tplc="3834A910">
      <w:numFmt w:val="decimal"/>
      <w:lvlText w:val=""/>
      <w:lvlJc w:val="left"/>
    </w:lvl>
    <w:lvl w:ilvl="8" w:tplc="45D2092C">
      <w:numFmt w:val="decimal"/>
      <w:lvlText w:val=""/>
      <w:lvlJc w:val="left"/>
    </w:lvl>
  </w:abstractNum>
  <w:abstractNum w:abstractNumId="1" w15:restartNumberingAfterBreak="0">
    <w:nsid w:val="7245127E"/>
    <w:multiLevelType w:val="hybridMultilevel"/>
    <w:tmpl w:val="3F9C8DB2"/>
    <w:lvl w:ilvl="0" w:tplc="62B2BE4A">
      <w:start w:val="1"/>
      <w:numFmt w:val="bullet"/>
      <w:lvlText w:val="●"/>
      <w:lvlJc w:val="left"/>
      <w:pPr>
        <w:ind w:left="720" w:hanging="360"/>
      </w:pPr>
    </w:lvl>
    <w:lvl w:ilvl="1" w:tplc="A5A2A41A">
      <w:start w:val="1"/>
      <w:numFmt w:val="bullet"/>
      <w:lvlText w:val="○"/>
      <w:lvlJc w:val="left"/>
      <w:pPr>
        <w:ind w:left="1440" w:hanging="360"/>
      </w:pPr>
    </w:lvl>
    <w:lvl w:ilvl="2" w:tplc="0330A392">
      <w:start w:val="1"/>
      <w:numFmt w:val="bullet"/>
      <w:lvlText w:val="■"/>
      <w:lvlJc w:val="left"/>
      <w:pPr>
        <w:ind w:left="2160" w:hanging="360"/>
      </w:pPr>
    </w:lvl>
    <w:lvl w:ilvl="3" w:tplc="9CB08EFC">
      <w:start w:val="1"/>
      <w:numFmt w:val="bullet"/>
      <w:lvlText w:val="●"/>
      <w:lvlJc w:val="left"/>
      <w:pPr>
        <w:ind w:left="2880" w:hanging="360"/>
      </w:pPr>
    </w:lvl>
    <w:lvl w:ilvl="4" w:tplc="F10E3018">
      <w:start w:val="1"/>
      <w:numFmt w:val="bullet"/>
      <w:lvlText w:val="○"/>
      <w:lvlJc w:val="left"/>
      <w:pPr>
        <w:ind w:left="3600" w:hanging="360"/>
      </w:pPr>
    </w:lvl>
    <w:lvl w:ilvl="5" w:tplc="6FF8051C">
      <w:start w:val="1"/>
      <w:numFmt w:val="bullet"/>
      <w:lvlText w:val="■"/>
      <w:lvlJc w:val="left"/>
      <w:pPr>
        <w:ind w:left="4320" w:hanging="360"/>
      </w:pPr>
    </w:lvl>
    <w:lvl w:ilvl="6" w:tplc="7562B926">
      <w:start w:val="1"/>
      <w:numFmt w:val="bullet"/>
      <w:lvlText w:val="●"/>
      <w:lvlJc w:val="left"/>
      <w:pPr>
        <w:ind w:left="5040" w:hanging="360"/>
      </w:pPr>
    </w:lvl>
    <w:lvl w:ilvl="7" w:tplc="65CCD9D2">
      <w:start w:val="1"/>
      <w:numFmt w:val="bullet"/>
      <w:lvlText w:val="●"/>
      <w:lvlJc w:val="left"/>
      <w:pPr>
        <w:ind w:left="5760" w:hanging="360"/>
      </w:pPr>
    </w:lvl>
    <w:lvl w:ilvl="8" w:tplc="E572DC52">
      <w:start w:val="1"/>
      <w:numFmt w:val="bullet"/>
      <w:lvlText w:val="●"/>
      <w:lvlJc w:val="left"/>
      <w:pPr>
        <w:ind w:left="6480" w:hanging="360"/>
      </w:pPr>
    </w:lvl>
  </w:abstractNum>
  <w:abstractNum w:abstractNumId="2" w15:restartNumberingAfterBreak="0">
    <w:nsid w:val="73EE30B7"/>
    <w:multiLevelType w:val="hybridMultilevel"/>
    <w:tmpl w:val="0D0841CC"/>
    <w:lvl w:ilvl="0" w:tplc="8A02E4E4">
      <w:start w:val="1"/>
      <w:numFmt w:val="bullet"/>
      <w:lvlText w:val="•"/>
      <w:lvlJc w:val="left"/>
      <w:pPr>
        <w:ind w:left="720" w:hanging="360"/>
      </w:pPr>
    </w:lvl>
    <w:lvl w:ilvl="1" w:tplc="80662F60">
      <w:numFmt w:val="decimal"/>
      <w:lvlText w:val=""/>
      <w:lvlJc w:val="left"/>
    </w:lvl>
    <w:lvl w:ilvl="2" w:tplc="CBB465DC">
      <w:numFmt w:val="decimal"/>
      <w:lvlText w:val=""/>
      <w:lvlJc w:val="left"/>
    </w:lvl>
    <w:lvl w:ilvl="3" w:tplc="1B4A6A96">
      <w:numFmt w:val="decimal"/>
      <w:lvlText w:val=""/>
      <w:lvlJc w:val="left"/>
    </w:lvl>
    <w:lvl w:ilvl="4" w:tplc="9D5C531A">
      <w:numFmt w:val="decimal"/>
      <w:lvlText w:val=""/>
      <w:lvlJc w:val="left"/>
    </w:lvl>
    <w:lvl w:ilvl="5" w:tplc="978EAD02">
      <w:numFmt w:val="decimal"/>
      <w:lvlText w:val=""/>
      <w:lvlJc w:val="left"/>
    </w:lvl>
    <w:lvl w:ilvl="6" w:tplc="D1A68D1A">
      <w:numFmt w:val="decimal"/>
      <w:lvlText w:val=""/>
      <w:lvlJc w:val="left"/>
    </w:lvl>
    <w:lvl w:ilvl="7" w:tplc="99F825D0">
      <w:numFmt w:val="decimal"/>
      <w:lvlText w:val=""/>
      <w:lvlJc w:val="left"/>
    </w:lvl>
    <w:lvl w:ilvl="8" w:tplc="E1FC2200">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CFF"/>
    <w:rsid w:val="000437EC"/>
    <w:rsid w:val="00D24CFF"/>
    <w:rsid w:val="00F52F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2D22D"/>
  <w15:docId w15:val="{B1B7B0C9-05F6-44BA-B402-EDA28F6B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3688</Words>
  <Characters>21027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abc</cp:lastModifiedBy>
  <cp:revision>2</cp:revision>
  <dcterms:created xsi:type="dcterms:W3CDTF">2026-06-02T21:01:00Z</dcterms:created>
  <dcterms:modified xsi:type="dcterms:W3CDTF">2026-06-02T21:01:00Z</dcterms:modified>
</cp:coreProperties>
</file>