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rPr>
          <w:color w:val="FF0000"/>
        </w:rPr>
        <w:t>6.1 Introduction</w:t>
      </w:r>
    </w:p>
    <w:p>
      <w:pPr/>
      <w:r>
        <w:rPr>
          <w:color w:val="FF0000"/>
        </w:rP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rPr>
          <w:color w:val="FF0000"/>
        </w:rP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rPr>
          <w:color w:val="FF0000"/>
        </w:rP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rPr>
          <w:color w:val="FF0000"/>
        </w:rPr>
        <w:t>6.2 Decentralised Identifiers and Verifiable Credentials</w:t>
      </w:r>
    </w:p>
    <w:p>
      <w:pPr/>
      <w:r>
        <w:rPr>
          <w:color w:val="FF0000"/>
        </w:rP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rPr>
          <w:color w:val="FF0000"/>
        </w:rPr>
        <w:t>6.2.1 Decentralised Identifiers</w:t>
      </w:r>
    </w:p>
    <w:p>
      <w:pPr/>
      <w:r>
        <w:rPr>
          <w:color w:val="FF0000"/>
        </w:rP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rPr>
          <w:color w:val="FF0000"/>
        </w:rP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1" name="Picture 1"/>
            <wp:cNvGraphicFramePr>
              <a:graphicFrameLocks noChangeAspect="1"/>
            </wp:cNvGraphicFramePr>
            <a:graphic>
              <a:graphicData uri="http://schemas.openxmlformats.org/drawingml/2006/picture">
                <pic:pic>
                  <pic:nvPicPr>
                    <pic:cNvPr id="0" name="ch6_did_structure.png"/>
                    <pic:cNvPicPr/>
                  </pic:nvPicPr>
                  <pic:blipFill>
                    <a:blip r:embed="rId37"/>
                    <a:stretch>
                      <a:fillRect/>
                    </a:stretch>
                  </pic:blipFill>
                  <pic:spPr>
                    <a:xfrm>
                      <a:off x="0" y="0"/>
                      <a:ext cx="4680000" cy="2220317"/>
                    </a:xfrm>
                    <a:prstGeom prst="rect"/>
                  </pic:spPr>
                </pic:pic>
              </a:graphicData>
            </a:graphic>
          </wp:inline>
        </w:drawing>
      </w:r>
    </w:p>
    <w:p>
      <w:pPr>
        <w:spacing w:before="160" w:after="160"/>
        <w:jc w:val="center"/>
      </w:pPr>
      <w:r>
        <w:rPr>
          <w:color w:val="FF0000"/>
          <w:sz w:val="20"/>
        </w:rPr>
        <w:t>Figure 6.1: Structure of a decentralised identifier and its DID document (after W3C 2022)</w:t>
      </w:r>
    </w:p>
    <w:p>
      <w:pPr>
        <w:pStyle w:val="3"/>
        <w:keepNext/>
      </w:pPr>
      <w:r>
        <w:rPr>
          <w:color w:val="FF0000"/>
        </w:rPr>
        <w:t>6.2.2 Verifiable Credentials</w:t>
      </w:r>
    </w:p>
    <w:p>
      <w:pPr/>
      <w:r>
        <w:rPr>
          <w:color w:val="FF0000"/>
        </w:rP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rPr>
          <w:color w:val="FF0000"/>
        </w:rP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 name="Picture 2"/>
            <wp:cNvGraphicFramePr>
              <a:graphicFrameLocks noChangeAspect="1"/>
            </wp:cNvGraphicFramePr>
            <a:graphic>
              <a:graphicData uri="http://schemas.openxmlformats.org/drawingml/2006/picture">
                <pic:pic>
                  <pic:nvPicPr>
                    <pic:cNvPr id="0" name="ch6_credential_structure.png"/>
                    <pic:cNvPicPr/>
                  </pic:nvPicPr>
                  <pic:blipFill>
                    <a:blip r:embed="rId38"/>
                    <a:stretch>
                      <a:fillRect/>
                    </a:stretch>
                  </pic:blipFill>
                  <pic:spPr>
                    <a:xfrm>
                      <a:off x="0" y="0"/>
                      <a:ext cx="3780000" cy="2281520"/>
                    </a:xfrm>
                    <a:prstGeom prst="rect"/>
                  </pic:spPr>
                </pic:pic>
              </a:graphicData>
            </a:graphic>
          </wp:inline>
        </w:drawing>
      </w:r>
    </w:p>
    <w:p>
      <w:pPr>
        <w:spacing w:before="160" w:after="160"/>
        <w:jc w:val="center"/>
      </w:pPr>
      <w:r>
        <w:rPr>
          <w:color w:val="FF0000"/>
          <w:sz w:val="20"/>
        </w:rPr>
        <w:t>Figure 6.2: Structure of the role credential used by the prototype</w:t>
      </w:r>
    </w:p>
    <w:p>
      <w:pPr>
        <w:pStyle w:val="3"/>
        <w:keepNext/>
      </w:pPr>
      <w:r>
        <w:rPr>
          <w:color w:val="FF0000"/>
        </w:rPr>
        <w:t>6.2.3 Credential Store and Trusted Issuers</w:t>
      </w:r>
    </w:p>
    <w:p>
      <w:pPr/>
      <w:r>
        <w:rPr>
          <w:color w:val="FF0000"/>
        </w:rP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rPr>
          <w:color w:val="FF0000"/>
        </w:rP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rPr>
          <w:color w:val="FF0000"/>
        </w:rP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rPr>
          <w:color w:val="FF0000"/>
        </w:rP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rPr>
          <w:color w:val="FF0000"/>
        </w:rP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rPr>
          <w:color w:val="FF0000"/>
        </w:rP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rPr>
          <w:color w:val="FF0000"/>
        </w:rP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rPr>
          <w:color w:val="FF0000"/>
        </w:rP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color w:val="FF0000"/>
          <w:sz w:val="20"/>
          <w:szCs w:val="18"/>
        </w:rPr>
        <w:t>Figure 6.3: RO2 workflow for decentralised identity and authority verification</w:t>
      </w:r>
    </w:p>
    <w:p>
      <w:pPr>
        <w:pStyle w:val="2"/>
        <w:keepNext/>
      </w:pPr>
      <w:r>
        <w:rPr>
          <w:color w:val="FF0000"/>
        </w:rPr>
        <w:t>6.5 Verification Model and Algorithm</w:t>
      </w:r>
    </w:p>
    <w:p>
      <w:pPr/>
      <w:r>
        <w:rPr>
          <w:color w:val="FF0000"/>
        </w:rP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rPr>
          <w:color w:val="FF0000"/>
        </w:rPr>
        <w:t>6.5.1 Step-by-Step Procedure for DID and VC Identity and Authority Verification</w:t>
      </w:r>
    </w:p>
    <w:p>
      <w:pPr/>
      <w:r>
        <w:rPr>
          <w:color w:val="FF0000"/>
        </w:rP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rPr>
          <w:color w:val="FF0000"/>
        </w:rP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rPr>
          <w:color w:val="FF0000"/>
        </w:rPr>
        <w:t>(Chapters 7 and 8)</w:t>
      </w:r>
      <w:r>
        <w:t>.</w:t>
      </w:r>
    </w:p>
    <w:p>
      <w:pPr>
        <w:pStyle w:val="2"/>
        <w:keepNext/>
      </w:pPr>
      <w:r>
        <w:rPr>
          <w:color w:val="FF0000"/>
        </w:rP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rPr>
          <w:color w:val="FF0000"/>
        </w:rP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rPr>
          <w:color w:val="FF0000"/>
        </w:rPr>
        <w:t>is presented in Section 6.7.</w:t>
      </w:r>
    </w:p>
    <w:p>
      <w:pPr>
        <w:pStyle w:val="3"/>
        <w:keepNext/>
      </w:pPr>
      <w:r>
        <w:rPr>
          <w:color w:val="FF0000"/>
        </w:rPr>
        <w:t>6.6.2 Steps in the Working of the Prototype for Identity and Authority Verification</w:t>
      </w:r>
    </w:p>
    <w:p>
      <w:pPr/>
      <w:r>
        <w:rPr>
          <w:color w:val="FF0000"/>
        </w:rP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rPr>
          <w:color w:val="FF0000"/>
        </w:rPr>
        <w:t>1.</w:t>
        <w:tab/>
      </w:r>
      <w:r>
        <w:rPr>
          <w:color w:val="FF0000"/>
          <w:u w:val="single"/>
        </w:rPr>
        <w:t xml:space="preserve">Get the DID and its credential: </w:t>
      </w:r>
      <w:r>
        <w:rPr>
          <w:color w:val="FF0000"/>
        </w:rP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rPr>
          <w:color w:val="FF0000"/>
        </w:rPr>
        <w:t>2.</w:t>
        <w:tab/>
      </w:r>
      <w:r>
        <w:rPr>
          <w:color w:val="FF0000"/>
          <w:u w:val="single"/>
        </w:rPr>
        <w:t xml:space="preserve">Check the identifier: </w:t>
      </w:r>
      <w:r>
        <w:rPr>
          <w:color w:val="FF0000"/>
        </w:rPr>
        <w:t>The DID is checked against the syntax did:method:identifier, and a malformed identifier fails the check.</w:t>
      </w:r>
    </w:p>
    <w:p>
      <w:pPr>
        <w:pStyle w:val="a4"/>
        <w:tabs>
          <w:tab w:pos="624" w:val="left"/>
        </w:tabs>
        <w:ind w:left="624" w:hanging="397"/>
      </w:pPr>
      <w:r>
        <w:rPr>
          <w:color w:val="FF0000"/>
        </w:rPr>
        <w:t>3.</w:t>
        <w:tab/>
      </w:r>
      <w:r>
        <w:rPr>
          <w:color w:val="FF0000"/>
          <w:u w:val="single"/>
        </w:rPr>
        <w:t xml:space="preserve">Verify the credential: </w:t>
      </w:r>
      <w:r>
        <w:rPr>
          <w:color w:val="FF0000"/>
        </w:rP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rPr>
          <w:color w:val="FF0000"/>
        </w:rPr>
        <w:t>4.</w:t>
        <w:tab/>
      </w:r>
      <w:r>
        <w:rPr>
          <w:color w:val="FF0000"/>
          <w:u w:val="single"/>
        </w:rPr>
        <w:t xml:space="preserve">Match the role and bind to the consent: </w:t>
      </w:r>
      <w:r>
        <w:rPr>
          <w:color w:val="FF0000"/>
        </w:rPr>
        <w:t>The role claim must be guardian for an approval and doctor for a request, and the DID of the doctor must be the authorised doctor named in the consent.</w:t>
      </w:r>
    </w:p>
    <w:p>
      <w:pPr>
        <w:pStyle w:val="a4"/>
        <w:tabs>
          <w:tab w:pos="624" w:val="left"/>
        </w:tabs>
        <w:ind w:left="624" w:hanging="397"/>
      </w:pPr>
      <w:r>
        <w:rPr>
          <w:color w:val="FF0000"/>
        </w:rPr>
        <w:t>5.</w:t>
        <w:tab/>
      </w:r>
      <w:r>
        <w:rPr>
          <w:color w:val="FF0000"/>
          <w:u w:val="single"/>
        </w:rPr>
        <w:t xml:space="preserve">Record the evidence and return VI: </w:t>
      </w:r>
      <w:r>
        <w:rPr>
          <w:color w:val="FF0000"/>
        </w:rP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rPr>
          <w:color w:val="FF0000"/>
        </w:rP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1245091309" name="Picture 1245091309"/>
            <wp:cNvGraphicFramePr>
              <a:graphicFrameLocks noChangeAspect="1"/>
            </wp:cNvGraphicFramePr>
            <a:graphic>
              <a:graphicData uri="http://schemas.openxmlformats.org/drawingml/2006/picture">
                <pic:pic>
                  <pic:nvPicPr>
                    <pic:cNvPr id="0" name="ch6_prototype_steps.png"/>
                    <pic:cNvPicPr/>
                  </pic:nvPicPr>
                  <pic:blipFill>
                    <a:blip r:embed="rId39"/>
                    <a:stretch>
                      <a:fillRect/>
                    </a:stretch>
                  </pic:blipFill>
                  <pic:spPr>
                    <a:xfrm>
                      <a:off x="0" y="0"/>
                      <a:ext cx="3780000" cy="3224426"/>
                    </a:xfrm>
                    <a:prstGeom prst="rect"/>
                  </pic:spPr>
                </pic:pic>
              </a:graphicData>
            </a:graphic>
          </wp:inline>
        </w:drawing>
      </w:r>
    </w:p>
    <w:p>
      <w:pPr>
        <w:spacing w:before="160" w:after="160"/>
        <w:jc w:val="center"/>
      </w:pPr>
      <w:r>
        <w:rPr>
          <w:color w:val="FF0000"/>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1245091310" name="Picture 1245091310"/>
            <wp:cNvGraphicFramePr>
              <a:graphicFrameLocks noChangeAspect="1"/>
            </wp:cNvGraphicFramePr>
            <a:graphic>
              <a:graphicData uri="http://schemas.openxmlformats.org/drawingml/2006/picture">
                <pic:pic>
                  <pic:nvPicPr>
                    <pic:cNvPr id="0" name="ch6_guardian_credential_verified.png"/>
                    <pic:cNvPicPr/>
                  </pic:nvPicPr>
                  <pic:blipFill>
                    <a:blip r:embed="rId40"/>
                    <a:stretch>
                      <a:fillRect/>
                    </a:stretch>
                  </pic:blipFill>
                  <pic:spPr>
                    <a:xfrm>
                      <a:off x="0" y="0"/>
                      <a:ext cx="4860000" cy="2096471"/>
                    </a:xfrm>
                    <a:prstGeom prst="rect"/>
                  </pic:spPr>
                </pic:pic>
              </a:graphicData>
            </a:graphic>
          </wp:inline>
        </w:drawing>
      </w:r>
    </w:p>
    <w:p>
      <w:pPr>
        <w:spacing w:before="160" w:after="160"/>
        <w:jc w:val="center"/>
      </w:pPr>
      <w:r>
        <w:rPr>
          <w:color w:val="FF0000"/>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1245091311" name="Picture 1245091311"/>
            <wp:cNvGraphicFramePr>
              <a:graphicFrameLocks noChangeAspect="1"/>
            </wp:cNvGraphicFramePr>
            <a:graphic>
              <a:graphicData uri="http://schemas.openxmlformats.org/drawingml/2006/picture">
                <pic:pic>
                  <pic:nvPicPr>
                    <pic:cNvPr id="0" name="ch6_requester_vi_fail.png"/>
                    <pic:cNvPicPr/>
                  </pic:nvPicPr>
                  <pic:blipFill>
                    <a:blip r:embed="rId41"/>
                    <a:stretch>
                      <a:fillRect/>
                    </a:stretch>
                  </pic:blipFill>
                  <pic:spPr>
                    <a:xfrm>
                      <a:off x="0" y="0"/>
                      <a:ext cx="4860000" cy="2906470"/>
                    </a:xfrm>
                    <a:prstGeom prst="rect"/>
                  </pic:spPr>
                </pic:pic>
              </a:graphicData>
            </a:graphic>
          </wp:inline>
        </w:drawing>
      </w:r>
    </w:p>
    <w:p>
      <w:pPr>
        <w:spacing w:before="160" w:after="160"/>
        <w:jc w:val="center"/>
      </w:pPr>
      <w:r>
        <w:rPr>
          <w:color w:val="FF0000"/>
          <w:sz w:val="20"/>
        </w:rPr>
        <w:t>Figure 6.6: Doctor interface for a requester with a valid credential who is not the doctor named in the consent</w:t>
      </w:r>
    </w:p>
    <w:p>
      <w:pPr>
        <w:pStyle w:val="2"/>
        <w:keepNext/>
      </w:pPr>
      <w:r>
        <w:rPr>
          <w:color w:val="FF0000"/>
        </w:rPr>
        <w:t>6.7 Prototype Validation and Discussion</w:t>
      </w:r>
    </w:p>
    <w:p>
      <w:pPr/>
      <w:r>
        <w:rPr>
          <w:color w:val="FF0000"/>
        </w:rP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rPr>
          <w:color w:val="FF0000"/>
        </w:rPr>
        <w:t>6.7.1 Validation of Identity and Authority Verification</w:t>
      </w:r>
    </w:p>
    <w:p>
      <w:pPr/>
      <w:r>
        <w:rPr>
          <w:color w:val="FF0000"/>
        </w:rP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rPr>
          <w:color w:val="FF0000"/>
        </w:rP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rPr>
          <w:color w:val="FF0000"/>
        </w:rP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rPr>
          <w:color w:val="FF0000"/>
        </w:rP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color w:val="FF0000"/>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approval and every decision is traceable to a credential.</w:t>
            </w:r>
          </w:p>
        </w:tc>
      </w:tr>
    </w:tbl>
    <w:p>
      <w:pPr>
        <w:pStyle w:val="3"/>
        <w:keepNext/>
      </w:pPr>
      <w:r>
        <w:rPr>
          <w:color w:val="FF0000"/>
        </w:rPr>
        <w:t>6.7.2 Discussion</w:t>
      </w:r>
    </w:p>
    <w:p>
      <w:pPr/>
      <w:r>
        <w:rPr>
          <w:color w:val="FF0000"/>
        </w:rP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rPr>
          <w:color w:val="FF0000"/>
        </w:rP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rPr>
          <w:color w:val="FF0000"/>
        </w:rPr>
        <w:t>6.8 Conclusion</w:t>
      </w:r>
    </w:p>
    <w:p>
      <w:pPr/>
      <w:r>
        <w:rPr>
          <w:color w:val="FF0000"/>
        </w:rP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rPr>
          <w:color w:val="FF0000"/>
        </w:rP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rPr>
          <w:color w:val="FF0000"/>
        </w:rPr>
        <w:t>The next chapter will discuss in a methodological manner the steps involved in the multi-party approval of the consent by the guardian set, which is the solution for research objective 3.</w:t>
      </w:r>
    </w:p>
    <w:sectPr w:rsidR="009262C4">
      <w:headerReference w:type="default" r:id="rId42"/>
      <w:headerReference w:type="even" r:id="rId43"/>
      <w:footerReference w:type="default" r:id="rId34"/>
      <w:footerReference w:type="even" r:id="rId44"/>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2026-10-23T01:47:56Z</dcterms:created>
  <dcterms:modified xsi:type="dcterms:W3CDTF">2026-10-23T01:47:56Z</dcterms:modified>
</cp:coreProperties>
</file>