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5"/>
          <w:headerReference w:type="even" r:id="rId46"/>
          <w:footerReference w:type="default" r:id="rId34"/>
          <w:footerReference w:type="even" r:id="rId47"/>
          <w:pgSz w:w="11906" w:h="16838"/>
          <w:pgMar w:top="1417" w:right="1701" w:bottom="1417" w:left="1701" w:header="737" w:footer="737" w:gutter="0"/>
          <w:cols w:space="720"/>
          <w:docGrid w:linePitch="360"/>
        </w:sectPr>
      </w:pPr>
    </w:p>
    <w:p>
      <w:pPr>
        <w:pStyle w:val="1"/>
        <w:keepNext/>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keepNext/>
        <w:jc w:val="center"/>
      </w:pPr>
      <w:r>
        <w:t>Dedication</w:t>
      </w:r>
    </w:p>
    <w:p>
      <w:pPr>
        <w:spacing w:before="2400" w:after="120"/>
        <w:jc w:val="center"/>
      </w:pPr>
      <w:r>
        <w:rPr>
          <w:b w:val="0"/>
          <w:smallCaps w:val="0"/>
          <w:sz w:val="28"/>
        </w:rPr>
        <w:t>To my family</w:t>
      </w:r>
    </w:p>
    <w:p>
      <w:r>
        <w:br w:type="page"/>
      </w:r>
    </w:p>
    <w:p>
      <w:pPr>
        <w:pStyle w:val="1"/>
        <w:keepNext/>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keepNext/>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keepNext/>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ix</w:t>
      </w:r>
    </w:p>
    <w:p>
      <w:pPr>
        <w:tabs>
          <w:tab w:pos="8504" w:val="right" w:leader="dot"/>
        </w:tabs>
        <w:spacing w:after="120" w:before="160"/>
        <w:ind w:left="0"/>
        <w:jc w:val="left"/>
      </w:pPr>
      <w:r>
        <w:rPr>
          <w:rFonts w:ascii="Palatino Linotype" w:hAnsi="Palatino Linotype"/>
          <w:b/>
          <w:sz w:val="22"/>
        </w:rPr>
        <w:t>List of Tables</w:t>
        <w:tab/>
        <w:t>x</w:t>
      </w:r>
    </w:p>
    <w:p>
      <w:pPr>
        <w:tabs>
          <w:tab w:pos="8504" w:val="right" w:leader="dot"/>
        </w:tabs>
        <w:spacing w:after="120" w:before="160"/>
        <w:ind w:left="0"/>
        <w:jc w:val="left"/>
      </w:pPr>
      <w:r>
        <w:rPr>
          <w:rFonts w:ascii="Palatino Linotype" w:hAnsi="Palatino Linotype"/>
          <w:b/>
          <w:sz w:val="22"/>
        </w:rPr>
        <w:t>Abstract</w:t>
        <w:tab/>
        <w:t>xi</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2</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6</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15</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16</w:t>
      </w:r>
    </w:p>
    <w:p>
      <w:pPr>
        <w:tabs>
          <w:tab w:pos="8504" w:val="right" w:leader="dot"/>
        </w:tabs>
        <w:spacing w:after="40" w:before="0"/>
        <w:ind w:left="1020"/>
        <w:jc w:val="left"/>
      </w:pPr>
      <w:r>
        <w:rPr>
          <w:rFonts w:ascii="Palatino Linotype" w:hAnsi="Palatino Linotype"/>
          <w:b w:val="0"/>
          <w:sz w:val="22"/>
        </w:rPr>
        <w:t>2.4.4 Policy- and context-aware access control (Req 4)</w:t>
        <w:tab/>
        <w:t>18</w:t>
      </w:r>
    </w:p>
    <w:p>
      <w:pPr>
        <w:tabs>
          <w:tab w:pos="8504" w:val="right" w:leader="dot"/>
        </w:tabs>
        <w:spacing w:after="40" w:before="0"/>
        <w:ind w:left="1020"/>
        <w:jc w:val="left"/>
      </w:pPr>
      <w:r>
        <w:rPr>
          <w:rFonts w:ascii="Palatino Linotype" w:hAnsi="Palatino Linotype"/>
          <w:b w:val="0"/>
          <w:sz w:val="22"/>
        </w:rPr>
        <w:t>2.4.5 Temporal validity and consent lifecycle (Req 5)</w:t>
        <w:tab/>
        <w:t>19</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19</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20</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24</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25</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25</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25</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25</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25</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25</w:t>
      </w:r>
    </w:p>
    <w:p>
      <w:pPr>
        <w:tabs>
          <w:tab w:pos="8504" w:val="right" w:leader="dot"/>
        </w:tabs>
        <w:spacing w:after="40" w:before="0"/>
        <w:ind w:left="454"/>
        <w:jc w:val="left"/>
      </w:pPr>
      <w:r>
        <w:rPr>
          <w:rFonts w:ascii="Palatino Linotype" w:hAnsi="Palatino Linotype"/>
          <w:b w:val="0"/>
          <w:sz w:val="22"/>
        </w:rPr>
        <w:t>2.6 Conclusion</w:t>
        <w:tab/>
        <w:t>25</w:t>
      </w:r>
    </w:p>
    <w:p>
      <w:pPr>
        <w:tabs>
          <w:tab w:pos="8504" w:val="right" w:leader="dot"/>
        </w:tabs>
        <w:spacing w:after="120" w:before="160"/>
        <w:ind w:left="0"/>
        <w:jc w:val="left"/>
      </w:pPr>
      <w:r>
        <w:rPr>
          <w:rFonts w:ascii="Palatino Linotype" w:hAnsi="Palatino Linotype"/>
          <w:b/>
          <w:sz w:val="22"/>
        </w:rPr>
        <w:t>3 Research Questions and Objectives</w:t>
        <w:tab/>
        <w:t>27</w:t>
      </w:r>
    </w:p>
    <w:p>
      <w:pPr>
        <w:tabs>
          <w:tab w:pos="8504" w:val="right" w:leader="dot"/>
        </w:tabs>
        <w:spacing w:after="40" w:before="0"/>
        <w:ind w:left="454"/>
        <w:jc w:val="left"/>
      </w:pPr>
      <w:r>
        <w:rPr>
          <w:rFonts w:ascii="Palatino Linotype" w:hAnsi="Palatino Linotype"/>
          <w:b w:val="0"/>
          <w:sz w:val="22"/>
        </w:rPr>
        <w:t>3.1 Introduction</w:t>
        <w:tab/>
        <w:t>27</w:t>
      </w:r>
    </w:p>
    <w:p>
      <w:pPr>
        <w:tabs>
          <w:tab w:pos="8504" w:val="right" w:leader="dot"/>
        </w:tabs>
        <w:spacing w:after="40" w:before="0"/>
        <w:ind w:left="454"/>
        <w:jc w:val="left"/>
      </w:pPr>
      <w:r>
        <w:rPr>
          <w:rFonts w:ascii="Palatino Linotype" w:hAnsi="Palatino Linotype"/>
          <w:b w:val="0"/>
          <w:sz w:val="22"/>
        </w:rPr>
        <w:t>3.2 Gaps in the Literature</w:t>
        <w:tab/>
        <w:t>27</w:t>
      </w:r>
    </w:p>
    <w:p>
      <w:pPr>
        <w:tabs>
          <w:tab w:pos="8504" w:val="right" w:leader="dot"/>
        </w:tabs>
        <w:spacing w:after="40" w:before="0"/>
        <w:ind w:left="454"/>
        <w:jc w:val="left"/>
      </w:pPr>
      <w:r>
        <w:rPr>
          <w:rFonts w:ascii="Palatino Linotype" w:hAnsi="Palatino Linotype"/>
          <w:b w:val="0"/>
          <w:sz w:val="22"/>
        </w:rPr>
        <w:t>3.3 Key Definitions</w:t>
        <w:tab/>
        <w:t>28</w:t>
      </w:r>
    </w:p>
    <w:p>
      <w:pPr>
        <w:tabs>
          <w:tab w:pos="8504" w:val="right" w:leader="dot"/>
        </w:tabs>
        <w:spacing w:after="40" w:before="0"/>
        <w:ind w:left="454"/>
        <w:jc w:val="left"/>
      </w:pPr>
      <w:r>
        <w:rPr>
          <w:rFonts w:ascii="Palatino Linotype" w:hAnsi="Palatino Linotype"/>
          <w:b w:val="0"/>
          <w:sz w:val="22"/>
        </w:rPr>
        <w:t>3.4 Research Questions</w:t>
        <w:tab/>
        <w:t>28</w:t>
      </w:r>
    </w:p>
    <w:p>
      <w:pPr>
        <w:tabs>
          <w:tab w:pos="8504" w:val="right" w:leader="dot"/>
        </w:tabs>
        <w:spacing w:after="40" w:before="0"/>
        <w:ind w:left="1020"/>
        <w:jc w:val="left"/>
      </w:pPr>
      <w:r>
        <w:rPr>
          <w:rFonts w:ascii="Palatino Linotype" w:hAnsi="Palatino Linotype"/>
          <w:b w:val="0"/>
          <w:sz w:val="22"/>
        </w:rPr>
        <w:t>3.4.1 Research Questions as an Integrated Problem</w:t>
        <w:tab/>
        <w:t>29</w:t>
      </w:r>
    </w:p>
    <w:p>
      <w:pPr>
        <w:tabs>
          <w:tab w:pos="8504" w:val="right" w:leader="dot"/>
        </w:tabs>
        <w:spacing w:after="40" w:before="0"/>
        <w:ind w:left="454"/>
        <w:jc w:val="left"/>
      </w:pPr>
      <w:r>
        <w:rPr>
          <w:rFonts w:ascii="Palatino Linotype" w:hAnsi="Palatino Linotype"/>
          <w:b w:val="0"/>
          <w:sz w:val="22"/>
        </w:rPr>
        <w:t>3.5 Research Objectives</w:t>
        <w:tab/>
        <w:t>29</w:t>
      </w:r>
    </w:p>
    <w:p>
      <w:pPr>
        <w:tabs>
          <w:tab w:pos="8504" w:val="right" w:leader="dot"/>
        </w:tabs>
        <w:spacing w:after="40" w:before="0"/>
        <w:ind w:left="1020"/>
        <w:jc w:val="left"/>
      </w:pPr>
      <w:r>
        <w:rPr>
          <w:rFonts w:ascii="Palatino Linotype" w:hAnsi="Palatino Linotype"/>
          <w:b w:val="0"/>
          <w:sz w:val="22"/>
        </w:rPr>
        <w:t>3.5.1 RO1: Trust-Centric Consent Model</w:t>
        <w:tab/>
        <w:t>29</w:t>
      </w:r>
    </w:p>
    <w:p>
      <w:pPr>
        <w:tabs>
          <w:tab w:pos="8504" w:val="right" w:leader="dot"/>
        </w:tabs>
        <w:spacing w:after="40" w:before="0"/>
        <w:ind w:left="1020"/>
        <w:jc w:val="left"/>
      </w:pPr>
      <w:r>
        <w:rPr>
          <w:rFonts w:ascii="Palatino Linotype" w:hAnsi="Palatino Linotype"/>
          <w:b w:val="0"/>
          <w:sz w:val="22"/>
        </w:rPr>
        <w:t>3.5.2 RO2: Decentralised Identity and Authority Trust</w:t>
        <w:tab/>
        <w:t>30</w:t>
      </w:r>
    </w:p>
    <w:p>
      <w:pPr>
        <w:tabs>
          <w:tab w:pos="8504" w:val="right" w:leader="dot"/>
        </w:tabs>
        <w:spacing w:after="40" w:before="0"/>
        <w:ind w:left="1020"/>
        <w:jc w:val="left"/>
      </w:pPr>
      <w:r>
        <w:rPr>
          <w:rFonts w:ascii="Palatino Linotype" w:hAnsi="Palatino Linotype"/>
          <w:b w:val="0"/>
          <w:sz w:val="22"/>
        </w:rPr>
        <w:t>3.5.3 RO3: Trustworthy Multi-Party Authorisation</w:t>
        <w:tab/>
        <w:t>30</w:t>
      </w:r>
    </w:p>
    <w:p>
      <w:pPr>
        <w:tabs>
          <w:tab w:pos="8504" w:val="right" w:leader="dot"/>
        </w:tabs>
        <w:spacing w:after="40" w:before="0"/>
        <w:ind w:left="1020"/>
        <w:jc w:val="left"/>
      </w:pPr>
      <w:r>
        <w:rPr>
          <w:rFonts w:ascii="Palatino Linotype" w:hAnsi="Palatino Linotype"/>
          <w:b w:val="0"/>
          <w:sz w:val="22"/>
        </w:rPr>
        <w:t>3.5.4 RO4: Policy- and Context-Aware Access Control</w:t>
        <w:tab/>
        <w:t>30</w:t>
      </w:r>
    </w:p>
    <w:p>
      <w:pPr>
        <w:tabs>
          <w:tab w:pos="8504" w:val="right" w:leader="dot"/>
        </w:tabs>
        <w:spacing w:after="40" w:before="0"/>
        <w:ind w:left="1020"/>
        <w:jc w:val="left"/>
      </w:pPr>
      <w:r>
        <w:rPr>
          <w:rFonts w:ascii="Palatino Linotype" w:hAnsi="Palatino Linotype"/>
          <w:b w:val="0"/>
          <w:sz w:val="22"/>
        </w:rPr>
        <w:t>3.5.5 RO5: Temporal and Lifecycle Trust</w:t>
        <w:tab/>
        <w:t>30</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31</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31</w:t>
      </w:r>
    </w:p>
    <w:p>
      <w:pPr>
        <w:tabs>
          <w:tab w:pos="8504" w:val="right" w:leader="dot"/>
        </w:tabs>
        <w:spacing w:after="40" w:before="0"/>
        <w:ind w:left="454"/>
        <w:jc w:val="left"/>
      </w:pPr>
      <w:r>
        <w:rPr>
          <w:rFonts w:ascii="Palatino Linotype" w:hAnsi="Palatino Linotype"/>
          <w:b w:val="0"/>
          <w:sz w:val="22"/>
        </w:rPr>
        <w:t>3.6 Conclusion</w:t>
        <w:tab/>
        <w:t>32</w:t>
      </w:r>
    </w:p>
    <w:p>
      <w:pPr>
        <w:tabs>
          <w:tab w:pos="8504" w:val="right" w:leader="dot"/>
        </w:tabs>
        <w:spacing w:after="120" w:before="160"/>
        <w:ind w:left="0"/>
        <w:jc w:val="left"/>
      </w:pPr>
      <w:r>
        <w:rPr>
          <w:rFonts w:ascii="Palatino Linotype" w:hAnsi="Palatino Linotype"/>
          <w:b/>
          <w:sz w:val="22"/>
        </w:rPr>
        <w:t>4 Research Methodology and Solution Overview</w:t>
        <w:tab/>
        <w:t>33</w:t>
      </w:r>
    </w:p>
    <w:p>
      <w:pPr>
        <w:tabs>
          <w:tab w:pos="8504" w:val="right" w:leader="dot"/>
        </w:tabs>
        <w:spacing w:after="40" w:before="0"/>
        <w:ind w:left="454"/>
        <w:jc w:val="left"/>
      </w:pPr>
      <w:r>
        <w:rPr>
          <w:rFonts w:ascii="Palatino Linotype" w:hAnsi="Palatino Linotype"/>
          <w:b w:val="0"/>
          <w:sz w:val="22"/>
        </w:rPr>
        <w:t>4.1 Introduction</w:t>
        <w:tab/>
        <w:t>33</w:t>
      </w:r>
    </w:p>
    <w:p>
      <w:pPr>
        <w:tabs>
          <w:tab w:pos="8504" w:val="right" w:leader="dot"/>
        </w:tabs>
        <w:spacing w:after="40" w:before="0"/>
        <w:ind w:left="454"/>
        <w:jc w:val="left"/>
      </w:pPr>
      <w:r>
        <w:rPr>
          <w:rFonts w:ascii="Palatino Linotype" w:hAnsi="Palatino Linotype"/>
          <w:b w:val="0"/>
          <w:sz w:val="22"/>
        </w:rPr>
        <w:t>4.2 Key Definitions</w:t>
        <w:tab/>
        <w:t>33</w:t>
      </w:r>
    </w:p>
    <w:p>
      <w:pPr>
        <w:tabs>
          <w:tab w:pos="8504" w:val="right" w:leader="dot"/>
        </w:tabs>
        <w:spacing w:after="40" w:before="0"/>
        <w:ind w:left="454"/>
        <w:jc w:val="left"/>
      </w:pPr>
      <w:r>
        <w:rPr>
          <w:rFonts w:ascii="Palatino Linotype" w:hAnsi="Palatino Linotype"/>
          <w:b w:val="0"/>
          <w:sz w:val="22"/>
        </w:rPr>
        <w:t>4.3 Selected Research Methodology</w:t>
        <w:tab/>
        <w:t>34</w:t>
      </w:r>
    </w:p>
    <w:p>
      <w:pPr>
        <w:tabs>
          <w:tab w:pos="8504" w:val="right" w:leader="dot"/>
        </w:tabs>
        <w:spacing w:after="40" w:before="0"/>
        <w:ind w:left="454"/>
        <w:jc w:val="left"/>
      </w:pPr>
      <w:r>
        <w:rPr>
          <w:rFonts w:ascii="Palatino Linotype" w:hAnsi="Palatino Linotype"/>
          <w:b w:val="0"/>
          <w:sz w:val="22"/>
        </w:rPr>
        <w:t>4.4 Solution Overview</w:t>
        <w:tab/>
        <w:t>34</w:t>
      </w:r>
    </w:p>
    <w:p>
      <w:pPr>
        <w:tabs>
          <w:tab w:pos="8504" w:val="right" w:leader="dot"/>
        </w:tabs>
        <w:spacing w:after="40" w:before="0"/>
        <w:ind w:left="454"/>
        <w:jc w:val="left"/>
      </w:pPr>
      <w:r>
        <w:rPr>
          <w:rFonts w:ascii="Palatino Linotype" w:hAnsi="Palatino Linotype"/>
          <w:b w:val="0"/>
          <w:sz w:val="22"/>
        </w:rPr>
        <w:t>4.5 Overview of Solution for RQ1</w:t>
        <w:tab/>
        <w:t>36</w:t>
      </w:r>
    </w:p>
    <w:p>
      <w:pPr>
        <w:tabs>
          <w:tab w:pos="8504" w:val="right" w:leader="dot"/>
        </w:tabs>
        <w:spacing w:after="40" w:before="0"/>
        <w:ind w:left="454"/>
        <w:jc w:val="left"/>
      </w:pPr>
      <w:r>
        <w:rPr>
          <w:rFonts w:ascii="Palatino Linotype" w:hAnsi="Palatino Linotype"/>
          <w:b w:val="0"/>
          <w:sz w:val="22"/>
        </w:rPr>
        <w:t>4.6 Overview of Solution for RQ2</w:t>
        <w:tab/>
        <w:t>37</w:t>
      </w:r>
    </w:p>
    <w:p>
      <w:pPr>
        <w:tabs>
          <w:tab w:pos="8504" w:val="right" w:leader="dot"/>
        </w:tabs>
        <w:spacing w:after="40" w:before="0"/>
        <w:ind w:left="454"/>
        <w:jc w:val="left"/>
      </w:pPr>
      <w:r>
        <w:rPr>
          <w:rFonts w:ascii="Palatino Linotype" w:hAnsi="Palatino Linotype"/>
          <w:b w:val="0"/>
          <w:sz w:val="22"/>
        </w:rPr>
        <w:t>4.7 Overview of Solution for RQ3</w:t>
        <w:tab/>
        <w:t>37</w:t>
      </w:r>
    </w:p>
    <w:p>
      <w:pPr>
        <w:tabs>
          <w:tab w:pos="8504" w:val="right" w:leader="dot"/>
        </w:tabs>
        <w:spacing w:after="40" w:before="0"/>
        <w:ind w:left="454"/>
        <w:jc w:val="left"/>
      </w:pPr>
      <w:r>
        <w:rPr>
          <w:rFonts w:ascii="Palatino Linotype" w:hAnsi="Palatino Linotype"/>
          <w:b w:val="0"/>
          <w:sz w:val="22"/>
        </w:rPr>
        <w:t>4.8 Overview of Solution for RQ4</w:t>
        <w:tab/>
        <w:t>37</w:t>
      </w:r>
    </w:p>
    <w:p>
      <w:pPr>
        <w:tabs>
          <w:tab w:pos="8504" w:val="right" w:leader="dot"/>
        </w:tabs>
        <w:spacing w:after="40" w:before="0"/>
        <w:ind w:left="454"/>
        <w:jc w:val="left"/>
      </w:pPr>
      <w:r>
        <w:rPr>
          <w:rFonts w:ascii="Palatino Linotype" w:hAnsi="Palatino Linotype"/>
          <w:b w:val="0"/>
          <w:sz w:val="22"/>
        </w:rPr>
        <w:t>4.9 Overview of Solution for RQ5</w:t>
        <w:tab/>
        <w:t>38</w:t>
      </w:r>
    </w:p>
    <w:p>
      <w:pPr>
        <w:tabs>
          <w:tab w:pos="8504" w:val="right" w:leader="dot"/>
        </w:tabs>
        <w:spacing w:after="40" w:before="0"/>
        <w:ind w:left="454"/>
        <w:jc w:val="left"/>
      </w:pPr>
      <w:r>
        <w:rPr>
          <w:rFonts w:ascii="Palatino Linotype" w:hAnsi="Palatino Linotype"/>
          <w:b w:val="0"/>
          <w:sz w:val="22"/>
        </w:rPr>
        <w:t>4.10 Overview of Solution for RQ6</w:t>
        <w:tab/>
        <w:t>38</w:t>
      </w:r>
    </w:p>
    <w:p>
      <w:pPr>
        <w:tabs>
          <w:tab w:pos="8504" w:val="right" w:leader="dot"/>
        </w:tabs>
        <w:spacing w:after="40" w:before="0"/>
        <w:ind w:left="1020"/>
        <w:jc w:val="left"/>
      </w:pPr>
      <w:r>
        <w:rPr>
          <w:rFonts w:ascii="Palatino Linotype" w:hAnsi="Palatino Linotype"/>
          <w:b w:val="0"/>
          <w:sz w:val="22"/>
        </w:rPr>
        <w:t>4.10.1 Testing and Verification of the Solution</w:t>
        <w:tab/>
        <w:t>38</w:t>
      </w:r>
    </w:p>
    <w:p>
      <w:pPr>
        <w:tabs>
          <w:tab w:pos="8504" w:val="right" w:leader="dot"/>
        </w:tabs>
        <w:spacing w:after="40" w:before="0"/>
        <w:ind w:left="454"/>
        <w:jc w:val="left"/>
      </w:pPr>
      <w:r>
        <w:rPr>
          <w:rFonts w:ascii="Palatino Linotype" w:hAnsi="Palatino Linotype"/>
          <w:b w:val="0"/>
          <w:sz w:val="22"/>
        </w:rPr>
        <w:t>4.11 Conclusion</w:t>
        <w:tab/>
        <w:t>38</w:t>
      </w:r>
    </w:p>
    <w:p>
      <w:pPr>
        <w:tabs>
          <w:tab w:pos="8504" w:val="right" w:leader="dot"/>
        </w:tabs>
        <w:spacing w:after="120" w:before="160"/>
        <w:ind w:left="0"/>
        <w:jc w:val="left"/>
      </w:pPr>
      <w:r>
        <w:rPr>
          <w:rFonts w:ascii="Palatino Linotype" w:hAnsi="Palatino Linotype"/>
          <w:b/>
          <w:sz w:val="22"/>
        </w:rPr>
        <w:t>5 Research Architecture and Trust-Centric Consent Model</w:t>
        <w:tab/>
        <w:t>40</w:t>
      </w:r>
    </w:p>
    <w:p>
      <w:pPr>
        <w:tabs>
          <w:tab w:pos="8504" w:val="right" w:leader="dot"/>
        </w:tabs>
        <w:spacing w:after="40" w:before="0"/>
        <w:ind w:left="454"/>
        <w:jc w:val="left"/>
      </w:pPr>
      <w:r>
        <w:rPr>
          <w:rFonts w:ascii="Palatino Linotype" w:hAnsi="Palatino Linotype"/>
          <w:b w:val="0"/>
          <w:sz w:val="22"/>
        </w:rPr>
        <w:t>5.1 Introduction</w:t>
        <w:tab/>
        <w:t>40</w:t>
      </w:r>
    </w:p>
    <w:p>
      <w:pPr>
        <w:tabs>
          <w:tab w:pos="8504" w:val="right" w:leader="dot"/>
        </w:tabs>
        <w:spacing w:after="40" w:before="0"/>
        <w:ind w:left="454"/>
        <w:jc w:val="left"/>
      </w:pPr>
      <w:r>
        <w:rPr>
          <w:rFonts w:ascii="Palatino Linotype" w:hAnsi="Palatino Linotype"/>
          <w:b w:val="0"/>
          <w:sz w:val="22"/>
        </w:rPr>
        <w:t>5.2 Layered Architecture and Component Decomposition</w:t>
        <w:tab/>
        <w:t>41</w:t>
      </w:r>
    </w:p>
    <w:p>
      <w:pPr>
        <w:tabs>
          <w:tab w:pos="8504" w:val="right" w:leader="dot"/>
        </w:tabs>
        <w:spacing w:after="40" w:before="0"/>
        <w:ind w:left="454"/>
        <w:jc w:val="left"/>
      </w:pPr>
      <w:r>
        <w:rPr>
          <w:rFonts w:ascii="Palatino Linotype" w:hAnsi="Palatino Linotype"/>
          <w:b w:val="0"/>
          <w:sz w:val="22"/>
        </w:rPr>
        <w:t>5.3 Trust Evaluation and Architectural Boundaries</w:t>
        <w:tab/>
        <w:t>43</w:t>
      </w:r>
    </w:p>
    <w:p>
      <w:pPr>
        <w:tabs>
          <w:tab w:pos="8504" w:val="right" w:leader="dot"/>
        </w:tabs>
        <w:spacing w:after="40" w:before="0"/>
        <w:ind w:left="454"/>
        <w:jc w:val="left"/>
      </w:pPr>
      <w:r>
        <w:rPr>
          <w:rFonts w:ascii="Palatino Linotype" w:hAnsi="Palatino Linotype"/>
          <w:b w:val="0"/>
          <w:sz w:val="22"/>
        </w:rPr>
        <w:t>5.4 MVC Architecture and the Research Objectives</w:t>
        <w:tab/>
        <w:t>45</w:t>
      </w:r>
    </w:p>
    <w:p>
      <w:pPr>
        <w:tabs>
          <w:tab w:pos="8504" w:val="right" w:leader="dot"/>
        </w:tabs>
        <w:spacing w:after="40" w:before="0"/>
        <w:ind w:left="454"/>
        <w:jc w:val="left"/>
      </w:pPr>
      <w:r>
        <w:rPr>
          <w:rFonts w:ascii="Palatino Linotype" w:hAnsi="Palatino Linotype"/>
          <w:b w:val="0"/>
          <w:sz w:val="22"/>
        </w:rPr>
        <w:t>5.5 Trust-Centric Consent Model</w:t>
        <w:tab/>
        <w:t>47</w:t>
      </w:r>
    </w:p>
    <w:p>
      <w:pPr>
        <w:tabs>
          <w:tab w:pos="8504" w:val="right" w:leader="dot"/>
        </w:tabs>
        <w:spacing w:after="40" w:before="0"/>
        <w:ind w:left="1020"/>
        <w:jc w:val="left"/>
      </w:pPr>
      <w:r>
        <w:rPr>
          <w:rFonts w:ascii="Palatino Linotype" w:hAnsi="Palatino Linotype"/>
          <w:b w:val="0"/>
          <w:sz w:val="22"/>
        </w:rPr>
        <w:t>5.5.1 Consent Creation Workflow</w:t>
        <w:tab/>
        <w:t>47</w:t>
      </w:r>
    </w:p>
    <w:p>
      <w:pPr>
        <w:tabs>
          <w:tab w:pos="8504" w:val="right" w:leader="dot"/>
        </w:tabs>
        <w:spacing w:after="40" w:before="0"/>
        <w:ind w:left="1020"/>
        <w:jc w:val="left"/>
      </w:pPr>
      <w:r>
        <w:rPr>
          <w:rFonts w:ascii="Palatino Linotype" w:hAnsi="Palatino Linotype"/>
          <w:b w:val="0"/>
          <w:sz w:val="22"/>
        </w:rPr>
        <w:t>5.5.2 Structure of the Consent Object</w:t>
        <w:tab/>
        <w:t>48</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49</w:t>
      </w:r>
    </w:p>
    <w:p>
      <w:pPr>
        <w:tabs>
          <w:tab w:pos="8504" w:val="right" w:leader="dot"/>
        </w:tabs>
        <w:spacing w:after="40" w:before="0"/>
        <w:ind w:left="454"/>
        <w:jc w:val="left"/>
      </w:pPr>
      <w:r>
        <w:rPr>
          <w:rFonts w:ascii="Palatino Linotype" w:hAnsi="Palatino Linotype"/>
          <w:b w:val="0"/>
          <w:sz w:val="22"/>
        </w:rPr>
        <w:t>5.6 Prototype Implementation</w:t>
        <w:tab/>
        <w:t>51</w:t>
      </w:r>
    </w:p>
    <w:p>
      <w:pPr>
        <w:tabs>
          <w:tab w:pos="8504" w:val="right" w:leader="dot"/>
        </w:tabs>
        <w:spacing w:after="40" w:before="0"/>
        <w:ind w:left="1020"/>
        <w:jc w:val="left"/>
      </w:pPr>
      <w:r>
        <w:rPr>
          <w:rFonts w:ascii="Palatino Linotype" w:hAnsi="Palatino Linotype"/>
          <w:b w:val="0"/>
          <w:sz w:val="22"/>
        </w:rPr>
        <w:t>5.6.1 Aims of Engineering the Prototype System</w:t>
        <w:tab/>
        <w:t>51</w:t>
      </w:r>
    </w:p>
    <w:p>
      <w:pPr>
        <w:tabs>
          <w:tab w:pos="8504" w:val="right" w:leader="dot"/>
        </w:tabs>
        <w:spacing w:after="40" w:before="0"/>
        <w:ind w:left="454"/>
        <w:jc w:val="left"/>
      </w:pPr>
      <w:r>
        <w:rPr>
          <w:rFonts w:ascii="Palatino Linotype" w:hAnsi="Palatino Linotype"/>
          <w:b w:val="0"/>
          <w:sz w:val="22"/>
        </w:rPr>
        <w:t>5.7 Datasets Used for Validation</w:t>
        <w:tab/>
        <w:t>52</w:t>
      </w:r>
    </w:p>
    <w:p>
      <w:pPr>
        <w:tabs>
          <w:tab w:pos="8504" w:val="right" w:leader="dot"/>
        </w:tabs>
        <w:spacing w:after="40" w:before="0"/>
        <w:ind w:left="454"/>
        <w:jc w:val="left"/>
      </w:pPr>
      <w:r>
        <w:rPr>
          <w:rFonts w:ascii="Palatino Linotype" w:hAnsi="Palatino Linotype"/>
          <w:b w:val="0"/>
          <w:sz w:val="22"/>
        </w:rPr>
        <w:t>5.8 Steps in the Working of the Prototype System for Consent Creation</w:t>
        <w:tab/>
        <w:t>52</w:t>
      </w:r>
    </w:p>
    <w:p>
      <w:pPr>
        <w:tabs>
          <w:tab w:pos="8504" w:val="right" w:leader="dot"/>
        </w:tabs>
        <w:spacing w:after="40" w:before="0"/>
        <w:ind w:left="1020"/>
        <w:jc w:val="left"/>
      </w:pPr>
      <w:r>
        <w:rPr>
          <w:rFonts w:ascii="Palatino Linotype" w:hAnsi="Palatino Linotype"/>
          <w:b w:val="0"/>
          <w:sz w:val="22"/>
        </w:rPr>
        <w:t>5.8.1 Steps in the patient interface</w:t>
        <w:tab/>
        <w:t>53</w:t>
      </w:r>
    </w:p>
    <w:p>
      <w:pPr>
        <w:tabs>
          <w:tab w:pos="8504" w:val="right" w:leader="dot"/>
        </w:tabs>
        <w:spacing w:after="40" w:before="0"/>
        <w:ind w:left="1020"/>
        <w:jc w:val="left"/>
      </w:pPr>
      <w:r>
        <w:rPr>
          <w:rFonts w:ascii="Palatino Linotype" w:hAnsi="Palatino Linotype"/>
          <w:b w:val="0"/>
          <w:sz w:val="22"/>
        </w:rPr>
        <w:t>5.8.2 Steps in the service layer</w:t>
        <w:tab/>
        <w:t>53</w:t>
      </w:r>
    </w:p>
    <w:p>
      <w:pPr>
        <w:tabs>
          <w:tab w:pos="8504" w:val="right" w:leader="dot"/>
        </w:tabs>
        <w:spacing w:after="40" w:before="0"/>
        <w:ind w:left="454"/>
        <w:jc w:val="left"/>
      </w:pPr>
      <w:r>
        <w:rPr>
          <w:rFonts w:ascii="Palatino Linotype" w:hAnsi="Palatino Linotype"/>
          <w:b w:val="0"/>
          <w:sz w:val="22"/>
        </w:rPr>
        <w:t>5.9 Prototype Evaluation and Discussion</w:t>
        <w:tab/>
        <w:t>54</w:t>
      </w:r>
    </w:p>
    <w:p>
      <w:pPr>
        <w:tabs>
          <w:tab w:pos="8504" w:val="right" w:leader="dot"/>
        </w:tabs>
        <w:spacing w:after="40" w:before="0"/>
        <w:ind w:left="1020"/>
        <w:jc w:val="left"/>
      </w:pPr>
      <w:r>
        <w:rPr>
          <w:rFonts w:ascii="Palatino Linotype" w:hAnsi="Palatino Linotype"/>
          <w:b w:val="0"/>
          <w:sz w:val="22"/>
        </w:rPr>
        <w:t>5.9.1 Validation of Consent Creation</w:t>
        <w:tab/>
        <w:t>54</w:t>
      </w:r>
    </w:p>
    <w:p>
      <w:pPr>
        <w:tabs>
          <w:tab w:pos="8504" w:val="right" w:leader="dot"/>
        </w:tabs>
        <w:spacing w:after="40" w:before="0"/>
        <w:ind w:left="1020"/>
        <w:jc w:val="left"/>
      </w:pPr>
      <w:r>
        <w:rPr>
          <w:rFonts w:ascii="Palatino Linotype" w:hAnsi="Palatino Linotype"/>
          <w:b w:val="0"/>
          <w:sz w:val="22"/>
        </w:rPr>
        <w:t>5.9.2 Evaluation of the Architecture against the Security Properties</w:t>
        <w:tab/>
        <w:t>56</w:t>
      </w:r>
    </w:p>
    <w:p>
      <w:pPr>
        <w:tabs>
          <w:tab w:pos="8504" w:val="right" w:leader="dot"/>
        </w:tabs>
        <w:spacing w:after="40" w:before="0"/>
        <w:ind w:left="1020"/>
        <w:jc w:val="left"/>
      </w:pPr>
      <w:r>
        <w:rPr>
          <w:rFonts w:ascii="Palatino Linotype" w:hAnsi="Palatino Linotype"/>
          <w:b w:val="0"/>
          <w:sz w:val="22"/>
        </w:rPr>
        <w:t>5.9.3 Discussion</w:t>
        <w:tab/>
        <w:t>57</w:t>
      </w:r>
    </w:p>
    <w:p>
      <w:pPr>
        <w:tabs>
          <w:tab w:pos="8504" w:val="right" w:leader="dot"/>
        </w:tabs>
        <w:spacing w:after="40" w:before="0"/>
        <w:ind w:left="454"/>
        <w:jc w:val="left"/>
      </w:pPr>
      <w:r>
        <w:rPr>
          <w:rFonts w:ascii="Palatino Linotype" w:hAnsi="Palatino Linotype"/>
          <w:b w:val="0"/>
          <w:sz w:val="22"/>
        </w:rPr>
        <w:t>5.10 Conclusion</w:t>
        <w:tab/>
        <w:t>57</w:t>
      </w:r>
    </w:p>
    <w:p>
      <w:pPr>
        <w:tabs>
          <w:tab w:pos="8504" w:val="right" w:leader="dot"/>
        </w:tabs>
        <w:spacing w:after="120" w:before="160"/>
        <w:ind w:left="0"/>
        <w:jc w:val="left"/>
      </w:pPr>
      <w:r>
        <w:rPr>
          <w:rFonts w:ascii="Palatino Linotype" w:hAnsi="Palatino Linotype"/>
          <w:b/>
          <w:sz w:val="22"/>
        </w:rPr>
        <w:t>6 Decentralised Identity and Authority Trust</w:t>
        <w:tab/>
        <w:t>59</w:t>
      </w:r>
    </w:p>
    <w:p>
      <w:pPr>
        <w:tabs>
          <w:tab w:pos="8504" w:val="right" w:leader="dot"/>
        </w:tabs>
        <w:spacing w:after="40" w:before="0"/>
        <w:ind w:left="454"/>
        <w:jc w:val="left"/>
      </w:pPr>
      <w:r>
        <w:rPr>
          <w:rFonts w:ascii="Palatino Linotype" w:hAnsi="Palatino Linotype"/>
          <w:b w:val="0"/>
          <w:sz w:val="22"/>
        </w:rPr>
        <w:t>6.1 Introduction</w:t>
        <w:tab/>
        <w:t>59</w:t>
      </w:r>
    </w:p>
    <w:p>
      <w:pPr>
        <w:tabs>
          <w:tab w:pos="8504" w:val="right" w:leader="dot"/>
        </w:tabs>
        <w:spacing w:after="40" w:before="0"/>
        <w:ind w:left="454"/>
        <w:jc w:val="left"/>
      </w:pPr>
      <w:r>
        <w:rPr>
          <w:rFonts w:ascii="Palatino Linotype" w:hAnsi="Palatino Linotype"/>
          <w:b w:val="0"/>
          <w:sz w:val="22"/>
        </w:rPr>
        <w:t>6.2 Decentralised Identifiers and Verifiable Credentials</w:t>
        <w:tab/>
        <w:t>59</w:t>
      </w:r>
    </w:p>
    <w:p>
      <w:pPr>
        <w:tabs>
          <w:tab w:pos="8504" w:val="right" w:leader="dot"/>
        </w:tabs>
        <w:spacing w:after="40" w:before="0"/>
        <w:ind w:left="1020"/>
        <w:jc w:val="left"/>
      </w:pPr>
      <w:r>
        <w:rPr>
          <w:rFonts w:ascii="Palatino Linotype" w:hAnsi="Palatino Linotype"/>
          <w:b w:val="0"/>
          <w:sz w:val="22"/>
        </w:rPr>
        <w:t>6.2.1 Decentralised Identifiers</w:t>
        <w:tab/>
        <w:t>60</w:t>
      </w:r>
    </w:p>
    <w:p>
      <w:pPr>
        <w:tabs>
          <w:tab w:pos="8504" w:val="right" w:leader="dot"/>
        </w:tabs>
        <w:spacing w:after="40" w:before="0"/>
        <w:ind w:left="1020"/>
        <w:jc w:val="left"/>
      </w:pPr>
      <w:r>
        <w:rPr>
          <w:rFonts w:ascii="Palatino Linotype" w:hAnsi="Palatino Linotype"/>
          <w:b w:val="0"/>
          <w:sz w:val="22"/>
        </w:rPr>
        <w:t>6.2.2 Verifiable Credentials</w:t>
        <w:tab/>
        <w:t>60</w:t>
      </w:r>
    </w:p>
    <w:p>
      <w:pPr>
        <w:tabs>
          <w:tab w:pos="8504" w:val="right" w:leader="dot"/>
        </w:tabs>
        <w:spacing w:after="40" w:before="0"/>
        <w:ind w:left="1020"/>
        <w:jc w:val="left"/>
      </w:pPr>
      <w:r>
        <w:rPr>
          <w:rFonts w:ascii="Palatino Linotype" w:hAnsi="Palatino Linotype"/>
          <w:b w:val="0"/>
          <w:sz w:val="22"/>
        </w:rPr>
        <w:t>6.2.3 Credential Store and Trusted Issuers</w:t>
        <w:tab/>
        <w:t>61</w:t>
      </w:r>
    </w:p>
    <w:p>
      <w:pPr>
        <w:tabs>
          <w:tab w:pos="8504" w:val="right" w:leader="dot"/>
        </w:tabs>
        <w:spacing w:after="40" w:before="0"/>
        <w:ind w:left="454"/>
        <w:jc w:val="left"/>
      </w:pPr>
      <w:r>
        <w:rPr>
          <w:rFonts w:ascii="Palatino Linotype" w:hAnsi="Palatino Linotype"/>
          <w:b w:val="0"/>
          <w:sz w:val="22"/>
        </w:rPr>
        <w:t>6.3 Overview of Decentralised Identity and Authority Trust</w:t>
        <w:tab/>
        <w:t>61</w:t>
      </w:r>
    </w:p>
    <w:p>
      <w:pPr>
        <w:tabs>
          <w:tab w:pos="8504" w:val="right" w:leader="dot"/>
        </w:tabs>
        <w:spacing w:after="40" w:before="0"/>
        <w:ind w:left="454"/>
        <w:jc w:val="left"/>
      </w:pPr>
      <w:r>
        <w:rPr>
          <w:rFonts w:ascii="Palatino Linotype" w:hAnsi="Palatino Linotype"/>
          <w:b w:val="0"/>
          <w:sz w:val="22"/>
        </w:rPr>
        <w:t>6.4 Identity and Authority Verification Workflow</w:t>
        <w:tab/>
        <w:t>62</w:t>
      </w:r>
    </w:p>
    <w:p>
      <w:pPr>
        <w:tabs>
          <w:tab w:pos="8504" w:val="right" w:leader="dot"/>
        </w:tabs>
        <w:spacing w:after="40" w:before="0"/>
        <w:ind w:left="454"/>
        <w:jc w:val="left"/>
      </w:pPr>
      <w:r>
        <w:rPr>
          <w:rFonts w:ascii="Palatino Linotype" w:hAnsi="Palatino Linotype"/>
          <w:b w:val="0"/>
          <w:sz w:val="22"/>
        </w:rPr>
        <w:t>6.5 Verification Model and Algorithm</w:t>
        <w:tab/>
        <w:t>63</w:t>
      </w:r>
    </w:p>
    <w:p>
      <w:pPr>
        <w:tabs>
          <w:tab w:pos="8504" w:val="right" w:leader="dot"/>
        </w:tabs>
        <w:spacing w:after="40" w:before="0"/>
        <w:ind w:left="1020"/>
        <w:jc w:val="left"/>
      </w:pPr>
      <w:r>
        <w:rPr>
          <w:rFonts w:ascii="Palatino Linotype" w:hAnsi="Palatino Linotype"/>
          <w:b w:val="0"/>
          <w:sz w:val="22"/>
        </w:rPr>
        <w:t>6.5.1 Step-by-Step Procedure for DID and VC Identity and Authority Verification</w:t>
        <w:tab/>
        <w:t>63</w:t>
      </w:r>
    </w:p>
    <w:p>
      <w:pPr>
        <w:tabs>
          <w:tab w:pos="8504" w:val="right" w:leader="dot"/>
        </w:tabs>
        <w:spacing w:after="40" w:before="0"/>
        <w:ind w:left="1020"/>
        <w:jc w:val="left"/>
      </w:pPr>
      <w:r>
        <w:rPr>
          <w:rFonts w:ascii="Palatino Linotype" w:hAnsi="Palatino Linotype"/>
          <w:b w:val="0"/>
          <w:sz w:val="22"/>
        </w:rPr>
        <w:t>6.5.2 Algorithm 2: DID and VC Identity and Authority Verification</w:t>
        <w:tab/>
        <w:t>64</w:t>
      </w:r>
    </w:p>
    <w:p>
      <w:pPr>
        <w:tabs>
          <w:tab w:pos="8504" w:val="right" w:leader="dot"/>
        </w:tabs>
        <w:spacing w:after="40" w:before="0"/>
        <w:ind w:left="454"/>
        <w:jc w:val="left"/>
      </w:pPr>
      <w:r>
        <w:rPr>
          <w:rFonts w:ascii="Palatino Linotype" w:hAnsi="Palatino Linotype"/>
          <w:b w:val="0"/>
          <w:sz w:val="22"/>
        </w:rPr>
        <w:t>6.6 Prototype Implementation</w:t>
        <w:tab/>
        <w:t>65</w:t>
      </w:r>
    </w:p>
    <w:p>
      <w:pPr>
        <w:tabs>
          <w:tab w:pos="8504" w:val="right" w:leader="dot"/>
        </w:tabs>
        <w:spacing w:after="40" w:before="0"/>
        <w:ind w:left="1020"/>
        <w:jc w:val="left"/>
      </w:pPr>
      <w:r>
        <w:rPr>
          <w:rFonts w:ascii="Palatino Linotype" w:hAnsi="Palatino Linotype"/>
          <w:b w:val="0"/>
          <w:sz w:val="22"/>
        </w:rPr>
        <w:t>6.6.1 Realisation in the Prototype</w:t>
        <w:tab/>
        <w:t>65</w:t>
      </w:r>
    </w:p>
    <w:p>
      <w:pPr>
        <w:tabs>
          <w:tab w:pos="8504" w:val="right" w:leader="dot"/>
        </w:tabs>
        <w:spacing w:after="40" w:before="0"/>
        <w:ind w:left="1020"/>
        <w:jc w:val="left"/>
      </w:pPr>
      <w:r>
        <w:rPr>
          <w:rFonts w:ascii="Palatino Linotype" w:hAnsi="Palatino Linotype"/>
          <w:b w:val="0"/>
          <w:sz w:val="22"/>
        </w:rPr>
        <w:t>6.6.2 Steps in the Working of the Prototype for Identity and Authority Verification</w:t>
        <w:tab/>
        <w:t>66</w:t>
      </w:r>
    </w:p>
    <w:p>
      <w:pPr>
        <w:tabs>
          <w:tab w:pos="8504" w:val="right" w:leader="dot"/>
        </w:tabs>
        <w:spacing w:after="40" w:before="0"/>
        <w:ind w:left="454"/>
        <w:jc w:val="left"/>
      </w:pPr>
      <w:r>
        <w:rPr>
          <w:rFonts w:ascii="Palatino Linotype" w:hAnsi="Palatino Linotype"/>
          <w:b w:val="0"/>
          <w:sz w:val="22"/>
        </w:rPr>
        <w:t>6.7 Prototype Validation and Discussion</w:t>
        <w:tab/>
        <w:t>67</w:t>
      </w:r>
    </w:p>
    <w:p>
      <w:pPr>
        <w:tabs>
          <w:tab w:pos="8504" w:val="right" w:leader="dot"/>
        </w:tabs>
        <w:spacing w:after="40" w:before="0"/>
        <w:ind w:left="1020"/>
        <w:jc w:val="left"/>
      </w:pPr>
      <w:r>
        <w:rPr>
          <w:rFonts w:ascii="Palatino Linotype" w:hAnsi="Palatino Linotype"/>
          <w:b w:val="0"/>
          <w:sz w:val="22"/>
        </w:rPr>
        <w:t>6.7.1 Validation of Identity and Authority Verification</w:t>
        <w:tab/>
        <w:t>67</w:t>
      </w:r>
    </w:p>
    <w:p>
      <w:pPr>
        <w:tabs>
          <w:tab w:pos="8504" w:val="right" w:leader="dot"/>
        </w:tabs>
        <w:spacing w:after="40" w:before="0"/>
        <w:ind w:left="1020"/>
        <w:jc w:val="left"/>
      </w:pPr>
      <w:r>
        <w:rPr>
          <w:rFonts w:ascii="Palatino Linotype" w:hAnsi="Palatino Linotype"/>
          <w:b w:val="0"/>
          <w:sz w:val="22"/>
        </w:rPr>
        <w:t>6.7.2 Discussion</w:t>
        <w:tab/>
        <w:t>69</w:t>
      </w:r>
    </w:p>
    <w:p>
      <w:pPr>
        <w:tabs>
          <w:tab w:pos="8504" w:val="right" w:leader="dot"/>
        </w:tabs>
        <w:spacing w:after="40" w:before="0"/>
        <w:ind w:left="454"/>
        <w:jc w:val="left"/>
      </w:pPr>
      <w:r>
        <w:rPr>
          <w:rFonts w:ascii="Palatino Linotype" w:hAnsi="Palatino Linotype"/>
          <w:b w:val="0"/>
          <w:sz w:val="22"/>
        </w:rPr>
        <w:t>6.8 Conclusion</w:t>
        <w:tab/>
        <w:t>70</w:t>
      </w:r>
    </w:p>
    <w:p>
      <w:pPr>
        <w:tabs>
          <w:tab w:pos="8504" w:val="right" w:leader="dot"/>
        </w:tabs>
        <w:spacing w:after="40" w:before="0"/>
        <w:ind w:left="454"/>
        <w:jc w:val="left"/>
      </w:pPr>
      <w:r>
        <w:fldChar w:fldCharType="end"/>
      </w:r>
    </w:p>
    <w:p>
      <w:r>
        <w:br w:type="page"/>
      </w:r>
    </w:p>
    <w:p>
      <w:pPr>
        <w:pStyle w:val="1"/>
        <w:keepNext/>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2.10.</w:t>
        <w:tab/>
        <w:t>23</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34</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35</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41</w:t>
      </w:r>
    </w:p>
    <w:p>
      <w:pPr>
        <w:tabs>
          <w:tab w:pos="8504" w:val="right" w:leader="dot"/>
        </w:tabs>
        <w:spacing w:after="40" w:before="0"/>
        <w:ind w:left="454"/>
        <w:jc w:val="left"/>
      </w:pPr>
      <w:r>
        <w:rPr>
          <w:rFonts w:ascii="Palatino Linotype" w:hAnsi="Palatino Linotype"/>
          <w:b w:val="0"/>
          <w:sz w:val="22"/>
        </w:rPr>
        <w:t>5.2 Functional decomposition of the MVC components.</w:t>
        <w:tab/>
        <w:t>42</w:t>
      </w:r>
    </w:p>
    <w:p>
      <w:pPr>
        <w:tabs>
          <w:tab w:pos="8504" w:val="right" w:leader="dot"/>
        </w:tabs>
        <w:spacing w:after="40" w:before="0"/>
        <w:ind w:left="454"/>
        <w:jc w:val="left"/>
      </w:pPr>
      <w:r>
        <w:rPr>
          <w:rFonts w:ascii="Palatino Linotype" w:hAnsi="Palatino Linotype"/>
          <w:b w:val="0"/>
          <w:sz w:val="22"/>
        </w:rPr>
        <w:t>5.3 Trust predicate evaluation and authorisation decision flow.</w:t>
        <w:tab/>
        <w:t>44</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w:t>
        <w:tab/>
        <w:t>45</w:t>
      </w:r>
    </w:p>
    <w:p>
      <w:pPr>
        <w:tabs>
          <w:tab w:pos="8504" w:val="right" w:leader="dot"/>
        </w:tabs>
        <w:spacing w:after="40" w:before="0"/>
        <w:ind w:left="454"/>
        <w:jc w:val="left"/>
      </w:pPr>
      <w:r>
        <w:rPr>
          <w:rFonts w:ascii="Palatino Linotype" w:hAnsi="Palatino Linotype"/>
          <w:b w:val="0"/>
          <w:sz w:val="22"/>
        </w:rPr>
        <w:t>5.5 RO1 workflow for trust-centric consent creation.</w:t>
        <w:tab/>
        <w:t>48</w:t>
      </w:r>
    </w:p>
    <w:p>
      <w:pPr>
        <w:tabs>
          <w:tab w:pos="8504" w:val="right" w:leader="dot"/>
        </w:tabs>
        <w:spacing w:after="40" w:before="0"/>
        <w:ind w:left="454"/>
        <w:jc w:val="left"/>
      </w:pPr>
      <w:r>
        <w:rPr>
          <w:rFonts w:ascii="Palatino Linotype" w:hAnsi="Palatino Linotype"/>
          <w:b w:val="0"/>
          <w:sz w:val="22"/>
        </w:rPr>
        <w:t>5.6 Six-component consent model C = (I, A, P, T, L, E).</w:t>
        <w:tab/>
        <w:t>49</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w:t>
        <w:tab/>
        <w:t>53</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55</w:t>
      </w:r>
    </w:p>
    <w:p>
      <w:pPr>
        <w:tabs>
          <w:tab w:pos="8504" w:val="right" w:leader="dot"/>
        </w:tabs>
        <w:spacing w:after="40" w:before="0"/>
        <w:ind w:left="454"/>
        <w:jc w:val="left"/>
      </w:pPr>
      <w:r>
        <w:rPr>
          <w:rFonts w:ascii="Palatino Linotype" w:hAnsi="Palatino Linotype"/>
          <w:b w:val="0"/>
          <w:sz w:val="22"/>
        </w:rPr>
        <w:t>6.1 Structure of a decentralised identifier and its DID document (after W3C 2022)</w:t>
        <w:tab/>
        <w:t>60</w:t>
      </w:r>
    </w:p>
    <w:p>
      <w:pPr>
        <w:tabs>
          <w:tab w:pos="8504" w:val="right" w:leader="dot"/>
        </w:tabs>
        <w:spacing w:after="40" w:before="0"/>
        <w:ind w:left="454"/>
        <w:jc w:val="left"/>
      </w:pPr>
      <w:r>
        <w:rPr>
          <w:rFonts w:ascii="Palatino Linotype" w:hAnsi="Palatino Linotype"/>
          <w:b w:val="0"/>
          <w:sz w:val="22"/>
        </w:rPr>
        <w:t>6.2 Structure of the role credential used by the prototype</w:t>
        <w:tab/>
        <w:t>61</w:t>
      </w:r>
    </w:p>
    <w:p>
      <w:pPr>
        <w:tabs>
          <w:tab w:pos="8504" w:val="right" w:leader="dot"/>
        </w:tabs>
        <w:spacing w:after="40" w:before="0"/>
        <w:ind w:left="454"/>
        <w:jc w:val="left"/>
      </w:pPr>
      <w:r>
        <w:rPr>
          <w:rFonts w:ascii="Palatino Linotype" w:hAnsi="Palatino Linotype"/>
          <w:b w:val="0"/>
          <w:sz w:val="22"/>
        </w:rPr>
        <w:t>6.3 RO2 workflow for decentralised identity and authority verification</w:t>
        <w:tab/>
        <w:t>62</w:t>
      </w:r>
    </w:p>
    <w:p>
      <w:pPr>
        <w:tabs>
          <w:tab w:pos="8504" w:val="right" w:leader="dot"/>
        </w:tabs>
        <w:spacing w:after="40" w:before="0"/>
        <w:ind w:left="454"/>
        <w:jc w:val="left"/>
      </w:pPr>
      <w:r>
        <w:rPr>
          <w:rFonts w:ascii="Palatino Linotype" w:hAnsi="Palatino Linotype"/>
          <w:b w:val="0"/>
          <w:sz w:val="22"/>
        </w:rPr>
        <w:t>6.4 Steps of the prototype for verifying the identity and the authority of a participant</w:t>
        <w:tab/>
        <w:t>66</w:t>
      </w:r>
    </w:p>
    <w:p>
      <w:pPr>
        <w:tabs>
          <w:tab w:pos="8504" w:val="right" w:leader="dot"/>
        </w:tabs>
        <w:spacing w:after="40" w:before="0"/>
        <w:ind w:left="454"/>
        <w:jc w:val="left"/>
      </w:pPr>
      <w:r>
        <w:rPr>
          <w:rFonts w:ascii="Palatino Linotype" w:hAnsi="Palatino Linotype"/>
          <w:b w:val="0"/>
          <w:sz w:val="22"/>
        </w:rPr>
        <w:t>6.5 Guardian interface after the credential of did:parent:A has been verified and the approval signed</w:t>
        <w:tab/>
        <w:t>67</w:t>
      </w:r>
    </w:p>
    <w:p>
      <w:pPr>
        <w:tabs>
          <w:tab w:pos="8504" w:val="right" w:leader="dot"/>
        </w:tabs>
        <w:spacing w:after="40" w:before="0"/>
        <w:ind w:left="454"/>
        <w:jc w:val="left"/>
      </w:pPr>
      <w:r>
        <w:rPr>
          <w:rFonts w:ascii="Palatino Linotype" w:hAnsi="Palatino Linotype"/>
          <w:b w:val="0"/>
          <w:sz w:val="22"/>
        </w:rPr>
        <w:t>6.6 Doctor interface for a requester with a valid credential who is not the doctor named in the consent</w:t>
        <w:tab/>
        <w:t>67</w:t>
      </w:r>
    </w:p>
    <w:p>
      <w:pPr>
        <w:tabs>
          <w:tab w:pos="8504" w:val="right" w:leader="dot"/>
        </w:tabs>
        <w:spacing w:after="40" w:before="0"/>
        <w:ind w:left="454"/>
        <w:jc w:val="left"/>
      </w:pPr>
      <w:r>
        <w:fldChar w:fldCharType="end"/>
      </w:r>
    </w:p>
    <w:p>
      <w:r>
        <w:br w:type="page"/>
      </w:r>
    </w:p>
    <w:p>
      <w:pPr>
        <w:pStyle w:val="1"/>
        <w:keepNext/>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12</w:t>
      </w:r>
    </w:p>
    <w:p>
      <w:pPr>
        <w:tabs>
          <w:tab w:pos="8504" w:val="right" w:leader="dot"/>
        </w:tabs>
        <w:spacing w:after="40" w:before="0"/>
        <w:ind w:left="454"/>
        <w:jc w:val="left"/>
      </w:pPr>
      <w:r>
        <w:rPr>
          <w:rFonts w:ascii="Palatino Linotype" w:hAnsi="Palatino Linotype"/>
          <w:b w:val="0"/>
          <w:sz w:val="22"/>
        </w:rPr>
        <w:t>2.3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2.4 Descriptions, issues and limitations of the studies on consent representation</w:t>
        <w:tab/>
        <w:t>15</w:t>
      </w:r>
    </w:p>
    <w:p>
      <w:pPr>
        <w:tabs>
          <w:tab w:pos="8504" w:val="right" w:leader="dot"/>
        </w:tabs>
        <w:spacing w:after="40" w:before="0"/>
        <w:ind w:left="454"/>
        <w:jc w:val="left"/>
      </w:pPr>
      <w:r>
        <w:rPr>
          <w:rFonts w:ascii="Palatino Linotype" w:hAnsi="Palatino Linotype"/>
          <w:b w:val="0"/>
          <w:sz w:val="22"/>
        </w:rPr>
        <w:t>2.5 Descriptions, issues and limitations of the studies on identity and authority</w:t>
        <w:tab/>
        <w:t>16</w:t>
      </w:r>
    </w:p>
    <w:p>
      <w:pPr>
        <w:tabs>
          <w:tab w:pos="8504" w:val="right" w:leader="dot"/>
        </w:tabs>
        <w:spacing w:after="40" w:before="0"/>
        <w:ind w:left="454"/>
        <w:jc w:val="left"/>
      </w:pPr>
      <w:r>
        <w:rPr>
          <w:rFonts w:ascii="Palatino Linotype" w:hAnsi="Palatino Linotype"/>
          <w:b w:val="0"/>
          <w:sz w:val="22"/>
        </w:rPr>
        <w:t>2.6 Descriptions, issues and limitations of the studies on multi-party authorisation</w:t>
        <w:tab/>
        <w:t>17</w:t>
      </w:r>
    </w:p>
    <w:p>
      <w:pPr>
        <w:tabs>
          <w:tab w:pos="8504" w:val="right" w:leader="dot"/>
        </w:tabs>
        <w:spacing w:after="40" w:before="0"/>
        <w:ind w:left="454"/>
        <w:jc w:val="left"/>
      </w:pPr>
      <w:r>
        <w:rPr>
          <w:rFonts w:ascii="Palatino Linotype" w:hAnsi="Palatino Linotype"/>
          <w:b w:val="0"/>
          <w:sz w:val="22"/>
        </w:rPr>
        <w:t>2.7 Descriptions, issues and limitations of the studies on policy and context</w:t>
        <w:tab/>
        <w:t>18</w:t>
      </w:r>
    </w:p>
    <w:p>
      <w:pPr>
        <w:tabs>
          <w:tab w:pos="8504" w:val="right" w:leader="dot"/>
        </w:tabs>
        <w:spacing w:after="40" w:before="0"/>
        <w:ind w:left="454"/>
        <w:jc w:val="left"/>
      </w:pPr>
      <w:r>
        <w:rPr>
          <w:rFonts w:ascii="Palatino Linotype" w:hAnsi="Palatino Linotype"/>
          <w:b w:val="0"/>
          <w:sz w:val="22"/>
        </w:rPr>
        <w:t>2.8 Descriptions, issues and limitations of the studies on temporal validity and lifecycle</w:t>
        <w:tab/>
        <w:t>19</w:t>
      </w:r>
    </w:p>
    <w:p>
      <w:pPr>
        <w:tabs>
          <w:tab w:pos="8504" w:val="right" w:leader="dot"/>
        </w:tabs>
        <w:spacing w:after="40" w:before="0"/>
        <w:ind w:left="454"/>
        <w:jc w:val="left"/>
      </w:pPr>
      <w:r>
        <w:rPr>
          <w:rFonts w:ascii="Palatino Linotype" w:hAnsi="Palatino Linotype"/>
          <w:b w:val="0"/>
          <w:sz w:val="22"/>
        </w:rPr>
        <w:t>2.9 Descriptions, issues and limitations of the studies on security assurance</w:t>
        <w:tab/>
        <w:t>20</w:t>
      </w:r>
    </w:p>
    <w:p>
      <w:pPr>
        <w:tabs>
          <w:tab w:pos="8504" w:val="right" w:leader="dot"/>
        </w:tabs>
        <w:spacing w:after="40" w:before="0"/>
        <w:ind w:left="454"/>
        <w:jc w:val="left"/>
      </w:pPr>
      <w:r>
        <w:rPr>
          <w:rFonts w:ascii="Palatino Linotype" w:hAnsi="Palatino Linotype"/>
          <w:b w:val="0"/>
          <w:sz w:val="22"/>
        </w:rPr>
        <w:t>2.10 Comparison of the included studies against the key requirements</w:t>
        <w:tab/>
        <w:t>22</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32</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46</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46</w:t>
      </w:r>
    </w:p>
    <w:p>
      <w:pPr>
        <w:tabs>
          <w:tab w:pos="8504" w:val="right" w:leader="dot"/>
        </w:tabs>
        <w:spacing w:after="40" w:before="0"/>
        <w:ind w:left="454"/>
        <w:jc w:val="left"/>
      </w:pPr>
      <w:r>
        <w:rPr>
          <w:rFonts w:ascii="Palatino Linotype" w:hAnsi="Palatino Linotype"/>
          <w:b w:val="0"/>
          <w:sz w:val="22"/>
        </w:rPr>
        <w:t>5.3 Synthea tables loaded by the prototype and the consent module supplied by each</w:t>
        <w:tab/>
        <w:t>52</w:t>
      </w:r>
    </w:p>
    <w:p>
      <w:pPr>
        <w:tabs>
          <w:tab w:pos="8504" w:val="right" w:leader="dot"/>
        </w:tabs>
        <w:spacing w:after="40" w:before="0"/>
        <w:ind w:left="454"/>
        <w:jc w:val="left"/>
      </w:pPr>
      <w:r>
        <w:rPr>
          <w:rFonts w:ascii="Palatino Linotype" w:hAnsi="Palatino Linotype"/>
          <w:b w:val="0"/>
          <w:sz w:val="22"/>
        </w:rPr>
        <w:t>5.4 Validation results of the prototype for consent creation</w:t>
        <w:tab/>
        <w:t>55</w:t>
      </w:r>
    </w:p>
    <w:p>
      <w:pPr>
        <w:tabs>
          <w:tab w:pos="8504" w:val="right" w:leader="dot"/>
        </w:tabs>
        <w:spacing w:after="40" w:before="0"/>
        <w:ind w:left="454"/>
        <w:jc w:val="left"/>
      </w:pPr>
      <w:r>
        <w:rPr>
          <w:rFonts w:ascii="Palatino Linotype" w:hAnsi="Palatino Linotype"/>
          <w:b w:val="0"/>
          <w:sz w:val="22"/>
        </w:rPr>
        <w:t>5.5 Security properties supported by the proposed MVC-based consent architecture</w:t>
        <w:tab/>
        <w:t>56</w:t>
      </w:r>
    </w:p>
    <w:p>
      <w:pPr>
        <w:tabs>
          <w:tab w:pos="8504" w:val="right" w:leader="dot"/>
        </w:tabs>
        <w:spacing w:after="40" w:before="0"/>
        <w:ind w:left="454"/>
        <w:jc w:val="left"/>
      </w:pPr>
      <w:r>
        <w:rPr>
          <w:rFonts w:ascii="Palatino Linotype" w:hAnsi="Palatino Linotype"/>
          <w:b w:val="0"/>
          <w:sz w:val="22"/>
        </w:rPr>
        <w:t>6.1 Validation results of the prototype for identity and authority verification</w:t>
        <w:tab/>
        <w:t>69</w:t>
      </w:r>
    </w:p>
    <w:p>
      <w:pPr>
        <w:tabs>
          <w:tab w:pos="8504" w:val="right" w:leader="dot"/>
        </w:tabs>
        <w:spacing w:after="40" w:before="0"/>
        <w:ind w:left="454"/>
        <w:jc w:val="left"/>
      </w:pPr>
      <w:r>
        <w:fldChar w:fldCharType="end"/>
      </w:r>
    </w:p>
    <w:p>
      <w:r>
        <w:br w:type="page"/>
      </w:r>
    </w:p>
    <w:p>
      <w:pPr>
        <w:pStyle w:val="1"/>
        <w:keepNext/>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8"/>
          <w:headerReference w:type="even" r:id="rId49"/>
          <w:footerReference w:type="default" r:id="rId50"/>
          <w:footerReference w:type="even" r:id="rId51"/>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keepNext/>
        <w:spacing w:before="360"/>
      </w:pPr>
      <w:r/>
      <w:r>
        <w:rPr>
          <w:color w:val="FFFFFF"/>
          <w:sz w:val="2"/>
        </w:rPr>
        <w:t xml:space="preserve">1. </w:t>
      </w:r>
      <w:r>
        <w:rPr>
          <w:smallCaps/>
        </w:rPr>
        <w:t>Introduction</w:t>
      </w:r>
    </w:p>
    <w:p>
      <w:pPr>
        <w:pStyle w:val="2"/>
        <w:keepNext/>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keepNext/>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keepNext/>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keepNext/>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keepNext/>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keepNext/>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keepNext/>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keepNext/>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keepNext/>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keepNext/>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keepNext/>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keepNext/>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keepNext/>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keepNext/>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keepNext/>
      </w:pPr>
      <w:r>
        <w:t>1.11 Research Contribution</w:t>
      </w:r>
    </w:p>
    <w:p>
      <w:pPr>
        <w:pStyle w:val="3"/>
        <w:keepNext/>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keepNext/>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keepNext/>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keepNext/>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keepNext/>
        <w:spacing w:before="360"/>
      </w:pPr>
      <w:r/>
      <w:r>
        <w:rPr>
          <w:color w:val="FFFFFF"/>
          <w:sz w:val="2"/>
        </w:rPr>
        <w:t xml:space="preserve">2. </w:t>
      </w:r>
      <w:r>
        <w:rPr>
          <w:smallCaps/>
        </w:rPr>
        <w:t>A Systematic Literature Review</w:t>
      </w:r>
    </w:p>
    <w:p>
      <w:pPr>
        <w:pStyle w:val="2"/>
        <w:keepNext/>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keepNext/>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keepNext/>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keepNext/>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keepNext/>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keepNext/>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keepNext/>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keepNext/>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keepNext/>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t>The review is guided by the six key requirements of Section 2.2, and the six quality evaluation questions of Step 3 are derived from them, one for each requirement.</w:t>
      </w:r>
    </w:p>
    <w:p>
      <w:pPr>
        <w:pStyle w:val="3"/>
        <w:keepNext/>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keepNext/>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keepNext/>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keepNext/>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keepNext/>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keepNext/>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2.4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keepNext/>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keepNext/>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keepNext/>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keepNext/>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 xml:space="preserve">Req 5 is graded Yes in 8 studies, </w:t>
      </w:r>
      <w:r>
        <w:t>a post-revocation denial is demonstrated only by Phuyal et al. (2026b), which enforces revocation but not expiry, so it does not fully satisfy Req 5,</w:t>
      </w:r>
      <w:r>
        <w:t xml:space="preserve">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keepNext/>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keepNext/>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w:t>
      </w:r>
      <w: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2.10.</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keepNext/>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keepNext/>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keepNext/>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keepNext/>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keepNext/>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keepNext/>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keepNext/>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keepNext/>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keepNext/>
        <w:spacing w:before="360"/>
      </w:pPr>
      <w:r/>
      <w:r>
        <w:rPr>
          <w:color w:val="FFFFFF"/>
          <w:sz w:val="2"/>
        </w:rPr>
        <w:t xml:space="preserve">3. </w:t>
      </w:r>
      <w:r>
        <w:rPr>
          <w:smallCaps/>
        </w:rPr>
        <w:t>Research Questions and Objectives</w:t>
      </w:r>
    </w:p>
    <w:p>
      <w:pPr>
        <w:pStyle w:val="2"/>
        <w:keepNext/>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keepNext/>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keepNext/>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keepNext/>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keepNext/>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t xml:space="preserve">A valid authorisation decision requires the simultaneous satisfaction of all relevant trust conditions. Consequently, failure of any individual condition results in denial. In the prototype, an ALLOW decision additionally </w:t>
      </w:r>
      <w:r>
        <w:t>requires the Groth16 ZK proof (Groth 2016) to verify, so a request that satisfies the five predicates is still denied when the proof fails, as in attack A9 (Chapter 10).</w:t>
      </w:r>
      <w:r>
        <w:t xml:space="preserve">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keepNext/>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keepNext/>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keepNext/>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keepNext/>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keepNext/>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keepNext/>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keepNext/>
      </w:pPr>
      <w:r>
        <w:t>3.5.6 RO6: Formal Security Assurance and Empirical Validation</w:t>
      </w:r>
    </w:p>
    <w:p w14:paraId="764837CE" w14:textId="77777777" w:rsidR="009262C4" w:rsidRDefault="00000000">
      <w:pPr>
        <w:spacing w:after="110" w:line="264" w:lineRule="auto"/>
        <w:jc w:val="both"/>
      </w:pPr>
      <w:r>
        <w:t>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w:t>
      </w:r>
      <w:r>
        <w:t>.</w:t>
      </w:r>
      <w:r>
        <w:t xml:space="preserve">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keepNext/>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keepNext/>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keepNext/>
        <w:spacing w:before="360"/>
      </w:pPr>
      <w:r/>
      <w:r>
        <w:rPr>
          <w:color w:val="FFFFFF"/>
          <w:sz w:val="2"/>
        </w:rPr>
        <w:t xml:space="preserve">4. </w:t>
      </w:r>
      <w:r>
        <w:rPr>
          <w:smallCaps/>
        </w:rPr>
        <w:t>Research Methodology and Solution Overview</w:t>
      </w:r>
    </w:p>
    <w:p>
      <w:pPr>
        <w:pStyle w:val="2"/>
        <w:keepNext/>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keepNext/>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keepNext/>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keepNext/>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keepNext/>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keepNext/>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keepNext/>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keepNext/>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keepNext/>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keepNext/>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keepNext/>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keepNext/>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t>2.</w:t>
        <w:tab/>
      </w:r>
      <w:r>
        <w:rPr>
          <w:b/>
        </w:rPr>
        <w:t xml:space="preserve">Solidity: </w:t>
      </w:r>
      <w: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t>4.</w:t>
        <w:tab/>
      </w:r>
      <w:r>
        <w:rPr>
          <w:b/>
        </w:rPr>
        <w:t xml:space="preserve">EIP-712 and Groth16: </w:t>
      </w:r>
      <w: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w:t>
      </w:r>
      <w:r>
        <w:t>The requester's DID is declared</w:t>
      </w:r>
      <w:r>
        <w:t xml:space="preserve"> in the 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w:t>
      </w:r>
    </w:p>
    <w:p>
      <w:pPr/>
      <w: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Decision(C, R, t) = ALLOW ⟺ V</w:t>
      </w:r>
      <w:r>
        <w:rPr>
          <w:rFonts w:ascii="Cambria Math" w:hAnsi="Cambria Math" w:cs="Cambria Math" w:eastAsia="Cambria Math"/>
          <w:sz w:val="18"/>
          <w:vertAlign w:val="subscript"/>
        </w:rPr>
        <w:t>I</w:t>
      </w:r>
      <w:r>
        <w:rPr>
          <w:rFonts w:ascii="Cambria Math" w:hAnsi="Cambria Math" w:cs="Cambria Math" w:eastAsia="Cambria Math"/>
          <w:sz w:val="18"/>
        </w:rPr>
        <w:t>(u) ∧ V</w:t>
      </w:r>
      <w:r>
        <w:rPr>
          <w:rFonts w:ascii="Cambria Math" w:hAnsi="Cambria Math" w:cs="Cambria Math" w:eastAsia="Cambria Math"/>
          <w:sz w:val="18"/>
          <w:vertAlign w:val="subscript"/>
        </w:rPr>
        <w:t>A</w:t>
      </w:r>
      <w:r>
        <w:rPr>
          <w:rFonts w:ascii="Cambria Math" w:hAnsi="Cambria Math" w:cs="Cambria Math" w:eastAsia="Cambria Math"/>
          <w:sz w:val="18"/>
        </w:rPr>
        <w:t>(C) ∧ V</w:t>
      </w:r>
      <w:r>
        <w:rPr>
          <w:rFonts w:ascii="Cambria Math" w:hAnsi="Cambria Math" w:cs="Cambria Math" w:eastAsia="Cambria Math"/>
          <w:sz w:val="18"/>
          <w:vertAlign w:val="subscript"/>
        </w:rPr>
        <w:t>P</w:t>
      </w:r>
      <w:r>
        <w:rPr>
          <w:rFonts w:ascii="Cambria Math" w:hAnsi="Cambria Math" w:cs="Cambria Math" w:eastAsia="Cambria Math"/>
          <w:sz w:val="18"/>
        </w:rPr>
        <w:t>(C, R) ∧ V</w:t>
      </w:r>
      <w:r>
        <w:rPr>
          <w:rFonts w:ascii="Cambria Math" w:hAnsi="Cambria Math" w:cs="Cambria Math" w:eastAsia="Cambria Math"/>
          <w:sz w:val="18"/>
          <w:vertAlign w:val="subscript"/>
        </w:rPr>
        <w:t>T</w:t>
      </w:r>
      <w:r>
        <w:rPr>
          <w:rFonts w:ascii="Cambria Math" w:hAnsi="Cambria Math" w:cs="Cambria Math" w:eastAsia="Cambria Math"/>
          <w:sz w:val="18"/>
        </w:rPr>
        <w:t>(C, t) ∧ V</w:t>
      </w:r>
      <w:r>
        <w:rPr>
          <w:rFonts w:ascii="Cambria Math" w:hAnsi="Cambria Math" w:cs="Cambria Math" w:eastAsia="Cambria Math"/>
          <w:sz w:val="18"/>
          <w:vertAlign w:val="subscript"/>
        </w:rPr>
        <w:t>L</w:t>
      </w:r>
      <w:r>
        <w:rPr>
          <w:rFonts w:ascii="Cambria Math" w:hAnsi="Cambria Math" w:cs="Cambria Math" w:eastAsia="Cambria Math"/>
          <w:sz w:val="18"/>
        </w:rPr>
        <w:t>(C).</w:t>
      </w:r>
      <w:r>
        <w:rPr/>
        <w:tab/>
        <w:t>(5.1)</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¬(V</w:t>
      </w:r>
      <w:r>
        <w:rPr>
          <w:rFonts w:ascii="Cambria Math" w:hAnsi="Cambria Math" w:cs="Cambria Math" w:eastAsia="Cambria Math"/>
          <w:sz w:val="18"/>
          <w:vertAlign w:val="subscript"/>
        </w:rPr>
        <w:t>I</w:t>
      </w:r>
      <w:r>
        <w:rPr>
          <w:rFonts w:ascii="Cambria Math" w:hAnsi="Cambria Math" w:cs="Cambria Math" w:eastAsia="Cambria Math"/>
          <w:sz w:val="18"/>
        </w:rPr>
        <w:t xml:space="preserve"> ∧ V</w:t>
      </w:r>
      <w:r>
        <w:rPr>
          <w:rFonts w:ascii="Cambria Math" w:hAnsi="Cambria Math" w:cs="Cambria Math" w:eastAsia="Cambria Math"/>
          <w:sz w:val="18"/>
          <w:vertAlign w:val="subscript"/>
        </w:rPr>
        <w:t>A</w:t>
      </w:r>
      <w:r>
        <w:rPr>
          <w:rFonts w:ascii="Cambria Math" w:hAnsi="Cambria Math" w:cs="Cambria Math" w:eastAsia="Cambria Math"/>
          <w:sz w:val="18"/>
        </w:rPr>
        <w:t xml:space="preserve"> ∧ V</w:t>
      </w:r>
      <w:r>
        <w:rPr>
          <w:rFonts w:ascii="Cambria Math" w:hAnsi="Cambria Math" w:cs="Cambria Math" w:eastAsia="Cambria Math"/>
          <w:sz w:val="18"/>
          <w:vertAlign w:val="subscript"/>
        </w:rPr>
        <w:t>P</w:t>
      </w:r>
      <w:r>
        <w:rPr>
          <w:rFonts w:ascii="Cambria Math" w:hAnsi="Cambria Math" w:cs="Cambria Math" w:eastAsia="Cambria Math"/>
          <w:sz w:val="18"/>
        </w:rPr>
        <w:t xml:space="preserve"> ∧ V</w:t>
      </w:r>
      <w:r>
        <w:rPr>
          <w:rFonts w:ascii="Cambria Math" w:hAnsi="Cambria Math" w:cs="Cambria Math" w:eastAsia="Cambria Math"/>
          <w:sz w:val="18"/>
          <w:vertAlign w:val="subscript"/>
        </w:rPr>
        <w:t>T</w:t>
      </w:r>
      <w:r>
        <w:rPr>
          <w:rFonts w:ascii="Cambria Math" w:hAnsi="Cambria Math" w:cs="Cambria Math" w:eastAsia="Cambria Math"/>
          <w:sz w:val="18"/>
        </w:rPr>
        <w:t xml:space="preserve"> ∧ V</w:t>
      </w:r>
      <w:r>
        <w:rPr>
          <w:rFonts w:ascii="Cambria Math" w:hAnsi="Cambria Math" w:cs="Cambria Math" w:eastAsia="Cambria Math"/>
          <w:sz w:val="18"/>
          <w:vertAlign w:val="subscript"/>
        </w:rPr>
        <w:t>L</w:t>
      </w:r>
      <w:r>
        <w:rPr>
          <w:rFonts w:ascii="Cambria Math" w:hAnsi="Cambria Math" w:cs="Cambria Math" w:eastAsia="Cambria Math"/>
          <w:sz w:val="18"/>
        </w:rPr>
        <w:t>) ⟹ Decision(C, R, t) = DENY.</w:t>
      </w:r>
      <w:r>
        <w:rP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(5.3)</w:t>
      </w:r>
    </w:p>
    <w:p w14:paraId="63094BBA" w14:textId="77777777" w:rsidR="009262C4" w:rsidRDefault="00000000">
      <w:pPr>
        <w:spacing w:after="110" w:line="264" w:lineRule="auto"/>
        <w:jc w:val="both"/>
      </w:pPr>
      <w: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w:t>
      </w:r>
      <w:r>
        <w:t>.</w:t>
      </w:r>
    </w:p>
    <w:p>
      <w:pPr>
        <w:pStyle w:val="3"/>
        <w:keepNext/>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keepNext/>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w:t>
            </w:r>
          </w:p>
        </w:tc>
      </w:tr>
    </w:tbl>
    <w:p>
      <w:pPr>
        <w:pStyle w:val="2"/>
        <w:keepNext/>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keepNext/>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creation is logged; a rejected specification stores and logs nothing.</w:t>
            </w:r>
          </w:p>
        </w:tc>
      </w:tr>
    </w:tbl>
    <w:p>
      <w:pPr>
        <w:pStyle w:val="3"/>
        <w:keepNext/>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6</w:t>
            </w:r>
          </w:p>
        </w:tc>
      </w:tr>
    </w:tbl>
    <w:p>
      <w:pPr>
        <w:pStyle w:val="1"/>
        <w:keepNext/>
        <w:spacing w:before="360"/>
      </w:pPr>
      <w:r/>
      <w:r>
        <w:rPr>
          <w:color w:val="FFFFFF"/>
          <w:sz w:val="2"/>
        </w:rPr>
        <w:t xml:space="preserve">6. </w:t>
      </w:r>
      <w:r>
        <w:rPr>
          <w:smallCaps/>
        </w:rPr>
        <w:t>Decentralised Identity and Authority Trust</w:t>
      </w:r>
    </w:p>
    <w:p>
      <w:pPr>
        <w:pStyle w:val="2"/>
        <w:keepNext/>
      </w:pPr>
      <w:r>
        <w:t>6.1 Introduction</w:t>
      </w:r>
    </w:p>
    <w:p>
      <w:pPr/>
      <w:r>
        <w:t>In the last chapter, we presented the research architecture and the trust-centric consent model, in which patient consent is created as the evaluable object C = (I, A, P, T, L, E). The identity component I of that object names the patient, the authorised doctor and the guardian set G, but naming a participant does not establish who that participant is or what that participant may do. A key attribute of a trustworthy authorisation decision is that identity and authority are distinct: a participant who can be identified is not thereby authorised, and a participant who holds a credential is not thereby the participant named in the consent (Mazzocca et al. 2025). Hence, it is important that the identity of a participant and the authority that the participant holds are verified as separate conditions before the participant takes part in a consent decision or requests healthcare data.</w:t>
      </w:r>
    </w:p>
    <w:p>
      <w:pPr/>
      <w:r>
        <w:t>In this chapter, building on the consent object presented in the last chapter, we present a decentralised method to verify the identity and the authority of a participant. In our work, we use decentralised identifiers coupled with verifiable credentials to model and verify who a participant is and which role the participant holds, and the result of this verification is the predicate VI of the authorisation decision; this provides a complete solution to research objective 2. In this chapter, we also present the results of the validation of the proposed solution to research question two, using the HALAH prototype introduced in Chapter 5.</w:t>
      </w:r>
    </w:p>
    <w:p>
      <w:pPr/>
      <w:r>
        <w:t>This chapter is described as follows: In Section 6.2, we provide a detailed explanation of decentralised identifiers, verifiable credentials, and the credential store and trusted-issuer registry of the prototype. In Section 6.3, the principle that identity is not authorisation and the verification condition VI are presented, and Section 6.4 shows the identity and authority verification workflow. Furthermore, Section 6.5 provides the step-by-step procedure and Algorithm 2 required to carry out the verification. Section 6.6 describes how the verification is realised in the prototype and the steps of its working, the proposed solution is validated in Section 6.7, while Section 6.8 concludes this chapter.</w:t>
      </w:r>
    </w:p>
    <w:p>
      <w:pPr>
        <w:pStyle w:val="2"/>
        <w:keepNext/>
      </w:pPr>
      <w:r>
        <w:t>6.2 Decentralised Identifiers and Verifiable Credentials</w:t>
      </w:r>
    </w:p>
    <w:p>
      <w:pPr/>
      <w:r>
        <w:t>A decentralised identifier (DID) can be defined as a globally unique identifier that is created and controlled by its subject without a central registration authority, and that resolves to a DID document holding the cryptographic material needed to verify the controller of the identifier (W3C 2022). In basic terms, a DID gives a participant an identity reference that no single healthcare institution owns, while a verifiable credential (VC) gives a participant a signed statement about an attribute, such as a professional role, that any party can verify from the signature of the issuer (W3C 2025). Today, DIDs and VCs are being applied in different fields, among them healthcare, education and government identity, so that a holder can present claims made by one issuer to another verifier (Mazzocca et al. 2025). In this thesis, the two are used together: the DID answers the question of who the participant is, and the VC answers the question of what the participant may do.</w:t>
      </w:r>
    </w:p>
    <w:p>
      <w:pPr>
        <w:pStyle w:val="3"/>
        <w:keepNext/>
      </w:pPr>
      <w:r>
        <w:t>6.2.1 Decentralised Identifiers</w:t>
      </w:r>
    </w:p>
    <w:p>
      <w:pPr/>
      <w:r>
        <w:t>A DID is a string with three parts separated by colons: the scheme did, the DID method, and the method-specific identifier (W3C 2022). For example, the identifier did:hospital:001 used in the prototype has the method hospital and the method-specific identifier 001. The method defines how an identifier is created, resolved, updated and deactivated. Resolving a DID returns its DID document, which lists the verification methods, such as public keys, by which the controller of the DID proves control of it, and may list the service endpoints at which the controller can be reached (W3C 2022). Figure 6.1 shows this structure.</w:t>
      </w:r>
    </w:p>
    <w:p>
      <w:pPr/>
      <w:r>
        <w:t>In this thesis, a DID is the identity reference of every participant. The patient, the authorised doctor and each guardian are named in the consent object by their DIDs, and the DID of a requester is the identity against which the credential of Section 6.2.2 is checked. In the current prototype a DID is checked for its syntax, and the resolution of the DID document is reserved for the next stage, as Section 6.6 explains.</w:t>
      </w:r>
    </w:p>
    <w:p>
      <w:pPr>
        <w:jc w:val="center"/>
      </w:pPr>
      <w:r>
        <w:drawing>
          <wp:inline xmlns:a="http://schemas.openxmlformats.org/drawingml/2006/main" xmlns:pic="http://schemas.openxmlformats.org/drawingml/2006/picture">
            <wp:extent cx="4680000" cy="2220317"/>
            <wp:docPr id="2086885385" name="Picture 2086885385"/>
            <wp:cNvGraphicFramePr>
              <a:graphicFrameLocks noChangeAspect="1"/>
            </wp:cNvGraphicFramePr>
            <a:graphic>
              <a:graphicData uri="http://schemas.openxmlformats.org/drawingml/2006/picture">
                <pic:pic>
                  <pic:nvPicPr>
                    <pic:cNvPr id="0" name="ch6_did_structure.png"/>
                    <pic:cNvPicPr/>
                  </pic:nvPicPr>
                  <pic:blipFill>
                    <a:blip r:embed="rId40"/>
                    <a:stretch>
                      <a:fillRect/>
                    </a:stretch>
                  </pic:blipFill>
                  <pic:spPr>
                    <a:xfrm>
                      <a:off x="0" y="0"/>
                      <a:ext cx="4680000" cy="2220317"/>
                    </a:xfrm>
                    <a:prstGeom prst="rect"/>
                  </pic:spPr>
                </pic:pic>
              </a:graphicData>
            </a:graphic>
          </wp:inline>
        </w:drawing>
      </w:r>
    </w:p>
    <w:p>
      <w:pPr>
        <w:spacing w:before="160" w:after="160"/>
        <w:jc w:val="center"/>
      </w:pPr>
      <w:r>
        <w:rPr>
          <w:sz w:val="20"/>
        </w:rPr>
        <w:t>Figure 6.1: Structure of a decentralised identifier and its DID document (after W3C 2022)</w:t>
      </w:r>
    </w:p>
    <w:p>
      <w:pPr>
        <w:pStyle w:val="3"/>
        <w:keepNext/>
      </w:pPr>
      <w:r>
        <w:t>6.2.2 Verifiable Credentials</w:t>
      </w:r>
    </w:p>
    <w:p>
      <w:pPr/>
      <w:r>
        <w:t>A verifiable credential is a set of claims made by an issuer about a subject, together with a proof that lets a verifier check that the claims were made by that issuer and have not been altered (W3C 2025). Three roles take part. The issuer signs the credential and gives it to the holder, the holder keeps the credential and presents it, and the verifier checks the proof and the claims (W3C 2025). The data model defines, among other properties, the issuer, the validity period validFrom and validUntil, the credentialSubject, which holds the identifier of the subject and the claims about it, and the proof (W3C 2025).</w:t>
      </w:r>
    </w:p>
    <w:p>
      <w:pPr/>
      <w:r>
        <w:t>In this study, the credential is a role credential: it states that the subject DID holds the role doctor or guardian and names the organisation of the holder, if any. The credential used by the prototype follows this structure, as Figure 6.2 shows, and its proof is an EIP-712 typed-data signature of the issuer (Bloemen, Logvinov &amp; Evans 2017), so the same signature scheme serves the credentials of this chapter and the guardian approvals of Chapter 7. A credential is taken to be valid only when its signature verifies, its issuer is trusted, its subject is the DID that presents it, and the time of the check lies inside its validity period; the role claim is then compared with the role that the step requires.</w:t>
      </w:r>
    </w:p>
    <w:p>
      <w:pPr>
        <w:jc w:val="center"/>
      </w:pPr>
      <w:r>
        <w:drawing>
          <wp:inline xmlns:a="http://schemas.openxmlformats.org/drawingml/2006/main" xmlns:pic="http://schemas.openxmlformats.org/drawingml/2006/picture">
            <wp:extent cx="3780000" cy="2281520"/>
            <wp:docPr id="2086885386" name="Picture 2086885386"/>
            <wp:cNvGraphicFramePr>
              <a:graphicFrameLocks noChangeAspect="1"/>
            </wp:cNvGraphicFramePr>
            <a:graphic>
              <a:graphicData uri="http://schemas.openxmlformats.org/drawingml/2006/picture">
                <pic:pic>
                  <pic:nvPicPr>
                    <pic:cNvPr id="0" name="ch6_credential_structure.png"/>
                    <pic:cNvPicPr/>
                  </pic:nvPicPr>
                  <pic:blipFill>
                    <a:blip r:embed="rId41"/>
                    <a:stretch>
                      <a:fillRect/>
                    </a:stretch>
                  </pic:blipFill>
                  <pic:spPr>
                    <a:xfrm>
                      <a:off x="0" y="0"/>
                      <a:ext cx="3780000" cy="2281520"/>
                    </a:xfrm>
                    <a:prstGeom prst="rect"/>
                  </pic:spPr>
                </pic:pic>
              </a:graphicData>
            </a:graphic>
          </wp:inline>
        </w:drawing>
      </w:r>
    </w:p>
    <w:p>
      <w:pPr>
        <w:spacing w:before="160" w:after="160"/>
        <w:jc w:val="center"/>
      </w:pPr>
      <w:r>
        <w:rPr>
          <w:sz w:val="20"/>
        </w:rPr>
        <w:t>Figure 6.2: Structure of the role credential used by the prototype</w:t>
      </w:r>
    </w:p>
    <w:p>
      <w:pPr>
        <w:pStyle w:val="3"/>
        <w:keepNext/>
      </w:pPr>
      <w:r>
        <w:t>6.2.3 Credential Store and Trusted Issuers</w:t>
      </w:r>
    </w:p>
    <w:p>
      <w:pPr/>
      <w:r>
        <w:t>The verification of Section 6.5 relies on two stores. The credential store holds the credential of each participant DID and stands in for the wallet of the holder at this stage of the prototype. The trusted-issuer registry maps the DID of each accepted issuer to the address to which its credential signatures must recover. A credential from an issuer that is not in the registry fails the issuer condition, and a credential whose signature recovers to another address fails the signature condition, so the two conditions are checked separately and recorded separately. In the current prototype, the registry holds one demo issuer, did:halah:issuer:demo-health-authority, and the credential store holds the credentials of four guardians and three doctors, from which the two guardians and the two doctors of the demonstrations are drawn. The key of the demo issuer can be reproduced from the source code, so the check demonstrates the verification steps and not the secrecy of the issuer key, as Chapter 5 noted.</w:t>
      </w:r>
    </w:p>
    <w:p>
      <w:pPr>
        <w:pStyle w:val="2"/>
        <w:keepNext/>
      </w:pPr>
      <w:r>
        <w:t>6.3 Overview of Decentralised Identity and Authority Trust</w:t>
      </w:r>
    </w:p>
    <w:p w14:paraId="6F769227" w14:textId="77777777" w:rsidR="009262C4" w:rsidRDefault="00000000">
      <w:pPr>
        <w:spacing w:after="110" w:line="264" w:lineRule="auto"/>
        <w:jc w:val="both"/>
      </w:pPr>
      <w: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w:t>
      </w:r>
      <w:r>
        <w:t>Equation (6.1)</w:t>
      </w:r>
      <w:r>
        <w:t>.</w:t>
      </w:r>
    </w:p>
    <w:p w14:paraId="32D1DC8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r>
      <w:r>
        <w:t>(6.1)</w:t>
      </w:r>
    </w:p>
    <w:p w14:paraId="3805F259" w14:textId="77777777" w:rsidR="009262C4" w:rsidRDefault="00000000">
      <w:pPr>
        <w:spacing w:after="110" w:line="264" w:lineRule="auto"/>
        <w:jc w:val="both"/>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w:t>
      </w:r>
      <w:r>
        <w:t>Equation (6.2)</w:t>
      </w:r>
      <w:r>
        <w:t xml:space="preserve">, where u is the requesting participant and Authority(u, C) establishes whether the verified authority matches the role required by the consent. The DID verification process establishes whether the identity reference is valid. In the current prototype this check is structural, </w:t>
      </w:r>
      <w:r>
        <w:t>as Section 6.6 explains</w:t>
      </w:r>
      <w:r>
        <w:t>. The VC verification process establishes whether the participant possesses valid authority evidence. The final authorisation decision remains dependent on the consent requirements and access policy.</w:t>
      </w:r>
    </w:p>
    <w:p w14:paraId="572F08D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(u) = VerifyDID(u) ∧ VerifyVC(u) ∧ Authority(u, C).</w:t>
      </w:r>
      <w:r>
        <w:tab/>
      </w:r>
      <w:r>
        <w:t>(6.2)</w:t>
      </w:r>
    </w:p>
    <w:p>
      <w:pPr>
        <w:pStyle w:val="2"/>
        <w:keepNext/>
      </w:pPr>
      <w:r>
        <w:t>6.4 Identity and Authority Verification Workflow</w:t>
      </w:r>
    </w:p>
    <w:p w14:paraId="716D08AD" w14:textId="77777777" w:rsidR="009262C4" w:rsidRDefault="00000000">
      <w:pPr>
        <w:spacing w:after="110" w:line="264" w:lineRule="auto"/>
        <w:jc w:val="both"/>
      </w:pPr>
      <w: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w:t>
      </w:r>
      <w:r>
        <w:t>As shown in Figure 6.3, the output</w:t>
      </w:r>
      <w:r>
        <w:t xml:space="preserve"> of RO2 is not an access-grant decision. It is a verified identity and authority result that can be consumed by RO3 and RO4. This separation prevents a participant from obtaining access merely by presenting a valid identity credential.</w:t>
      </w:r>
    </w:p>
    <w:p>
      <w:pPr/>
      <w:r>
        <w:t>Figure 6.3 shows the target design of the workflow. Full DID resolution is planned for the next stage, whereas the current prototype performs a DID-format check, a check of a demo-issuer credential and EIP-712 signature recovery, as Section 6.6 explains.</w:t>
      </w:r>
    </w:p>
    <w:p w14:paraId="7EF2BF9E"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581400" cy="5334000"/>
                    </a:xfrm>
                    <a:prstGeom prst="rect">
                      <a:avLst/>
                    </a:prstGeom>
                  </pic:spPr>
                </pic:pic>
              </a:graphicData>
            </a:graphic>
          </wp:inline>
        </w:drawing>
      </w:r>
    </w:p>
    <w:p w14:paraId="41AE0A75" w14:textId="77777777" w:rsidR="009262C4" w:rsidRDefault="00000000">
      <w:pPr>
        <w:spacing w:after="160" w:before="160"/>
        <w:jc w:val="center"/>
      </w:pPr>
      <w:r>
        <w:rPr>
          <w:b/>
          <w:bCs/>
          <w:sz w:val="20"/>
          <w:szCs w:val="18"/>
        </w:rPr>
        <w:t>Figure 6.3: RO2 workflow for decentralised identity and authority verification</w:t>
      </w:r>
    </w:p>
    <w:p>
      <w:pPr>
        <w:pStyle w:val="2"/>
        <w:keepNext/>
      </w:pPr>
      <w:r>
        <w:t>6.5 Verification Model and Algorithm</w:t>
      </w:r>
    </w:p>
    <w:p>
      <w:pPr/>
      <w:r>
        <w:t>The proposed solution to Objective 2 is grounded in the decentralised identifiers and verifiable credentials of Section 6.2. The verification combines three checks, the identifier, the credential and the authority that the credential gives for the consent at hand, into the single predicate VI of Equation (6.2). Section 6.5.1 presents the procedure step by step, and Section 6.5.2 formalises it as Algorithm 2, which the prototype of Section 6.6 implements.</w:t>
      </w:r>
    </w:p>
    <w:p>
      <w:pPr>
        <w:pStyle w:val="3"/>
        <w:keepNext/>
      </w:pPr>
      <w:r>
        <w:t>6.5.1 Step-by-Step Procedure for DID and VC Identity and Authority Verification</w:t>
      </w:r>
    </w:p>
    <w:p>
      <w:pPr/>
      <w:r>
        <w:t>The procedure below is the one defined for this objective. It is presented in full so that the reader can understand the working of Algorithm 2, which formalises it in Section 6.5.2.</w:t>
      </w:r>
    </w:p>
    <w:p>
      <w:pPr/>
      <w:r>
        <w:t>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w:t>
      </w:r>
    </w:p>
    <w:p>
      <w:pPr>
        <w:pStyle w:val="a4"/>
      </w:pPr>
      <w:r>
        <w:rPr>
          <w:b/>
        </w:rPr>
        <w:t xml:space="preserve">Step 1 – Resolve the Participant’s DID. </w:t>
      </w:r>
      <w:r>
        <w:t>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w:t>
      </w:r>
    </w:p>
    <w:p>
      <w:pPr>
        <w:pStyle w:val="a4"/>
      </w:pPr>
      <w:r>
        <w:rPr>
          <w:b/>
        </w:rPr>
        <w:t xml:space="preserve">Step 2 – Verify the DID Document. </w:t>
      </w:r>
      <w:r>
        <w:t>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pStyle w:val="a4"/>
      </w:pPr>
      <w:r>
        <w:rPr>
          <w:b/>
        </w:rPr>
        <w:t xml:space="preserve">Step 3 – Retrieve the Participant’s Verifiable Credential. </w:t>
      </w:r>
      <w:r>
        <w:t>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w:t>
      </w:r>
    </w:p>
    <w:p>
      <w:pPr>
        <w:pStyle w:val="a4"/>
      </w:pPr>
      <w:r>
        <w:rPr>
          <w:b/>
        </w:rPr>
        <w:t xml:space="preserve">Step 4 – Verify the Verifiable Credential. </w:t>
      </w:r>
      <w:r>
        <w:t>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If any of these conditions fails, the verification process returns INVALID.</w:t>
      </w:r>
    </w:p>
    <w:p>
      <w:pPr>
        <w:pStyle w:val="a4"/>
      </w:pPr>
      <w:r>
        <w:rPr>
          <w:b/>
        </w:rPr>
        <w:t xml:space="preserve">Step 5 – Extract Role and Authority Claims. </w:t>
      </w:r>
      <w:r>
        <w:t>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a4"/>
      </w:pPr>
      <w:r>
        <w:rPr>
          <w:b/>
        </w:rPr>
        <w:t xml:space="preserve">Step 6 – Compare Authority Claims with Consent Requirements. </w:t>
      </w:r>
      <w:r>
        <w:t>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vertAlign w:val="subscript"/>
        </w:rPr>
        <w:t>C</w:t>
      </w:r>
      <w:r>
        <w:t>, where Claims(u) denotes the verified claims associated with participant u, and A</w:t>
      </w:r>
      <w:r>
        <w:rPr>
          <w:vertAlign w:val="subscript"/>
        </w:rPr>
        <w:t>C</w:t>
      </w:r>
      <w:r>
        <w:t xml:space="preserve"> denotes the authority requirements defined by consent object C. If the participant’s claims do not satisfy the required authority conditions, the system returns INVALID.</w:t>
      </w:r>
    </w:p>
    <w:p>
      <w:pPr>
        <w:pStyle w:val="a4"/>
      </w:pPr>
      <w:r>
        <w:rPr>
          <w:b/>
        </w:rPr>
        <w:t xml:space="preserve">Step 7 – Establish Identity–Authority Binding. </w:t>
      </w:r>
      <w:r>
        <w:t>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a4"/>
      </w:pPr>
      <w:r>
        <w:rPr>
          <w:b/>
        </w:rPr>
        <w:t xml:space="preserve">Step 8 – Record Identity and Authority Evidence. </w:t>
      </w:r>
      <w:r>
        <w:t>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a4"/>
      </w:pPr>
      <w:r>
        <w:rPr>
          <w:b/>
        </w:rPr>
        <w:t xml:space="preserve">Step 9 – Return the Verification Result. </w:t>
      </w:r>
      <w:r>
        <w:t>If DID resolution, DID verification, VC retrieval, VC verification, and authority validation are all successfully completed, the system returns VI(u) = VALID. Otherwise, the procedure terminates at the first failed mandatory verification condition and returns VI(u) = INVALID.</w:t>
      </w:r>
    </w:p>
    <w:p>
      <w:pPr/>
      <w:r>
        <w:t>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VI(u).</w:t>
      </w:r>
    </w:p>
    <w:p>
      <w:pPr/>
      <w:r>
        <w:t>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w:t>
      </w:r>
    </w:p>
    <w:p>
      <w:pPr/>
      <w:r>
        <w:t>Consequently, the procedure can be interpreted as a two-layer verification mechanism Identity(u) ∧ CredentialValidity(u) ∧ Authority(u, C) ⇒ VI(u) = VALID.</w:t>
      </w:r>
    </w:p>
    <w:p>
      <w:pPr>
        <w:pStyle w:val="3"/>
        <w:keepNext/>
      </w:pPr>
      <w:r>
        <w:t>6.5.2 Algorithm 2: DID and VC Identity and Authority Verification</w:t>
      </w:r>
    </w:p>
    <w:p w14:paraId="7C252671"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3840B47D"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2558E791" w14:textId="77777777" w:rsidR="009262C4" w:rsidRDefault="00000000">
      <w:pPr>
        <w:keepNext/>
        <w:spacing w:after="20"/>
      </w:pPr>
      <w:r>
        <w:rPr>
          <w:b/>
          <w:bCs/>
          <w:sz w:val="19"/>
          <w:szCs w:val="19"/>
        </w:rPr>
        <w:t xml:space="preserve">Require: </w:t>
      </w:r>
      <w:r>
        <w:rPr>
          <w:sz w:val="19"/>
          <w:szCs w:val="19"/>
        </w:rPr>
        <w:t>Participant u, consent object C</w:t>
      </w:r>
    </w:p>
    <w:p w14:paraId="5EB87C71"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668AE1ED"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Resolve DID of u</w:t>
      </w:r>
    </w:p>
    <w:p w14:paraId="790A29FE"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DID resolution fails </w:t>
      </w:r>
      <w:r>
        <w:rPr>
          <w:b/>
          <w:bCs/>
          <w:sz w:val="19"/>
          <w:szCs w:val="19"/>
        </w:rPr>
        <w:t>then</w:t>
      </w:r>
    </w:p>
    <w:p w14:paraId="15FA00DE"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INVALID</w:t>
      </w:r>
    </w:p>
    <w:p w14:paraId="33000769"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23291AEB"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Verify DID document and associated identity information</w:t>
      </w:r>
    </w:p>
    <w:p w14:paraId="7AFA5FB1"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DID verification fails </w:t>
      </w:r>
      <w:r>
        <w:rPr>
          <w:b/>
          <w:bCs/>
          <w:sz w:val="19"/>
          <w:szCs w:val="19"/>
        </w:rPr>
        <w:t>then</w:t>
      </w:r>
    </w:p>
    <w:p w14:paraId="7235FD96"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INVALID</w:t>
      </w:r>
    </w:p>
    <w:p w14:paraId="1C4E601A"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05C97B9F"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Retrieve VC associated with u</w:t>
      </w:r>
    </w:p>
    <w:p w14:paraId="1D9842C1"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VC retrieval fails </w:t>
      </w:r>
      <w:r>
        <w:rPr>
          <w:b/>
          <w:bCs/>
          <w:sz w:val="19"/>
          <w:szCs w:val="19"/>
        </w:rPr>
        <w:t>then</w:t>
      </w:r>
    </w:p>
    <w:p w14:paraId="75459E3B"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INVALID</w:t>
      </w:r>
    </w:p>
    <w:p w14:paraId="0AD43F83"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0B9544A8"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Verify VC signature, issuer, subject, and validity</w:t>
      </w:r>
    </w:p>
    <w:p w14:paraId="7877A01E" w14:textId="77777777" w:rsidR="009262C4" w:rsidRDefault="00000000">
      <w:pPr>
        <w:keepNext/>
        <w:tabs>
          <w:tab w:val="right" w:pos="520"/>
          <w:tab w:val="left" w:pos="720"/>
        </w:tabs>
        <w:spacing w:after="10"/>
        <w:ind w:left="720" w:hanging="720"/>
      </w:pPr>
      <w:r>
        <w:rPr>
          <w:color w:val="555555"/>
          <w:sz w:val="16"/>
          <w:szCs w:val="16"/>
        </w:rPr>
        <w:tab/>
        <w:t>14:</w:t>
        <w:tab/>
      </w:r>
      <w:r>
        <w:rPr>
          <w:b/>
          <w:bCs/>
          <w:sz w:val="19"/>
          <w:szCs w:val="19"/>
        </w:rPr>
        <w:t>if</w:t>
      </w:r>
      <w:r>
        <w:rPr>
          <w:sz w:val="19"/>
          <w:szCs w:val="19"/>
        </w:rPr>
        <w:t xml:space="preserve"> VC verification fails </w:t>
      </w:r>
      <w:r>
        <w:rPr>
          <w:b/>
          <w:bCs/>
          <w:sz w:val="19"/>
          <w:szCs w:val="19"/>
        </w:rPr>
        <w:t>then</w:t>
      </w:r>
    </w:p>
    <w:p w14:paraId="20469CDB" w14:textId="77777777" w:rsidR="009262C4" w:rsidRDefault="00000000">
      <w:pPr>
        <w:keepNext/>
        <w:tabs>
          <w:tab w:val="right" w:pos="520"/>
          <w:tab w:val="left" w:pos="1080"/>
        </w:tabs>
        <w:spacing w:after="10"/>
        <w:ind w:left="1080" w:hanging="1080"/>
      </w:pPr>
      <w:r>
        <w:rPr>
          <w:color w:val="555555"/>
          <w:sz w:val="16"/>
          <w:szCs w:val="16"/>
        </w:rPr>
        <w:tab/>
        <w:t>15:</w:t>
        <w:tab/>
      </w:r>
      <w:r>
        <w:rPr>
          <w:b/>
          <w:bCs/>
          <w:sz w:val="19"/>
          <w:szCs w:val="19"/>
        </w:rPr>
        <w:t>return</w:t>
      </w:r>
      <w:r>
        <w:rPr>
          <w:sz w:val="19"/>
          <w:szCs w:val="19"/>
        </w:rPr>
        <w:t xml:space="preserve"> INVALID</w:t>
      </w:r>
    </w:p>
    <w:p w14:paraId="4FFC3E12" w14:textId="77777777" w:rsidR="009262C4" w:rsidRDefault="00000000">
      <w:pPr>
        <w:keepNext/>
        <w:tabs>
          <w:tab w:val="right" w:pos="520"/>
          <w:tab w:val="left" w:pos="720"/>
        </w:tabs>
        <w:spacing w:after="10"/>
        <w:ind w:left="720" w:hanging="720"/>
      </w:pPr>
      <w:r>
        <w:rPr>
          <w:color w:val="555555"/>
          <w:sz w:val="16"/>
          <w:szCs w:val="16"/>
        </w:rPr>
        <w:tab/>
        <w:t>16:</w:t>
        <w:tab/>
      </w:r>
      <w:r>
        <w:rPr>
          <w:b/>
          <w:bCs/>
          <w:sz w:val="19"/>
          <w:szCs w:val="19"/>
        </w:rPr>
        <w:t>end if</w:t>
      </w:r>
    </w:p>
    <w:p w14:paraId="1AE62171"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Extract role and authority claims from VC</w:t>
      </w:r>
    </w:p>
    <w:p w14:paraId="099DAAEB" w14:textId="77777777" w:rsidR="009262C4" w:rsidRDefault="00000000">
      <w:pPr>
        <w:keepNext/>
        <w:tabs>
          <w:tab w:val="right" w:pos="520"/>
          <w:tab w:val="left" w:pos="720"/>
        </w:tabs>
        <w:spacing w:after="10"/>
        <w:ind w:left="720" w:hanging="720"/>
      </w:pPr>
      <w:r>
        <w:rPr>
          <w:color w:val="555555"/>
          <w:sz w:val="16"/>
          <w:szCs w:val="16"/>
        </w:rPr>
        <w:tab/>
        <w:t>18:</w:t>
        <w:tab/>
      </w:r>
      <w:r>
        <w:rPr>
          <w:b/>
          <w:bCs/>
          <w:sz w:val="19"/>
          <w:szCs w:val="19"/>
        </w:rPr>
        <w:t>if</w:t>
      </w:r>
      <w:r>
        <w:rPr>
          <w:sz w:val="19"/>
          <w:szCs w:val="19"/>
        </w:rPr>
        <w:t xml:space="preserve"> claims do not satisfy the authority requirements of C </w:t>
      </w:r>
      <w:r>
        <w:rPr>
          <w:b/>
          <w:bCs/>
          <w:sz w:val="19"/>
          <w:szCs w:val="19"/>
        </w:rPr>
        <w:t>then</w:t>
      </w:r>
    </w:p>
    <w:p w14:paraId="00B2BC10" w14:textId="77777777" w:rsidR="009262C4" w:rsidRDefault="00000000">
      <w:pPr>
        <w:keepNext/>
        <w:tabs>
          <w:tab w:val="right" w:pos="520"/>
          <w:tab w:val="left" w:pos="1080"/>
        </w:tabs>
        <w:spacing w:after="10"/>
        <w:ind w:left="1080" w:hanging="1080"/>
      </w:pPr>
      <w:r>
        <w:rPr>
          <w:color w:val="555555"/>
          <w:sz w:val="16"/>
          <w:szCs w:val="16"/>
        </w:rPr>
        <w:tab/>
        <w:t>19:</w:t>
        <w:tab/>
      </w:r>
      <w:r>
        <w:rPr>
          <w:b/>
          <w:bCs/>
          <w:sz w:val="19"/>
          <w:szCs w:val="19"/>
        </w:rPr>
        <w:t>return</w:t>
      </w:r>
      <w:r>
        <w:rPr>
          <w:sz w:val="19"/>
          <w:szCs w:val="19"/>
        </w:rPr>
        <w:t xml:space="preserve"> INVALID</w:t>
      </w:r>
    </w:p>
    <w:p w14:paraId="63E55840" w14:textId="77777777" w:rsidR="009262C4" w:rsidRDefault="00000000">
      <w:pPr>
        <w:keepNext/>
        <w:tabs>
          <w:tab w:val="right" w:pos="520"/>
          <w:tab w:val="left" w:pos="720"/>
        </w:tabs>
        <w:spacing w:after="10"/>
        <w:ind w:left="720" w:hanging="720"/>
      </w:pPr>
      <w:r>
        <w:rPr>
          <w:color w:val="555555"/>
          <w:sz w:val="16"/>
          <w:szCs w:val="16"/>
        </w:rPr>
        <w:tab/>
        <w:t>20:</w:t>
        <w:tab/>
      </w:r>
      <w:r>
        <w:rPr>
          <w:b/>
          <w:bCs/>
          <w:sz w:val="19"/>
          <w:szCs w:val="19"/>
        </w:rPr>
        <w:t>end if</w:t>
      </w:r>
    </w:p>
    <w:p w14:paraId="7077700E" w14:textId="77777777" w:rsidR="009262C4" w:rsidRDefault="00000000">
      <w:pPr>
        <w:keepNext/>
        <w:tabs>
          <w:tab w:val="right" w:pos="520"/>
          <w:tab w:val="left" w:pos="720"/>
        </w:tabs>
        <w:spacing w:after="10"/>
        <w:ind w:left="720" w:hanging="720"/>
      </w:pPr>
      <w:r>
        <w:rPr>
          <w:color w:val="555555"/>
          <w:sz w:val="16"/>
          <w:szCs w:val="16"/>
        </w:rPr>
        <w:tab/>
        <w:t>21:</w:t>
        <w:tab/>
      </w:r>
      <w:r>
        <w:rPr>
          <w:sz w:val="19"/>
          <w:szCs w:val="19"/>
        </w:rPr>
        <w:t>Record identity and authority verification evidence</w:t>
      </w:r>
    </w:p>
    <w:p w14:paraId="3112C877" w14:textId="77777777" w:rsidR="009262C4" w:rsidRDefault="00000000">
      <w:pPr>
        <w:tabs>
          <w:tab w:val="right" w:pos="520"/>
          <w:tab w:val="left" w:pos="720"/>
        </w:tabs>
        <w:spacing w:after="10"/>
        <w:ind w:left="720" w:hanging="720"/>
      </w:pPr>
      <w:r>
        <w:rPr>
          <w:color w:val="555555"/>
          <w:sz w:val="16"/>
          <w:szCs w:val="16"/>
        </w:rPr>
        <w:tab/>
        <w:t>22:</w:t>
        <w:tab/>
      </w:r>
      <w:r>
        <w:rPr>
          <w:b/>
          <w:bCs/>
          <w:sz w:val="19"/>
          <w:szCs w:val="19"/>
        </w:rPr>
        <w:t>return</w:t>
      </w:r>
      <w:r>
        <w:rPr>
          <w:sz w:val="19"/>
          <w:szCs w:val="19"/>
        </w:rPr>
        <w:t xml:space="preserve"> VALID</w:t>
      </w:r>
    </w:p>
    <w:p w14:paraId="38A14EFA" w14:textId="77777777" w:rsidR="009262C4" w:rsidRDefault="009262C4">
      <w:pPr>
        <w:pBdr>
          <w:bottom w:val="single" w:sz="12" w:space="0" w:color="000000"/>
        </w:pBdr>
        <w:spacing w:after="200"/>
      </w:pPr>
    </w:p>
    <w:p w14:paraId="1F5FAD2E" w14:textId="77777777" w:rsidR="009262C4" w:rsidRDefault="00000000">
      <w:pPr>
        <w:spacing w:after="110" w:line="264" w:lineRule="auto"/>
        <w:jc w:val="bot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w:t>
      </w:r>
      <w:r>
        <w:t>(Chapters 7 and 8)</w:t>
      </w:r>
      <w:r>
        <w:t>.</w:t>
      </w:r>
    </w:p>
    <w:p>
      <w:pPr>
        <w:pStyle w:val="2"/>
        <w:keepNext/>
      </w:pPr>
      <w:r>
        <w:t>6.6 Prototype Implementation</w:t>
      </w:r>
    </w:p>
    <w:p>
      <w:pPr>
        <w:pStyle w:val="3"/>
        <w:keepNext/>
      </w:pPr>
      <w:r>
        <w:t>6.6.1 Realisation in the Prototype</w:t>
      </w:r>
    </w:p>
    <w:p w14:paraId="34FE290E"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lastRenderedPageBreak/>
        <w:t xml:space="preserve">access a particular patient's data. Each credential used by the prototype comes from a demo issuer, and the check covers the four conditions of VC</w:t>
      </w:r>
      <w:r>
        <w:rPr>
          <w:vertAlign w:val="subscript"/>
        </w:rPr>
        <w:t>valid</w:t>
      </w:r>
      <w:r>
        <w:t xml:space="preserve">, namely the signature, issuer, subject and validity time, together with the role claim. The doctor and guardian credentials are checked when the consent is created. Each guardian's credential is checked again before the guardian signs, </w:t>
      </w:r>
      <w:r>
        <w:t>as Section 6.4 describes</w:t>
      </w:r>
      <w:r>
        <w:t>,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w:t>
      </w:r>
      <w:r>
        <w:t>is presented in Section 6.7.</w:t>
      </w:r>
    </w:p>
    <w:p>
      <w:pPr>
        <w:pStyle w:val="3"/>
        <w:keepNext/>
      </w:pPr>
      <w:r>
        <w:t>6.6.2 Steps in the Working of the Prototype for Identity and Authority Verification</w:t>
      </w:r>
    </w:p>
    <w:p>
      <w:pPr/>
      <w:r>
        <w:t>In order to verify a participant, the HALAH prototype carries out the following steps at two points of the workflow: when a guardian approves a consent, and when a doctor requests data. The same service functions are called at both points, so the check that the guardian interface applies is the check that the doctor interface applies. The steps involved are as below:</w:t>
      </w:r>
    </w:p>
    <w:p>
      <w:pPr>
        <w:pStyle w:val="a4"/>
        <w:tabs>
          <w:tab w:pos="624" w:val="left"/>
        </w:tabs>
        <w:ind w:left="624" w:hanging="397"/>
      </w:pPr>
      <w:r>
        <w:t>1.</w:t>
        <w:tab/>
      </w:r>
      <w:r>
        <w:rPr>
          <w:u w:val="single"/>
        </w:rPr>
        <w:t xml:space="preserve">Get the DID and its credential: </w:t>
      </w:r>
      <w:r>
        <w:t>The DID of the participant is taken from the interface, for a guardian from the list of guardians of the consent and for a doctor from the DID entered, and the credential of that DID is read from the credential store.</w:t>
      </w:r>
    </w:p>
    <w:p>
      <w:pPr>
        <w:pStyle w:val="a4"/>
        <w:tabs>
          <w:tab w:pos="624" w:val="left"/>
        </w:tabs>
        <w:ind w:left="624" w:hanging="397"/>
      </w:pPr>
      <w:r>
        <w:t>2.</w:t>
        <w:tab/>
      </w:r>
      <w:r>
        <w:rPr>
          <w:u w:val="single"/>
        </w:rPr>
        <w:t xml:space="preserve">Check the identifier: </w:t>
      </w:r>
      <w:r>
        <w:t>The DID is checked against the syntax did:method:identifier, and a malformed identifier fails the check.</w:t>
      </w:r>
    </w:p>
    <w:p>
      <w:pPr>
        <w:pStyle w:val="a4"/>
        <w:tabs>
          <w:tab w:pos="624" w:val="left"/>
        </w:tabs>
        <w:ind w:left="624" w:hanging="397"/>
      </w:pPr>
      <w:r>
        <w:t>3.</w:t>
        <w:tab/>
      </w:r>
      <w:r>
        <w:rPr>
          <w:u w:val="single"/>
        </w:rPr>
        <w:t xml:space="preserve">Verify the credential: </w:t>
      </w:r>
      <w:r>
        <w:t>The four conditions of VC^valid| are evaluated one by one: the signature against the registered address of the issuer, the issuer against the registry, the subject against the DID presented, and the validity period against the clock of the server.</w:t>
      </w:r>
    </w:p>
    <w:p>
      <w:pPr>
        <w:pStyle w:val="a4"/>
        <w:tabs>
          <w:tab w:pos="624" w:val="left"/>
        </w:tabs>
        <w:ind w:left="624" w:hanging="397"/>
      </w:pPr>
      <w:r>
        <w:t>4.</w:t>
        <w:tab/>
      </w:r>
      <w:r>
        <w:rPr>
          <w:u w:val="single"/>
        </w:rPr>
        <w:t xml:space="preserve">Match the role and bind to the consent: </w:t>
      </w:r>
      <w:r>
        <w:t>The role claim must be guardian for an approval and doctor for a request, and the DID of the doctor must be the authorised doctor named in the consent.</w:t>
      </w:r>
    </w:p>
    <w:p>
      <w:pPr>
        <w:pStyle w:val="a4"/>
        <w:tabs>
          <w:tab w:pos="624" w:val="left"/>
        </w:tabs>
        <w:ind w:left="624" w:hanging="397"/>
      </w:pPr>
      <w:r>
        <w:t>5.</w:t>
        <w:tab/>
      </w:r>
      <w:r>
        <w:rPr>
          <w:u w:val="single"/>
        </w:rPr>
        <w:t xml:space="preserve">Record the evidence and return VI: </w:t>
      </w:r>
      <w:r>
        <w:t>The credential identifier and the issuer are written to the audit ledger with the approval, and the DID and credential of the requester with every decision. A guardian who fails the check cannot sign, and the refused approval is recorded; a doctor who fails VI is refused before the scope of the consent or any record is shown, and the refused request is recorded.</w:t>
      </w:r>
    </w:p>
    <w:p>
      <w:pPr/>
      <w:r>
        <w:t>The logical working of the above steps is shown pictorially in Figure 6.4. Figure 6.5 shows the guardian interface after step 5 for the guardian did:parent:A, with the credential verified and the signature added, and Figure 6.6 shows the doctor interface for a requester who holds a valid doctor credential but is not the doctor named in the consent, where VI fails and the request is refused and recorded.</w:t>
      </w:r>
    </w:p>
    <w:p>
      <w:pPr>
        <w:jc w:val="center"/>
      </w:pPr>
      <w:r>
        <w:drawing>
          <wp:inline xmlns:a="http://schemas.openxmlformats.org/drawingml/2006/main" xmlns:pic="http://schemas.openxmlformats.org/drawingml/2006/picture">
            <wp:extent cx="3780000" cy="3224426"/>
            <wp:docPr id="2086885387" name="Picture 2086885387"/>
            <wp:cNvGraphicFramePr>
              <a:graphicFrameLocks noChangeAspect="1"/>
            </wp:cNvGraphicFramePr>
            <a:graphic>
              <a:graphicData uri="http://schemas.openxmlformats.org/drawingml/2006/picture">
                <pic:pic>
                  <pic:nvPicPr>
                    <pic:cNvPr id="0" name="ch6_prototype_steps.png"/>
                    <pic:cNvPicPr/>
                  </pic:nvPicPr>
                  <pic:blipFill>
                    <a:blip r:embed="rId42"/>
                    <a:stretch>
                      <a:fillRect/>
                    </a:stretch>
                  </pic:blipFill>
                  <pic:spPr>
                    <a:xfrm>
                      <a:off x="0" y="0"/>
                      <a:ext cx="3780000" cy="3224426"/>
                    </a:xfrm>
                    <a:prstGeom prst="rect"/>
                  </pic:spPr>
                </pic:pic>
              </a:graphicData>
            </a:graphic>
          </wp:inline>
        </w:drawing>
      </w:r>
    </w:p>
    <w:p>
      <w:pPr>
        <w:spacing w:before="160" w:after="160"/>
        <w:jc w:val="center"/>
      </w:pPr>
      <w:r>
        <w:rPr>
          <w:sz w:val="20"/>
        </w:rPr>
        <w:t>Figure 6.4: Steps of the prototype for verifying the identity and the authority of a participant</w:t>
      </w:r>
    </w:p>
    <w:p>
      <w:pPr>
        <w:jc w:val="center"/>
      </w:pPr>
      <w:r>
        <w:drawing>
          <wp:inline xmlns:a="http://schemas.openxmlformats.org/drawingml/2006/main" xmlns:pic="http://schemas.openxmlformats.org/drawingml/2006/picture">
            <wp:extent cx="4860000" cy="2096471"/>
            <wp:docPr id="2086885388" name="Picture 2086885388"/>
            <wp:cNvGraphicFramePr>
              <a:graphicFrameLocks noChangeAspect="1"/>
            </wp:cNvGraphicFramePr>
            <a:graphic>
              <a:graphicData uri="http://schemas.openxmlformats.org/drawingml/2006/picture">
                <pic:pic>
                  <pic:nvPicPr>
                    <pic:cNvPr id="0" name="ch6_guardian_credential_verified.png"/>
                    <pic:cNvPicPr/>
                  </pic:nvPicPr>
                  <pic:blipFill>
                    <a:blip r:embed="rId43"/>
                    <a:stretch>
                      <a:fillRect/>
                    </a:stretch>
                  </pic:blipFill>
                  <pic:spPr>
                    <a:xfrm>
                      <a:off x="0" y="0"/>
                      <a:ext cx="4860000" cy="2096471"/>
                    </a:xfrm>
                    <a:prstGeom prst="rect"/>
                  </pic:spPr>
                </pic:pic>
              </a:graphicData>
            </a:graphic>
          </wp:inline>
        </w:drawing>
      </w:r>
    </w:p>
    <w:p>
      <w:pPr>
        <w:spacing w:before="160" w:after="160"/>
        <w:jc w:val="center"/>
      </w:pPr>
      <w:r>
        <w:rPr>
          <w:sz w:val="20"/>
        </w:rPr>
        <w:t>Figure 6.5: Guardian interface after the credential of did:parent:A has been verified and the approval signed</w:t>
      </w:r>
    </w:p>
    <w:p>
      <w:pPr>
        <w:jc w:val="center"/>
      </w:pPr>
      <w:r>
        <w:drawing>
          <wp:inline xmlns:a="http://schemas.openxmlformats.org/drawingml/2006/main" xmlns:pic="http://schemas.openxmlformats.org/drawingml/2006/picture">
            <wp:extent cx="4860000" cy="2906470"/>
            <wp:docPr id="2086885389" name="Picture 2086885389"/>
            <wp:cNvGraphicFramePr>
              <a:graphicFrameLocks noChangeAspect="1"/>
            </wp:cNvGraphicFramePr>
            <a:graphic>
              <a:graphicData uri="http://schemas.openxmlformats.org/drawingml/2006/picture">
                <pic:pic>
                  <pic:nvPicPr>
                    <pic:cNvPr id="0" name="ch6_requester_vi_fail.png"/>
                    <pic:cNvPicPr/>
                  </pic:nvPicPr>
                  <pic:blipFill>
                    <a:blip r:embed="rId44"/>
                    <a:stretch>
                      <a:fillRect/>
                    </a:stretch>
                  </pic:blipFill>
                  <pic:spPr>
                    <a:xfrm>
                      <a:off x="0" y="0"/>
                      <a:ext cx="4860000" cy="2906470"/>
                    </a:xfrm>
                    <a:prstGeom prst="rect"/>
                  </pic:spPr>
                </pic:pic>
              </a:graphicData>
            </a:graphic>
          </wp:inline>
        </w:drawing>
      </w:r>
    </w:p>
    <w:p>
      <w:pPr>
        <w:spacing w:before="160" w:after="160"/>
        <w:jc w:val="center"/>
      </w:pPr>
      <w:r>
        <w:rPr>
          <w:sz w:val="20"/>
        </w:rPr>
        <w:t>Figure 6.6: Doctor interface for a requester with a valid credential who is not the doctor named in the consent</w:t>
      </w:r>
    </w:p>
    <w:p>
      <w:pPr>
        <w:pStyle w:val="2"/>
        <w:keepNext/>
      </w:pPr>
      <w:r>
        <w:t>6.7 Prototype Validation and Discussion</w:t>
      </w:r>
    </w:p>
    <w:p>
      <w:pPr/>
      <w:r>
        <w:t>Objective two involves the verification of the identity and the authority of a participant as two separate conditions. The result of RO2 is therefore the verification model of Sections 6.3 to 6.5 and its predicate VI, not a set of measurements. The prototype results reported in this section show that the model can be realised and behaves as specified, so they are reported as outcomes, verified or refused, rather than as numbers; the quantitative evaluation of the complete framework is given in Chapter 10. RO2 is validated in three ways: through the live run of the prototype, through the automated tests of the credential check, and through the adversarial scenario A12, and the results are brought together in Table 6.1.</w:t>
      </w:r>
    </w:p>
    <w:p>
      <w:pPr>
        <w:pStyle w:val="3"/>
        <w:keepNext/>
      </w:pPr>
      <w:r>
        <w:t>6.7.1 Validation of Identity and Authority Verification</w:t>
      </w:r>
    </w:p>
    <w:p>
      <w:pPr/>
      <w:r>
        <w:t>Live scenario. In the local run of 11 October 2026 on the consent 18ab9b62, whose creation was reported in Chapter 5, the guardian did:parent:A approved at 17:41:45 and the guardian did:parent:B at 17:41:53. Each approval was accepted only after the guardian credential had been verified, and the ledger row of each approval holds the credential identifier, urn:halah:vc:guardian:did:parent:A and urn:halah:vc:guardian:did:parent:B, and the issuer did:halah:issuer:demo-health-authority (Figure 6.5). A request was then made with the DID did:hospital:002, which holds a valid doctor credential but is not the doctor named in the consent. The decision matrix recorded VI = FAIL with the other four checks passed, and the request was refused at 17:42:04 with the result DENIED and the DID and credential of the requester written to the ledger (Figure 6.6). The same request made with did:hospital:001, the authorised doctor, passed VI at 17:42:19 and was granted at 17:42:21. This is the positive control: the same consent, the same credential store and the same checks, with only the requester changed. At creation, in the same run, a doctor DID without a valid doctor credential and a guardian DID without a valid guardian credential had been rejected before the consent was stored, as reported in Section 5.9.1.</w:t>
      </w:r>
    </w:p>
    <w:p>
      <w:pPr/>
      <w:r>
        <w:t>Before and after the credential check. Before the credential check was added on 11 October 2026, the identity check accepted any string that began with did:. A probe of the decision function with three inputs, a doctor DID with no credential, two DIDs typed into one field, and a guardian DID used as the doctor, returned VI = PASS and ALLOW for all three. After the change, the same probe returns VI = FAIL and DENY for all three. The design of Section 6.5 was therefore correct before the change, but its implementation was not, which is the kind of gap that the validation of each objective is meant to find.</w:t>
      </w:r>
    </w:p>
    <w:p>
      <w:pPr/>
      <w:r>
        <w:t>Automated tests. Five tests cover the credential check. The test test_demo_credentials_verify_and_are_reproducible asserts that each guardian credential verifies for the role guardian and fails for the role doctor, that each doctor credential verifies for the role doctor and fails for the role guardian, and that a stored credential equals the one the issuer produces for the same DID and role. The test test_each_credential_condition_fails_on_its_own alters one condition at a time, a claim changed after signing, an unknown issuer, the credential of another subject, a check dated after the validity period, the wrong role, and a DID with no credential, and asserts that each condition fails on its own. The test test_did_syntax asserts that nine malformed identifiers are refused. The test test_vi_binds_the_requester_to_the_consent_doctor asserts that a valid doctor who is not the doctor of the consent fails VI, and the test test_credential_time_follows_the_evaluation_time_and_bad_fields_fail_closed asserts that a credential is refused when the evaluation time lies after its validity period and that a malformed credential object is refused rather than accepted. The adversarial scenario A12, invalid or forged credential (test_A13_invalid_or_forged_credential_is_rejected), presents a credential signed by a key that is not the issuer’s, a credential from an untrusted issuer, a guardian credential whose role claim was changed to doctor, the credential of another DID and an expired credential, and asserts that each fails VI and gives DENY; it also refuses a guardian posing as the doctor, a valid doctor not named in the consent, and a well-formed DID with no credential. All of these tests pass in the suite of 46 reported in Chapter 10, and the credential check takes about 6 ms per credential, as measured in Chapter 10.</w:t>
      </w:r>
    </w:p>
    <w:p>
      <w:pPr/>
      <w:r>
        <w:t>Table 6.1 brings these results together by condition of the verification model. For each condition it gives the step of the procedure and the lines of Algorithm 2 that apply it, the evidence from the live run and the automated tests, and the result observed.</w:t>
      </w:r>
    </w:p>
    <w:p>
      <w:pPr>
        <w:keepNext/>
        <w:spacing w:before="160" w:after="160"/>
        <w:jc w:val="center"/>
      </w:pPr>
      <w:r>
        <w:rPr>
          <w:sz w:val="20"/>
        </w:rPr>
        <w:t>Table 6.1: Validation results of the prototype for identity and authority verification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361"/>
        <w:gridCol w:w="2494"/>
        <w:gridCol w:w="3061"/>
        <w:gridCol w:w="1587"/>
      </w:tblGrid>
      <w:tr>
        <w:trPr>
          <w:tblHeader/>
          <w:cantSplit/>
        </w:trPr>
        <w:tc>
          <w:tcPr>
            <w:tcW w:type="dxa" w:w="13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Condition</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(procedure step and Algorithm 2 lines)</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58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syntax</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and 2 (Algorithm 2, lines 1 to 8), reduced in this stage to the syntax did:method:identifier.</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Test test_did_syntax: nine malformed identifiers refused, among them an empty string, a missing method, an upper-case method and a space inside the identifier. Run of 11 October 2026: two DIDs typed into one field refused (Section 5.9.1).</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Malformed identifiers refused; well-formed identifiers pass to the credential check.</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Credential found</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(lines 9 to 12): a credential for the DID must exist in the credential store.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well-formed DID with no credential, did:hospital:999, fails VI (tests test_each_credential_condition_fails_on_its_own and A12).</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 credential, no participation.</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Signature</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4 (lines 13 to 16): the signature must recover to the registered address of the issuer.</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claim changed after signing (validUntil moved to 2099) fails the signature condition; a credential signed by a key that is not the issuer’s is refused (A12).</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Tampered and forged credentials refused.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Issuer</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4: the issuer must be in the trusted-issuer registry.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credential from did:example:other and one from an unknown issuer fail the issuer condition (tests and A12).</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Untrusted issuers refused.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Subject</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4: the subject of the credential must be the DID presented.</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credential of did:hospital:002 presented for did:hospital:001 fails the subject condition (tests and A12).</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credential cannot be borrowed by another DID.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period</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4: the time of the check must lie between validFrom and validUntil.</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check dated 1 January 2031, after the validUntil of the demo credentials, fails; an expired credential is refused (A12); the check follows the evaluation time passed to the decision function.</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Expired credentials refused.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Role</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5 and 6 (lines 17 to 20): the role claim must be the role the step requires.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guardian credential presented as a doctor fails the role condition; a guardian posing as the doctor is refused (A12). Each guardian credential verifies as guardian and fails as doctor, and each doctor credential the reverse.</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Wrong role refused.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Binding to the consent</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6 and 7: the doctor must be the authorised doctor named in the consent.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did:hospital:002 holds a valid doctor credential but is not the doctor of consent 18ab9b62; VI = FAIL, request DENIED at 17:42:04 (Figure 6.6). Test test_vi_binds_the_requester_to_the_consent_doctor.</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valid doctor is refused on a consent that does not name them; did:hospital:001 passed VI at 17:42:19.</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Evidence</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8 (line 21): the verification evidence is recorded.</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rows of the approvals at 17:41:45 and 17:41:53 carry the credential identifier and the issuer; the STATE_CHECK and DATA_ACCESS rows of 17:42:04 and 17:42:19 carry the requester DID and its credential.</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approval and every decision is traceable to a credential.</w:t>
            </w:r>
          </w:p>
        </w:tc>
      </w:tr>
    </w:tbl>
    <w:p>
      <w:pPr>
        <w:pStyle w:val="3"/>
        <w:keepNext/>
      </w:pPr>
      <w:r>
        <w:t>6.7.2 Discussion</w:t>
      </w:r>
    </w:p>
    <w:p>
      <w:pPr/>
      <w:r>
        <w:t>The use of decentralised identifiers and verifiable credentials for identity and authority verification has several advantages which include separation, evidence, and independence from a central identity provider. Separation means that the identity of a participant and the authority of that participant are two checks, so a valid identity never gives access by itself, and a credential never gives access to a consent that does not name its holder. Evidence means that every approval and every decision carries the credential identifier and the issuer, so an auditor can see on whose authority a guardian signed or a doctor was refused. Independence means that the verifier needs only the registered address of the issuer and not a connection to it, so a credential issued by one healthcare authority can be checked by any HALAH instance that trusts that authority.</w:t>
      </w:r>
    </w:p>
    <w:p>
      <w:pPr/>
      <w:r>
        <w:t>On the other hand, the trade-offs are the dependence on the issuer and the limits of this stage. A credential is only as trustworthy as its issuer, and the current check has no credential revocation list, so a credential withdrawn by its issuer remains valid until its validUntil time. The DID is checked for its syntax and not resolved, and the DID of the requester is entered rather than authenticated, so VI shows that the DID entered holds a valid doctor credential and is the doctor named in the consent, not that the person at the interface controls that DID. Although these may be considered limitations of the method, the certainty that no participant takes part without a credential of the right role from a trusted issuer outweighs them at this stage, and DID resolution, holder binding and wallet-held keys are addressed in the next stage of the research, as discussed in Chapter 11.</w:t>
      </w:r>
    </w:p>
    <w:p>
      <w:pPr>
        <w:pStyle w:val="2"/>
        <w:keepNext/>
      </w:pPr>
      <w:r>
        <w:t>6.8 Conclusion</w:t>
      </w:r>
    </w:p>
    <w:p>
      <w:pPr/>
      <w:r>
        <w:t>In this chapter, we discussed decentralised identifiers and verifiable credentials and used them to verify who a participant is and what authority the participant holds as two separate conditions. In particular, we presented the principle that identity is not authorisation, the verification condition VI(u) = VerifyDID(u) ∧ VerifyVC(u) ∧ Authority(u, C), the nine-step verification procedure and Algorithm 2, in which a credential is valid only when its signature, issuer, subject and validity period are all verified and its role claim matches the role that the consent requires. This addressed the second research objective of this thesis.</w:t>
      </w:r>
    </w:p>
    <w:p>
      <w:pPr/>
      <w:r>
        <w:t>In this chapter we also presented the realisation of the verification in the HALAH prototype and the results of its validation. At the end of the validation process, the results show that a guardian signs only after the guardian credential has been verified, that a doctor who holds a valid credential but is not the doctor named in the consent is refused before any record is shown, and that forged, tampered, expired, untrusted and misdirected credentials are refused one condition at a time. However, a key finding from the validation was that the prototype verifies the credential of the DID entered, not that the user controls that DID; holder binding and DID resolution are the work of the next stage.</w:t>
      </w:r>
    </w:p>
    <w:p>
      <w:pPr/>
      <w:r>
        <w:t>The next chapter will discuss in a methodological manner the steps involved in the multi-party approval of the consent by the guardian set, which is the solution for research objective 3.</w:t>
      </w:r>
    </w:p>
    <w:sectPr w:rsidR="009262C4">
      <w:headerReference w:type="default" r:id="rId52"/>
      <w:headerReference w:type="even" r:id="rId53"/>
      <w:footerReference w:type="default" r:id="rId54"/>
      <w:footerReference w:type="even" r:id="rId55"/>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header" Target="header1.xml"/><Relationship Id="rId46" Type="http://schemas.openxmlformats.org/officeDocument/2006/relationships/header" Target="header2.xml"/><Relationship Id="rId47" Type="http://schemas.openxmlformats.org/officeDocument/2006/relationships/footer" Target="footer2.xml"/><Relationship Id="rId48" Type="http://schemas.openxmlformats.org/officeDocument/2006/relationships/header" Target="header3.xml"/><Relationship Id="rId49" Type="http://schemas.openxmlformats.org/officeDocument/2006/relationships/header" Target="header4.xml"/><Relationship Id="rId50" Type="http://schemas.openxmlformats.org/officeDocument/2006/relationships/footer" Target="footer3.xml"/><Relationship Id="rId51" Type="http://schemas.openxmlformats.org/officeDocument/2006/relationships/footer" Target="footer4.xml"/><Relationship Id="rId52" Type="http://schemas.openxmlformats.org/officeDocument/2006/relationships/header" Target="header5.xml"/><Relationship Id="rId53" Type="http://schemas.openxmlformats.org/officeDocument/2006/relationships/header" Target="header6.xml"/><Relationship Id="rId54" Type="http://schemas.openxmlformats.org/officeDocument/2006/relationships/footer" Target="footer5.xml"/><Relationship Id="rId55"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2026-10-23T01:48:24Z</dcterms:created>
  <dcterms:modified xsi:type="dcterms:W3CDTF">2026-10-23T01:48:24Z</dcterms:modified>
</cp:coreProperties>
</file>