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20</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21</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23</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23</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23</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24</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24</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24</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24</w:t>
      </w:r>
    </w:p>
    <w:p>
      <w:pPr>
        <w:tabs>
          <w:tab w:pos="8504" w:val="right" w:leader="dot"/>
        </w:tabs>
        <w:spacing w:after="40" w:before="0"/>
        <w:ind w:left="454"/>
        <w:jc w:val="left"/>
      </w:pPr>
      <w:r>
        <w:rPr>
          <w:rFonts w:ascii="Palatino Linotype" w:hAnsi="Palatino Linotype"/>
          <w:b w:val="0"/>
          <w:sz w:val="22"/>
        </w:rPr>
        <w:t>2.6 Conclusion</w:t>
        <w:tab/>
        <w:t>24</w:t>
      </w:r>
    </w:p>
    <w:p>
      <w:pPr>
        <w:tabs>
          <w:tab w:pos="8504" w:val="right" w:leader="dot"/>
        </w:tabs>
        <w:spacing w:after="120" w:before="160"/>
        <w:ind w:left="0"/>
        <w:jc w:val="left"/>
      </w:pPr>
      <w:r>
        <w:rPr>
          <w:rFonts w:ascii="Palatino Linotype" w:hAnsi="Palatino Linotype"/>
          <w:b/>
          <w:sz w:val="22"/>
        </w:rPr>
        <w:t>3 Research Questions and Objectives</w:t>
        <w:tab/>
        <w:t>25</w:t>
      </w:r>
    </w:p>
    <w:p>
      <w:pPr>
        <w:tabs>
          <w:tab w:pos="8504" w:val="right" w:leader="dot"/>
        </w:tabs>
        <w:spacing w:after="40" w:before="0"/>
        <w:ind w:left="454"/>
        <w:jc w:val="left"/>
      </w:pPr>
      <w:r>
        <w:rPr>
          <w:rFonts w:ascii="Palatino Linotype" w:hAnsi="Palatino Linotype"/>
          <w:b w:val="0"/>
          <w:sz w:val="22"/>
        </w:rPr>
        <w:t>3.1 Introduction</w:t>
        <w:tab/>
        <w:t>25</w:t>
      </w:r>
    </w:p>
    <w:p>
      <w:pPr>
        <w:tabs>
          <w:tab w:pos="8504" w:val="right" w:leader="dot"/>
        </w:tabs>
        <w:spacing w:after="40" w:before="0"/>
        <w:ind w:left="454"/>
        <w:jc w:val="left"/>
      </w:pPr>
      <w:r>
        <w:rPr>
          <w:rFonts w:ascii="Palatino Linotype" w:hAnsi="Palatino Linotype"/>
          <w:b w:val="0"/>
          <w:sz w:val="22"/>
        </w:rPr>
        <w:t>3.2 Gaps in the Literature</w:t>
        <w:tab/>
        <w:t>25</w:t>
      </w:r>
    </w:p>
    <w:p>
      <w:pPr>
        <w:tabs>
          <w:tab w:pos="8504" w:val="right" w:leader="dot"/>
        </w:tabs>
        <w:spacing w:after="40" w:before="0"/>
        <w:ind w:left="454"/>
        <w:jc w:val="left"/>
      </w:pPr>
      <w:r>
        <w:rPr>
          <w:rFonts w:ascii="Palatino Linotype" w:hAnsi="Palatino Linotype"/>
          <w:b w:val="0"/>
          <w:sz w:val="22"/>
        </w:rPr>
        <w:t>3.3 Key Definitions</w:t>
        <w:tab/>
        <w:t>26</w:t>
      </w:r>
    </w:p>
    <w:p>
      <w:pPr>
        <w:tabs>
          <w:tab w:pos="8504" w:val="right" w:leader="dot"/>
        </w:tabs>
        <w:spacing w:after="40" w:before="0"/>
        <w:ind w:left="454"/>
        <w:jc w:val="left"/>
      </w:pPr>
      <w:r>
        <w:rPr>
          <w:rFonts w:ascii="Palatino Linotype" w:hAnsi="Palatino Linotype"/>
          <w:b w:val="0"/>
          <w:sz w:val="22"/>
        </w:rPr>
        <w:t>3.4 Research Questions</w:t>
        <w:tab/>
        <w:t>27</w:t>
      </w:r>
    </w:p>
    <w:p>
      <w:pPr>
        <w:tabs>
          <w:tab w:pos="8504" w:val="right" w:leader="dot"/>
        </w:tabs>
        <w:spacing w:after="40" w:before="0"/>
        <w:ind w:left="1020"/>
        <w:jc w:val="left"/>
      </w:pPr>
      <w:r>
        <w:rPr>
          <w:rFonts w:ascii="Palatino Linotype" w:hAnsi="Palatino Linotype"/>
          <w:b w:val="0"/>
          <w:sz w:val="22"/>
        </w:rPr>
        <w:t>3.4.1 Research Questions as an Integrated Problem</w:t>
        <w:tab/>
        <w:t>27</w:t>
      </w:r>
    </w:p>
    <w:p>
      <w:pPr>
        <w:tabs>
          <w:tab w:pos="8504" w:val="right" w:leader="dot"/>
        </w:tabs>
        <w:spacing w:after="40" w:before="0"/>
        <w:ind w:left="454"/>
        <w:jc w:val="left"/>
      </w:pPr>
      <w:r>
        <w:rPr>
          <w:rFonts w:ascii="Palatino Linotype" w:hAnsi="Palatino Linotype"/>
          <w:b w:val="0"/>
          <w:sz w:val="22"/>
        </w:rPr>
        <w:t>3.5 Research Objectives</w:t>
        <w:tab/>
        <w:t>28</w:t>
      </w:r>
    </w:p>
    <w:p>
      <w:pPr>
        <w:tabs>
          <w:tab w:pos="8504" w:val="right" w:leader="dot"/>
        </w:tabs>
        <w:spacing w:after="40" w:before="0"/>
        <w:ind w:left="1020"/>
        <w:jc w:val="left"/>
      </w:pPr>
      <w:r>
        <w:rPr>
          <w:rFonts w:ascii="Palatino Linotype" w:hAnsi="Palatino Linotype"/>
          <w:b w:val="0"/>
          <w:sz w:val="22"/>
        </w:rPr>
        <w:t>3.5.1 RO1: Trust-Centric Consent Model</w:t>
        <w:tab/>
        <w:t>28</w:t>
      </w:r>
    </w:p>
    <w:p>
      <w:pPr>
        <w:tabs>
          <w:tab w:pos="8504" w:val="right" w:leader="dot"/>
        </w:tabs>
        <w:spacing w:after="40" w:before="0"/>
        <w:ind w:left="1020"/>
        <w:jc w:val="left"/>
      </w:pPr>
      <w:r>
        <w:rPr>
          <w:rFonts w:ascii="Palatino Linotype" w:hAnsi="Palatino Linotype"/>
          <w:b w:val="0"/>
          <w:sz w:val="22"/>
        </w:rPr>
        <w:t>3.5.2 RO2: Decentralised Identity and Authority Trust</w:t>
        <w:tab/>
        <w:t>28</w:t>
      </w:r>
    </w:p>
    <w:p>
      <w:pPr>
        <w:tabs>
          <w:tab w:pos="8504" w:val="right" w:leader="dot"/>
        </w:tabs>
        <w:spacing w:after="40" w:before="0"/>
        <w:ind w:left="1020"/>
        <w:jc w:val="left"/>
      </w:pPr>
      <w:r>
        <w:rPr>
          <w:rFonts w:ascii="Palatino Linotype" w:hAnsi="Palatino Linotype"/>
          <w:b w:val="0"/>
          <w:sz w:val="22"/>
        </w:rPr>
        <w:t>3.5.3 RO3: Trustworthy Multi-Party Authorisation</w:t>
        <w:tab/>
        <w:t>28</w:t>
      </w:r>
    </w:p>
    <w:p>
      <w:pPr>
        <w:tabs>
          <w:tab w:pos="8504" w:val="right" w:leader="dot"/>
        </w:tabs>
        <w:spacing w:after="40" w:before="0"/>
        <w:ind w:left="1020"/>
        <w:jc w:val="left"/>
      </w:pPr>
      <w:r>
        <w:rPr>
          <w:rFonts w:ascii="Palatino Linotype" w:hAnsi="Palatino Linotype"/>
          <w:b w:val="0"/>
          <w:sz w:val="22"/>
        </w:rPr>
        <w:t>3.5.4 RO4: Policy- and Context-Aware Access Control</w:t>
        <w:tab/>
        <w:t>29</w:t>
      </w:r>
    </w:p>
    <w:p>
      <w:pPr>
        <w:tabs>
          <w:tab w:pos="8504" w:val="right" w:leader="dot"/>
        </w:tabs>
        <w:spacing w:after="40" w:before="0"/>
        <w:ind w:left="1020"/>
        <w:jc w:val="left"/>
      </w:pPr>
      <w:r>
        <w:rPr>
          <w:rFonts w:ascii="Palatino Linotype" w:hAnsi="Palatino Linotype"/>
          <w:b w:val="0"/>
          <w:sz w:val="22"/>
        </w:rPr>
        <w:t>3.5.5 RO5: Temporal and Lifecycle Trust</w:t>
        <w:tab/>
        <w:t>29</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29</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30</w:t>
      </w:r>
    </w:p>
    <w:p>
      <w:pPr>
        <w:tabs>
          <w:tab w:pos="8504" w:val="right" w:leader="dot"/>
        </w:tabs>
        <w:spacing w:after="40" w:before="0"/>
        <w:ind w:left="454"/>
        <w:jc w:val="left"/>
      </w:pPr>
      <w:r>
        <w:rPr>
          <w:rFonts w:ascii="Palatino Linotype" w:hAnsi="Palatino Linotype"/>
          <w:b w:val="0"/>
          <w:sz w:val="22"/>
        </w:rPr>
        <w:t>3.6 Conclusion</w:t>
        <w:tab/>
        <w:t>30</w:t>
      </w:r>
    </w:p>
    <w:p>
      <w:pPr>
        <w:tabs>
          <w:tab w:pos="8504" w:val="right" w:leader="dot"/>
        </w:tabs>
        <w:spacing w:after="120" w:before="160"/>
        <w:ind w:left="0"/>
        <w:jc w:val="left"/>
      </w:pPr>
      <w:r>
        <w:rPr>
          <w:rFonts w:ascii="Palatino Linotype" w:hAnsi="Palatino Linotype"/>
          <w:b/>
          <w:sz w:val="22"/>
        </w:rPr>
        <w:t>4 Research Methodology and Solution Overview</w:t>
        <w:tab/>
        <w:t>32</w:t>
      </w:r>
    </w:p>
    <w:p>
      <w:pPr>
        <w:tabs>
          <w:tab w:pos="8504" w:val="right" w:leader="dot"/>
        </w:tabs>
        <w:spacing w:after="40" w:before="0"/>
        <w:ind w:left="454"/>
        <w:jc w:val="left"/>
      </w:pPr>
      <w:r>
        <w:rPr>
          <w:rFonts w:ascii="Palatino Linotype" w:hAnsi="Palatino Linotype"/>
          <w:b w:val="0"/>
          <w:sz w:val="22"/>
        </w:rPr>
        <w:t>4.1 Introduction</w:t>
        <w:tab/>
        <w:t>32</w:t>
      </w:r>
    </w:p>
    <w:p>
      <w:pPr>
        <w:tabs>
          <w:tab w:pos="8504" w:val="right" w:leader="dot"/>
        </w:tabs>
        <w:spacing w:after="40" w:before="0"/>
        <w:ind w:left="454"/>
        <w:jc w:val="left"/>
      </w:pPr>
      <w:r>
        <w:rPr>
          <w:rFonts w:ascii="Palatino Linotype" w:hAnsi="Palatino Linotype"/>
          <w:b w:val="0"/>
          <w:sz w:val="22"/>
        </w:rPr>
        <w:t>4.2 Key Definitions</w:t>
        <w:tab/>
        <w:t>32</w:t>
      </w:r>
    </w:p>
    <w:p>
      <w:pPr>
        <w:tabs>
          <w:tab w:pos="8504" w:val="right" w:leader="dot"/>
        </w:tabs>
        <w:spacing w:after="40" w:before="0"/>
        <w:ind w:left="454"/>
        <w:jc w:val="left"/>
      </w:pPr>
      <w:r>
        <w:rPr>
          <w:rFonts w:ascii="Palatino Linotype" w:hAnsi="Palatino Linotype"/>
          <w:b w:val="0"/>
          <w:sz w:val="22"/>
        </w:rPr>
        <w:t>4.3 Selected Research Methodology</w:t>
        <w:tab/>
        <w:t>33</w:t>
      </w:r>
    </w:p>
    <w:p>
      <w:pPr>
        <w:tabs>
          <w:tab w:pos="8504" w:val="right" w:leader="dot"/>
        </w:tabs>
        <w:spacing w:after="40" w:before="0"/>
        <w:ind w:left="454"/>
        <w:jc w:val="left"/>
      </w:pPr>
      <w:r>
        <w:rPr>
          <w:rFonts w:ascii="Palatino Linotype" w:hAnsi="Palatino Linotype"/>
          <w:b w:val="0"/>
          <w:sz w:val="22"/>
        </w:rPr>
        <w:t>4.4 Solution Overview</w:t>
        <w:tab/>
        <w:t>33</w:t>
      </w:r>
    </w:p>
    <w:p>
      <w:pPr>
        <w:tabs>
          <w:tab w:pos="8504" w:val="right" w:leader="dot"/>
        </w:tabs>
        <w:spacing w:after="40" w:before="0"/>
        <w:ind w:left="454"/>
        <w:jc w:val="left"/>
      </w:pPr>
      <w:r>
        <w:rPr>
          <w:rFonts w:ascii="Palatino Linotype" w:hAnsi="Palatino Linotype"/>
          <w:b w:val="0"/>
          <w:sz w:val="22"/>
        </w:rPr>
        <w:t>4.5 Overview of Solution for RQ1</w:t>
        <w:tab/>
        <w:t>35</w:t>
      </w:r>
    </w:p>
    <w:p>
      <w:pPr>
        <w:tabs>
          <w:tab w:pos="8504" w:val="right" w:leader="dot"/>
        </w:tabs>
        <w:spacing w:after="40" w:before="0"/>
        <w:ind w:left="454"/>
        <w:jc w:val="left"/>
      </w:pPr>
      <w:r>
        <w:rPr>
          <w:rFonts w:ascii="Palatino Linotype" w:hAnsi="Palatino Linotype"/>
          <w:b w:val="0"/>
          <w:sz w:val="22"/>
        </w:rPr>
        <w:t>4.6 Overview of Solution for RQ2</w:t>
        <w:tab/>
        <w:t>36</w:t>
      </w:r>
    </w:p>
    <w:p>
      <w:pPr>
        <w:tabs>
          <w:tab w:pos="8504" w:val="right" w:leader="dot"/>
        </w:tabs>
        <w:spacing w:after="40" w:before="0"/>
        <w:ind w:left="454"/>
        <w:jc w:val="left"/>
      </w:pPr>
      <w:r>
        <w:rPr>
          <w:rFonts w:ascii="Palatino Linotype" w:hAnsi="Palatino Linotype"/>
          <w:b w:val="0"/>
          <w:sz w:val="22"/>
        </w:rPr>
        <w:t>4.7 Overview of Solution for RQ3</w:t>
        <w:tab/>
        <w:t>36</w:t>
      </w:r>
    </w:p>
    <w:p>
      <w:pPr>
        <w:tabs>
          <w:tab w:pos="8504" w:val="right" w:leader="dot"/>
        </w:tabs>
        <w:spacing w:after="40" w:before="0"/>
        <w:ind w:left="454"/>
        <w:jc w:val="left"/>
      </w:pPr>
      <w:r>
        <w:rPr>
          <w:rFonts w:ascii="Palatino Linotype" w:hAnsi="Palatino Linotype"/>
          <w:b w:val="0"/>
          <w:sz w:val="22"/>
        </w:rPr>
        <w:t>4.8 Overview of Solution for RQ4</w:t>
        <w:tab/>
        <w:t>36</w:t>
      </w:r>
    </w:p>
    <w:p>
      <w:pPr>
        <w:tabs>
          <w:tab w:pos="8504" w:val="right" w:leader="dot"/>
        </w:tabs>
        <w:spacing w:after="40" w:before="0"/>
        <w:ind w:left="454"/>
        <w:jc w:val="left"/>
      </w:pPr>
      <w:r>
        <w:rPr>
          <w:rFonts w:ascii="Palatino Linotype" w:hAnsi="Palatino Linotype"/>
          <w:b w:val="0"/>
          <w:sz w:val="22"/>
        </w:rPr>
        <w:t>4.9 Overview of Solution for RQ5</w:t>
        <w:tab/>
        <w:t>36</w:t>
      </w:r>
    </w:p>
    <w:p>
      <w:pPr>
        <w:tabs>
          <w:tab w:pos="8504" w:val="right" w:leader="dot"/>
        </w:tabs>
        <w:spacing w:after="40" w:before="0"/>
        <w:ind w:left="454"/>
        <w:jc w:val="left"/>
      </w:pPr>
      <w:r>
        <w:rPr>
          <w:rFonts w:ascii="Palatino Linotype" w:hAnsi="Palatino Linotype"/>
          <w:b w:val="0"/>
          <w:sz w:val="22"/>
        </w:rPr>
        <w:t>4.10 Overview of Solution for RQ6</w:t>
        <w:tab/>
        <w:t>37</w:t>
      </w:r>
    </w:p>
    <w:p>
      <w:pPr>
        <w:tabs>
          <w:tab w:pos="8504" w:val="right" w:leader="dot"/>
        </w:tabs>
        <w:spacing w:after="40" w:before="0"/>
        <w:ind w:left="1020"/>
        <w:jc w:val="left"/>
      </w:pPr>
      <w:r>
        <w:rPr>
          <w:rFonts w:ascii="Palatino Linotype" w:hAnsi="Palatino Linotype"/>
          <w:b w:val="0"/>
          <w:sz w:val="22"/>
        </w:rPr>
        <w:t>4.10.1 Testing and Verification of the Solution</w:t>
        <w:tab/>
        <w:t>37</w:t>
      </w:r>
    </w:p>
    <w:p>
      <w:pPr>
        <w:tabs>
          <w:tab w:pos="8504" w:val="right" w:leader="dot"/>
        </w:tabs>
        <w:spacing w:after="40" w:before="0"/>
        <w:ind w:left="454"/>
        <w:jc w:val="left"/>
      </w:pPr>
      <w:r>
        <w:rPr>
          <w:rFonts w:ascii="Palatino Linotype" w:hAnsi="Palatino Linotype"/>
          <w:b w:val="0"/>
          <w:sz w:val="22"/>
        </w:rPr>
        <w:t>4.11 Conclusion</w:t>
        <w:tab/>
        <w:t>37</w:t>
      </w:r>
    </w:p>
    <w:p>
      <w:pPr>
        <w:tabs>
          <w:tab w:pos="8504" w:val="right" w:leader="dot"/>
        </w:tabs>
        <w:spacing w:after="120" w:before="160"/>
        <w:ind w:left="0"/>
        <w:jc w:val="left"/>
      </w:pPr>
      <w:r>
        <w:rPr>
          <w:rFonts w:ascii="Palatino Linotype" w:hAnsi="Palatino Linotype"/>
          <w:b/>
          <w:sz w:val="22"/>
        </w:rPr>
        <w:t>5 Research Architecture and Trust-Centric Consent Model</w:t>
        <w:tab/>
        <w:t>39</w:t>
      </w:r>
    </w:p>
    <w:p>
      <w:pPr>
        <w:tabs>
          <w:tab w:pos="8504" w:val="right" w:leader="dot"/>
        </w:tabs>
        <w:spacing w:after="40" w:before="0"/>
        <w:ind w:left="454"/>
        <w:jc w:val="left"/>
      </w:pPr>
      <w:r>
        <w:rPr>
          <w:rFonts w:ascii="Palatino Linotype" w:hAnsi="Palatino Linotype"/>
          <w:b w:val="0"/>
          <w:sz w:val="22"/>
        </w:rPr>
        <w:t>5.1 Introduction</w:t>
        <w:tab/>
        <w:t>39</w:t>
      </w:r>
    </w:p>
    <w:p>
      <w:pPr>
        <w:tabs>
          <w:tab w:pos="8504" w:val="right" w:leader="dot"/>
        </w:tabs>
        <w:spacing w:after="40" w:before="0"/>
        <w:ind w:left="454"/>
        <w:jc w:val="left"/>
      </w:pPr>
      <w:r>
        <w:rPr>
          <w:rFonts w:ascii="Palatino Linotype" w:hAnsi="Palatino Linotype"/>
          <w:b w:val="0"/>
          <w:sz w:val="22"/>
        </w:rPr>
        <w:t>5.2 Layered Architecture and Component Decomposition</w:t>
        <w:tab/>
        <w:t>39</w:t>
      </w:r>
    </w:p>
    <w:p>
      <w:pPr>
        <w:tabs>
          <w:tab w:pos="8504" w:val="right" w:leader="dot"/>
        </w:tabs>
        <w:spacing w:after="40" w:before="0"/>
        <w:ind w:left="454"/>
        <w:jc w:val="left"/>
      </w:pPr>
      <w:r>
        <w:rPr>
          <w:rFonts w:ascii="Palatino Linotype" w:hAnsi="Palatino Linotype"/>
          <w:b w:val="0"/>
          <w:sz w:val="22"/>
        </w:rPr>
        <w:t>5.3 Trust Evaluation and Architectural Boundaries</w:t>
        <w:tab/>
        <w:t>41</w:t>
      </w:r>
    </w:p>
    <w:p>
      <w:pPr>
        <w:tabs>
          <w:tab w:pos="8504" w:val="right" w:leader="dot"/>
        </w:tabs>
        <w:spacing w:after="40" w:before="0"/>
        <w:ind w:left="454"/>
        <w:jc w:val="left"/>
      </w:pPr>
      <w:r>
        <w:rPr>
          <w:rFonts w:ascii="Palatino Linotype" w:hAnsi="Palatino Linotype"/>
          <w:b w:val="0"/>
          <w:sz w:val="22"/>
        </w:rPr>
        <w:t>5.4 MVC Architecture and the Research Objectives</w:t>
        <w:tab/>
        <w:t>44</w:t>
      </w:r>
    </w:p>
    <w:p>
      <w:pPr>
        <w:tabs>
          <w:tab w:pos="8504" w:val="right" w:leader="dot"/>
        </w:tabs>
        <w:spacing w:after="40" w:before="0"/>
        <w:ind w:left="454"/>
        <w:jc w:val="left"/>
      </w:pPr>
      <w:r>
        <w:rPr>
          <w:rFonts w:ascii="Palatino Linotype" w:hAnsi="Palatino Linotype"/>
          <w:b w:val="0"/>
          <w:sz w:val="22"/>
        </w:rPr>
        <w:t>5.5 Trust-Centric Consent Model</w:t>
        <w:tab/>
        <w:t>45</w:t>
      </w:r>
    </w:p>
    <w:p>
      <w:pPr>
        <w:tabs>
          <w:tab w:pos="8504" w:val="right" w:leader="dot"/>
        </w:tabs>
        <w:spacing w:after="40" w:before="0"/>
        <w:ind w:left="1020"/>
        <w:jc w:val="left"/>
      </w:pPr>
      <w:r>
        <w:rPr>
          <w:rFonts w:ascii="Palatino Linotype" w:hAnsi="Palatino Linotype"/>
          <w:b w:val="0"/>
          <w:sz w:val="22"/>
        </w:rPr>
        <w:t>5.5.1 Consent Creation Workflow</w:t>
        <w:tab/>
        <w:t>46</w:t>
      </w:r>
    </w:p>
    <w:p>
      <w:pPr>
        <w:tabs>
          <w:tab w:pos="8504" w:val="right" w:leader="dot"/>
        </w:tabs>
        <w:spacing w:after="40" w:before="0"/>
        <w:ind w:left="1020"/>
        <w:jc w:val="left"/>
      </w:pPr>
      <w:r>
        <w:rPr>
          <w:rFonts w:ascii="Palatino Linotype" w:hAnsi="Palatino Linotype"/>
          <w:b w:val="0"/>
          <w:sz w:val="22"/>
        </w:rPr>
        <w:t>5.5.2 Structure of the Consent Object</w:t>
        <w:tab/>
        <w:t>47</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47</w:t>
      </w:r>
    </w:p>
    <w:p>
      <w:pPr>
        <w:tabs>
          <w:tab w:pos="8504" w:val="right" w:leader="dot"/>
        </w:tabs>
        <w:spacing w:after="40" w:before="0"/>
        <w:ind w:left="454"/>
        <w:jc w:val="left"/>
      </w:pPr>
      <w:r>
        <w:rPr>
          <w:rFonts w:ascii="Palatino Linotype" w:hAnsi="Palatino Linotype"/>
          <w:b w:val="0"/>
          <w:sz w:val="22"/>
        </w:rPr>
        <w:t>5.6 Prototype Implementation</w:t>
        <w:tab/>
        <w:t>49</w:t>
      </w:r>
    </w:p>
    <w:p>
      <w:pPr>
        <w:tabs>
          <w:tab w:pos="8504" w:val="right" w:leader="dot"/>
        </w:tabs>
        <w:spacing w:after="40" w:before="0"/>
        <w:ind w:left="1020"/>
        <w:jc w:val="left"/>
      </w:pPr>
      <w:r>
        <w:rPr>
          <w:rFonts w:ascii="Palatino Linotype" w:hAnsi="Palatino Linotype"/>
          <w:b w:val="0"/>
          <w:sz w:val="22"/>
        </w:rPr>
        <w:t>5.6.1 Aims of Engineering the Prototype System</w:t>
        <w:tab/>
        <w:t>49</w:t>
      </w:r>
    </w:p>
    <w:p>
      <w:pPr>
        <w:tabs>
          <w:tab w:pos="8504" w:val="right" w:leader="dot"/>
        </w:tabs>
        <w:spacing w:after="40" w:before="0"/>
        <w:ind w:left="1020"/>
        <w:jc w:val="left"/>
      </w:pPr>
      <w:r>
        <w:rPr>
          <w:rFonts w:ascii="Palatino Linotype" w:hAnsi="Palatino Linotype"/>
          <w:b w:val="0"/>
          <w:sz w:val="22"/>
        </w:rPr>
        <w:t>5.6.2 Dataset Used for Validation</w:t>
        <w:tab/>
        <w:t>50</w:t>
      </w:r>
    </w:p>
    <w:p>
      <w:pPr>
        <w:tabs>
          <w:tab w:pos="8504" w:val="right" w:leader="dot"/>
        </w:tabs>
        <w:spacing w:after="40" w:before="0"/>
        <w:ind w:left="1020"/>
        <w:jc w:val="left"/>
      </w:pPr>
      <w:r>
        <w:rPr>
          <w:rFonts w:ascii="Palatino Linotype" w:hAnsi="Palatino Linotype"/>
          <w:b w:val="0"/>
          <w:sz w:val="22"/>
        </w:rPr>
        <w:t>5.6.3 Steps in the Working of the Prototype for Consent Creation</w:t>
        <w:tab/>
        <w:t>50</w:t>
      </w:r>
    </w:p>
    <w:p>
      <w:pPr>
        <w:tabs>
          <w:tab w:pos="8504" w:val="right" w:leader="dot"/>
        </w:tabs>
        <w:spacing w:after="40" w:before="0"/>
        <w:ind w:left="454"/>
        <w:jc w:val="left"/>
      </w:pPr>
      <w:r>
        <w:rPr>
          <w:rFonts w:ascii="Palatino Linotype" w:hAnsi="Palatino Linotype"/>
          <w:b w:val="0"/>
          <w:sz w:val="22"/>
        </w:rPr>
        <w:t>5.7 Validation and Evaluation</w:t>
        <w:tab/>
        <w:t>51</w:t>
      </w:r>
    </w:p>
    <w:p>
      <w:pPr>
        <w:tabs>
          <w:tab w:pos="8504" w:val="right" w:leader="dot"/>
        </w:tabs>
        <w:spacing w:after="40" w:before="0"/>
        <w:ind w:left="1020"/>
        <w:jc w:val="left"/>
      </w:pPr>
      <w:r>
        <w:rPr>
          <w:rFonts w:ascii="Palatino Linotype" w:hAnsi="Palatino Linotype"/>
          <w:b w:val="0"/>
          <w:sz w:val="22"/>
        </w:rPr>
        <w:t>5.7.1 Validation of Consent Creation</w:t>
        <w:tab/>
        <w:t>51</w:t>
      </w:r>
    </w:p>
    <w:p>
      <w:pPr>
        <w:tabs>
          <w:tab w:pos="8504" w:val="right" w:leader="dot"/>
        </w:tabs>
        <w:spacing w:after="40" w:before="0"/>
        <w:ind w:left="1020"/>
        <w:jc w:val="left"/>
      </w:pPr>
      <w:r>
        <w:rPr>
          <w:rFonts w:ascii="Palatino Linotype" w:hAnsi="Palatino Linotype"/>
          <w:b w:val="0"/>
          <w:sz w:val="22"/>
        </w:rPr>
        <w:t>5.7.2 Evaluation of the Architecture against the Security Properties</w:t>
        <w:tab/>
        <w:t>53</w:t>
      </w:r>
    </w:p>
    <w:p>
      <w:pPr>
        <w:tabs>
          <w:tab w:pos="8504" w:val="right" w:leader="dot"/>
        </w:tabs>
        <w:spacing w:after="40" w:before="0"/>
        <w:ind w:left="454"/>
        <w:jc w:val="left"/>
      </w:pPr>
      <w:r>
        <w:rPr>
          <w:rFonts w:ascii="Palatino Linotype" w:hAnsi="Palatino Linotype"/>
          <w:b w:val="0"/>
          <w:sz w:val="22"/>
        </w:rPr>
        <w:t>5.8 Conclusion</w:t>
        <w:tab/>
        <w:t>54</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33</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34</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40</w:t>
      </w:r>
    </w:p>
    <w:p>
      <w:pPr>
        <w:tabs>
          <w:tab w:pos="8504" w:val="right" w:leader="dot"/>
        </w:tabs>
        <w:spacing w:after="40" w:before="0"/>
        <w:ind w:left="454"/>
        <w:jc w:val="left"/>
      </w:pPr>
      <w:r>
        <w:rPr>
          <w:rFonts w:ascii="Palatino Linotype" w:hAnsi="Palatino Linotype"/>
          <w:b w:val="0"/>
          <w:sz w:val="22"/>
        </w:rPr>
        <w:t>5.2 Functional decomposition of the MVC components.</w:t>
        <w:tab/>
        <w:t>41</w:t>
      </w:r>
    </w:p>
    <w:p>
      <w:pPr>
        <w:tabs>
          <w:tab w:pos="8504" w:val="right" w:leader="dot"/>
        </w:tabs>
        <w:spacing w:after="40" w:before="0"/>
        <w:ind w:left="454"/>
        <w:jc w:val="left"/>
      </w:pPr>
      <w:r>
        <w:rPr>
          <w:rFonts w:ascii="Palatino Linotype" w:hAnsi="Palatino Linotype"/>
          <w:b w:val="0"/>
          <w:sz w:val="22"/>
        </w:rPr>
        <w:t>5.3 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w:t>
        <w:tab/>
        <w:t>42</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tab/>
        <w:t>43</w:t>
      </w:r>
    </w:p>
    <w:p>
      <w:pPr>
        <w:tabs>
          <w:tab w:pos="8504" w:val="right" w:leader="dot"/>
        </w:tabs>
        <w:spacing w:after="40" w:before="0"/>
        <w:ind w:left="454"/>
        <w:jc w:val="left"/>
      </w:pPr>
      <w:r>
        <w:rPr>
          <w:rFonts w:ascii="Palatino Linotype" w:hAnsi="Palatino Linotype"/>
          <w:b w:val="0"/>
          <w:sz w:val="22"/>
        </w:rPr>
        <w:t>5.5 RO1 workflow for trust-centric consent creation.</w:t>
        <w:tab/>
        <w:t>46</w:t>
      </w:r>
    </w:p>
    <w:p>
      <w:pPr>
        <w:tabs>
          <w:tab w:pos="8504" w:val="right" w:leader="dot"/>
        </w:tabs>
        <w:spacing w:after="40" w:before="0"/>
        <w:ind w:left="454"/>
        <w:jc w:val="left"/>
      </w:pPr>
      <w:r>
        <w:rPr>
          <w:rFonts w:ascii="Palatino Linotype" w:hAnsi="Palatino Linotype"/>
          <w:b w:val="0"/>
          <w:sz w:val="22"/>
        </w:rPr>
        <w:t>5.6 Six-component consent model C = (I, A, P, T, L, E) with the content and supplier of each component, where L is the lifecycle state. The states shown are those of the design, and the states implemented in the prototype are given in Chapter 9.</w:t>
        <w:tab/>
        <w:t>47</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 the consent specification on the left and right, and the confirmation with the consent identifier below.</w:t>
        <w:tab/>
        <w:t>51</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52</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Quality assessment items and inclusion rule</w:t>
        <w:tab/>
        <w:t>13</w:t>
      </w:r>
    </w:p>
    <w:p>
      <w:pPr>
        <w:tabs>
          <w:tab w:pos="8504" w:val="right" w:leader="dot"/>
        </w:tabs>
        <w:spacing w:after="40" w:before="0"/>
        <w:ind w:left="454"/>
        <w:jc w:val="left"/>
      </w:pPr>
      <w:r>
        <w:rPr>
          <w:rFonts w:ascii="Palatino Linotype" w:hAnsi="Palatino Linotype"/>
          <w:b w:val="0"/>
          <w:sz w:val="22"/>
        </w:rPr>
        <w:t>2.4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policy and context</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20</w:t>
      </w:r>
    </w:p>
    <w:p>
      <w:pPr>
        <w:tabs>
          <w:tab w:pos="8504" w:val="right" w:leader="dot"/>
        </w:tabs>
        <w:spacing w:after="40" w:before="0"/>
        <w:ind w:left="454"/>
        <w:jc w:val="left"/>
      </w:pPr>
      <w:r>
        <w:rPr>
          <w:rFonts w:ascii="Palatino Linotype" w:hAnsi="Palatino Linotype"/>
          <w:b w:val="0"/>
          <w:sz w:val="22"/>
        </w:rPr>
        <w:t>2.10 Descriptions, issues and limitations of the studies on security assurance</w:t>
        <w:tab/>
        <w:t>21</w:t>
      </w:r>
    </w:p>
    <w:p>
      <w:pPr>
        <w:tabs>
          <w:tab w:pos="8504" w:val="right" w:leader="dot"/>
        </w:tabs>
        <w:spacing w:after="40" w:before="0"/>
        <w:ind w:left="454"/>
        <w:jc w:val="left"/>
      </w:pPr>
      <w:r>
        <w:rPr>
          <w:rFonts w:ascii="Palatino Linotype" w:hAnsi="Palatino Linotype"/>
          <w:b w:val="0"/>
          <w:sz w:val="22"/>
        </w:rPr>
        <w:t>2.11 Comparison of the included studies against the key requirements</w:t>
        <w:tab/>
        <w:t>21</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30</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44</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45</w:t>
      </w:r>
    </w:p>
    <w:p>
      <w:pPr>
        <w:tabs>
          <w:tab w:pos="8504" w:val="right" w:leader="dot"/>
        </w:tabs>
        <w:spacing w:after="40" w:before="0"/>
        <w:ind w:left="454"/>
        <w:jc w:val="left"/>
      </w:pPr>
      <w:r>
        <w:rPr>
          <w:rFonts w:ascii="Palatino Linotype" w:hAnsi="Palatino Linotype"/>
          <w:b w:val="0"/>
          <w:sz w:val="22"/>
        </w:rPr>
        <w:t>5.3 Evaluation of the trust-centric consent model: the check applied to each component of C at creation, the evidence and the result</w:t>
        <w:tab/>
        <w:t>52</w:t>
      </w:r>
    </w:p>
    <w:p>
      <w:pPr>
        <w:tabs>
          <w:tab w:pos="8504" w:val="right" w:leader="dot"/>
        </w:tabs>
        <w:spacing w:after="40" w:before="0"/>
        <w:ind w:left="454"/>
        <w:jc w:val="left"/>
      </w:pPr>
      <w:r>
        <w:rPr>
          <w:rFonts w:ascii="Palatino Linotype" w:hAnsi="Palatino Linotype"/>
          <w:b w:val="0"/>
          <w:sz w:val="22"/>
        </w:rPr>
        <w:t>5.4 Security properties supported by the proposed MVC-based consent architecture</w:t>
        <w:tab/>
        <w:t>54</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quality evaluation questions.</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t>5.1 Introduction</w:t>
      </w:r>
    </w:p>
    <w:p>
      <w:pPr/>
      <w:r>
        <w:t>Chapter 4 presented the research methodology and an overview of the solution. This chapter presents the first two parts of the solution in full: the research architecture that carries the whole framework, and the trust-centric consent model of RO1, which is the object that the other objectives build on. The two belong together because the consent model lives in the Model layer of the architecture, and the architecture is what turns the consent object from a stored record into a condition that the Controller evaluates at every request.</w:t>
      </w:r>
    </w:p>
    <w:p>
      <w:pPr/>
      <w:r>
        <w:t>Sections 5.2 to 5.4 present the architecture: its three layers and their components, where trust is evaluated and where the boundaries between the layers lie, and how the architecture maps to the six research objectives. Section 5.5 presents the consent model: the creation workflow, the structure of the consent object C = (I, A, P, T, L, E), and the creation procedure as Algorithm 1. Section 5.6 shows how the model is implemented in the HALAH prototype: the aims of the prototype, the dataset it uses and the steps of consent creation. Section 5.7 validates the consent creation against the live scenarios, the automated tests and the audit ledger, and evaluates the architecture against the security properties it is designed to provide. Section 5.8 concludes the chapter.</w:t>
      </w:r>
    </w:p>
    <w:p>
      <w:pPr>
        <w:pStyle w:val="2"/>
      </w:pPr>
      <w:r>
        <w:t>5.2 Layered Architecture and Component Decomposition</w:t>
      </w:r>
    </w:p>
    <w:p w14:paraId="41D8500A" w14:textId="77777777" w:rsidR="009262C4" w:rsidRDefault="00000000">
      <w:pPr>
        <w:spacing w:after="110" w:line="264" w:lineRule="auto"/>
        <w:jc w:val="both"/>
      </w:pPr>
      <w:r>
        <w:t xml:space="preserve">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w:t>
      </w:r>
      <w:r>
        <w:t>Section 5.2 describes the layers and their components, Section 5.3 explains where trust is evaluated and where the architectural boundaries lie, the authorisation workflow was presented in Section 4.4, and Section 5.4 maps the architecture to the research objectives.</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how the model is realised in the prototype, and Section 5.7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sz w:val="20"/>
          <w:szCs w:val="18"/>
        </w:rPr>
        <w:t>given in Chapter 9</w:t>
      </w:r>
      <w:r>
        <w:rPr>
          <w:sz w:val="20"/>
          <w:szCs w:val="18"/>
        </w:rPr>
        <w:t>.</w:t>
      </w:r>
    </w:p>
    <w:p w14:paraId="19DBCC08" w14:textId="77777777" w:rsidR="009262C4" w:rsidRDefault="00000000">
      <w:pPr>
        <w:spacing w:after="110" w:line="264" w:lineRule="auto"/>
        <w:jc w:val="both"/>
      </w:pPr>
      <w:r>
        <w:t>The system validates the temporal validity interval T = (t</w:t>
      </w:r>
      <w:r>
        <w:rPr>
          <w:vertAlign w:val="subscript"/>
        </w:rPr>
        <w:t>s</w:t>
      </w:r>
      <w:r>
        <w:t xml:space="preserve">, t</w:t>
      </w:r>
      <w:r>
        <w:rPr>
          <w:vertAlign w:val="subscript"/>
        </w:rPr>
        <w:t>e</w:t>
      </w:r>
      <w:r>
        <w:t>). 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5.7.</w:t>
      </w:r>
    </w:p>
    <w:p>
      <w:pPr>
        <w:pStyle w:val="3"/>
      </w:pPr>
      <w:r>
        <w:t>5.6.1 Aims of Engineering the Prototype System</w:t>
      </w:r>
    </w:p>
    <w:p>
      <w:pPr/>
      <w:r>
        <w:t>The prototype was engineered for three aims. The first is to show that the consent model can be built: a patient can create the object C = (I, A, P, T, L, E) through an interface, and the object carries every component that the later checks need. The second is to make the design testable: the same code that the interface calls is called by the automated tests, so a check that the interface enforces can also be attacked directly at the service level, which is how the gaps closed by the hardening of 1 October 2026 were found. The third is to produce evidence: every creation, approval, decision and revocation is written to the audit ledger with the result of each check, so the claims of this and the following chapters can be traced to recorded events rather than to screenshots alone. The prototype is not engineered for throughput or for a production deployment; its purpose is to validate the design.</w:t>
      </w:r>
    </w:p>
    <w:p>
      <w:pPr>
        <w:pStyle w:val="3"/>
      </w:pPr>
      <w:r>
        <w:t>5.6.2 Dataset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pStyle w:val="3"/>
      </w:pPr>
      <w:r>
        <w:t>5.6.3 Steps in the Working of the Prototype for Consent Creation</w:t>
      </w:r>
    </w:p>
    <w:p>
      <w:pPr/>
      <w:r>
        <w:t>The creation of a consent in the prototype follows the steps of Algorithm 1 as shown in Figure 5.7:</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r>
        <w:t>5. If every check passes, the prototype assigns the consent identifier, stores the object in the state PENDING_SIGNATURE with N set to the number of guardians, writes the CREATE_CONSENT event to the audit ledger, and shows the identifier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 the consent specification on the left and right, and the confirmation with the consent identifier below.</w:t>
      </w:r>
    </w:p>
    <w:p>
      <w:pPr>
        <w:pStyle w:val="2"/>
      </w:pPr>
      <w:r>
        <w:t>5.7 Validation and Evaluation</w:t>
      </w:r>
    </w:p>
    <w:p>
      <w:pPr/>
      <w:r>
        <w:t>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5.7.1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5.3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5.3: Evaluation of the trust-centric consent model: the check applied to each component of C at creation, the evidence and the result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5.6.3).</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5.7.2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5.4, in which collective authorisation integrity and decision accountability appear as multi-party authorisation integrity and authorisation evidence respectively.</w:t>
      </w:r>
    </w:p>
    <w:p>
      <w:pPr>
        <w:keepNext/>
        <w:spacing w:before="160" w:after="160"/>
        <w:jc w:val="center"/>
      </w:pPr>
      <w:r>
        <w:rPr>
          <w:sz w:val="20"/>
        </w:rPr>
        <w:t>Table 5.4: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5.4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2"/>
      </w:pPr>
      <w:r>
        <w:t>5.8 Conclusion</w:t>
      </w:r>
    </w:p>
    <w:p>
      <w:pPr/>
      <w:r>
        <w:t>This chapter presented the research architecture and the trust-centric consent model. The architecture separates the interaction of independent stakeholders in the View, the enforcement of the five trust predicates in the Controller, and the representation of consent, identity, approval, policy, evidence and lifecycle state in the Model, with the protected health data outside all three layers. The consent model represents patient consent as the evaluable object C = (I, A, P, T, L, E), created through Algorithm 1 only when every field is valid, assigned a unique identifier, persisted in the state PENDING_SIGNATURE and recorded in the audit ledger. The prototype implements the model in the patient interface, the live scenarios and the automated tests show that valid specifications are created and invalid ones are rejected, and the architecture was evaluated against the six security properties it is designed to provide. The next chapter presents the solution for RO2, which verifies who the participants are and what authority they hold.</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