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14</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15</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2.3.7 Data Extraction and Synthesis</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22</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26</w:t>
      </w:r>
    </w:p>
    <w:p>
      <w:pPr>
        <w:tabs>
          <w:tab w:val="right" w:pos="9360" w:leader="dot"/>
        </w:tabs>
        <w:spacing w:after="60"/>
        <w:ind w:left="720"/>
      </w:pPr>
      <w:r>
        <w:rPr>
          <w:rFonts w:ascii="Cambria" w:cs="Cambria" w:eastAsia="Cambria" w:hAnsi="Cambria"/>
          <w:b w:val="false"/>
          <w:bCs w:val="false"/>
          <w:sz w:val="20"/>
          <w:szCs w:val="20"/>
        </w:rPr>
        <w:t xml:space="preserve">2.4.1 Healthcare Consent and Decentralised Data Governance</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2.4.2 Blockchain-Based Consent and Data Governance</w:t>
      </w:r>
      <w:r>
        <w:rPr>
          <w:rFonts w:ascii="Cambria" w:cs="Cambria" w:eastAsia="Cambria" w:hAnsi="Cambria"/>
          <w:sz w:val="20"/>
          <w:szCs w:val="20"/>
        </w:rPr>
        <w:t xml:space="preserve">	30</w:t>
      </w:r>
    </w:p>
    <w:p>
      <w:pPr>
        <w:tabs>
          <w:tab w:val="right" w:pos="9360" w:leader="dot"/>
        </w:tabs>
        <w:spacing w:after="60"/>
        <w:ind w:left="720"/>
      </w:pPr>
      <w:r>
        <w:rPr>
          <w:rFonts w:ascii="Cambria" w:cs="Cambria" w:eastAsia="Cambria" w:hAnsi="Cambria"/>
          <w:b w:val="false"/>
          <w:bCs w:val="false"/>
          <w:sz w:val="20"/>
          <w:szCs w:val="20"/>
        </w:rPr>
        <w:t xml:space="preserve">2.4.3 Decentralised Identity and Verifiable Credentials</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2.4.4 Multi-Party Authorisation and Collaborative Consent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2.4.5 Policy-Based and Context-Aware Access Control</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2.4.6 Trusted Computing, Secure Execution, and Security Assurance</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41</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43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43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46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49</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50</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55</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61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66</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68</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70</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76</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77</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78</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83</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85</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88</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97</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98</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99</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100</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101</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104</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108</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116</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122</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128</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132</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134</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137</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140</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143</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144</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145</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146</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146</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148</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149</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149</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154</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CC"/>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color w:val="0000CC"/>
        </w:rPr>
        <w:t xml:space="preserve">2.2  Key Requirements for Trustworthy Multi-Party Consent Authorisation</w:t>
      </w:r>
    </w:p>
    <w:p>
      <w:pPr>
        <w:spacing w:after="140" w:line="300"/>
        <w:jc w:val="both"/>
      </w:pPr>
      <w:r>
        <w:rPr>
          <w:rFonts w:ascii="Cambria" w:cs="Cambria" w:eastAsia="Cambria" w:hAnsi="Cambria"/>
          <w:color w:val="0000CC"/>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color w:val="0000CC"/>
        </w:rPr>
        <w:t xml:space="preserve">2.2.1  Representation of consent as an evaluable authorisation object (Req: 1)</w:t>
      </w:r>
    </w:p>
    <w:p>
      <w:pPr>
        <w:spacing w:after="140" w:line="300"/>
        <w:jc w:val="both"/>
      </w:pPr>
      <w:r>
        <w:rPr>
          <w:rFonts w:ascii="Cambria" w:cs="Cambria" w:eastAsia="Cambria" w:hAnsi="Cambria"/>
          <w:color w:val="0000CC"/>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color w:val="0000CC"/>
        </w:rPr>
        <w:t xml:space="preserve">2.2.2  Decentralised verification of identity and authority (Req: 2)</w:t>
      </w:r>
    </w:p>
    <w:p>
      <w:pPr>
        <w:spacing w:after="140" w:line="300"/>
        <w:jc w:val="both"/>
      </w:pPr>
      <w:r>
        <w:rPr>
          <w:rFonts w:ascii="Cambria" w:cs="Cambria" w:eastAsia="Cambria" w:hAnsi="Cambria"/>
          <w:color w:val="0000CC"/>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color w:val="0000CC"/>
        </w:rPr>
        <w:t xml:space="preserve">2.2.3  Multi-party authorisation through a verifiable threshold (Req: 3)</w:t>
      </w:r>
    </w:p>
    <w:p>
      <w:pPr>
        <w:spacing w:after="140" w:line="300"/>
        <w:jc w:val="both"/>
      </w:pPr>
      <w:r>
        <w:rPr>
          <w:rFonts w:ascii="Cambria" w:cs="Cambria" w:eastAsia="Cambria" w:hAnsi="Cambria"/>
          <w:color w:val="0000CC"/>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color w:val="0000CC"/>
        </w:rPr>
        <w:t xml:space="preserve">2.2.4  Policy- and context-aware enforcement at the time of access (Req: 4)</w:t>
      </w:r>
    </w:p>
    <w:p>
      <w:pPr>
        <w:spacing w:after="140" w:line="300"/>
        <w:jc w:val="both"/>
      </w:pPr>
      <w:r>
        <w:rPr>
          <w:rFonts w:ascii="Cambria" w:cs="Cambria" w:eastAsia="Cambria" w:hAnsi="Cambria"/>
          <w:color w:val="0000CC"/>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This is important because most unauthorised disclosures in practice are not caused by unknown requesters but by legitimate requesters who exceed the scope of what was permitted.</w:t>
      </w:r>
    </w:p>
    <w:p>
      <w:pPr>
        <w:pStyle w:val="Heading3"/>
        <w:spacing w:after="160" w:before="280"/>
      </w:pPr>
      <w:r>
        <w:rPr>
          <w:color w:val="0000CC"/>
        </w:rPr>
        <w:t xml:space="preserve">2.2.5  Temporal validity and lifecycle control of consent (Req: 5)</w:t>
      </w:r>
    </w:p>
    <w:p>
      <w:pPr>
        <w:spacing w:after="140" w:line="300"/>
        <w:jc w:val="both"/>
      </w:pPr>
      <w:r>
        <w:rPr>
          <w:rFonts w:ascii="Cambria" w:cs="Cambria" w:eastAsia="Cambria" w:hAnsi="Cambria"/>
          <w:color w:val="0000CC"/>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color w:val="0000CC"/>
        </w:rPr>
        <w:t xml:space="preserve">2.2.6  Verifiable auditability and security assurance (Req: 6)</w:t>
      </w:r>
    </w:p>
    <w:p>
      <w:pPr>
        <w:spacing w:after="140" w:line="300"/>
        <w:jc w:val="both"/>
      </w:pPr>
      <w:r>
        <w:rPr>
          <w:rFonts w:ascii="Cambria" w:cs="Cambria" w:eastAsia="Cambria" w:hAnsi="Cambria"/>
          <w:color w:val="0000CC"/>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CC"/>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t xml:space="preserve">2.3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2.3.1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2.3.2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2.3.3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2.4.6.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2.3.4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2.3.5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r>
        <w:rPr>
          <w:rFonts w:ascii="Cambria" w:cs="Cambria" w:eastAsia="Cambria" w:hAnsi="Cambria"/>
          <w:sz w:val="24"/>
          <w:szCs w:val="24"/>
        </w:rPr>
        <w:t xml:space="preserve"> </w:t>
      </w:r>
      <w:r>
        <w:rPr>
          <w:rFonts w:ascii="Cambria" w:cs="Cambria" w:eastAsia="Cambria" w:hAnsi="Cambria"/>
          <w:color w:val="007A00"/>
          <w:sz w:val="24"/>
          <w:szCs w:val="24"/>
        </w:rPr>
        <w:t xml:space="preserve">Similarly, the healthcare studies [9, 14, 31] contribute contextual evidence on patient attitudes, confidentiality and guardianship rather than technical mechanisms, and they are assessed on that basis in the study tables of Section 2.4.</w:t>
      </w:r>
    </w:p>
    <w:p>
      <w:pPr>
        <w:pStyle w:val="Heading3"/>
        <w:spacing w:after="160" w:before="280"/>
      </w:pPr>
      <w:r>
        <w:t xml:space="preserve">2.3.6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2.3.7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Heading3"/>
        <w:spacing w:after="160" w:before="280"/>
      </w:pPr>
      <w:r>
        <w:rPr>
          <w:color w:val="0000CC"/>
        </w:rPr>
        <w:t xml:space="preserve">2.3.8  Shortlisted Studies and Their Categorisation</w:t>
      </w:r>
    </w:p>
    <w:p>
      <w:pPr>
        <w:spacing w:after="140" w:line="300"/>
        <w:jc w:val="both"/>
      </w:pPr>
      <w:r>
        <w:rPr>
          <w:rFonts w:ascii="Cambria" w:cs="Cambria" w:eastAsia="Cambria" w:hAnsi="Cambria"/>
          <w:color w:val="0000CC"/>
          <w:sz w:val="24"/>
          <w:szCs w:val="24"/>
        </w:rPr>
        <w:t xml:space="preserve">Each of the 33 shortlisted studies was analysed according to its scope, topic, authors, year of publication and its contribution to the review questions. Based on this analysis, each study was assigned to one of six thematic categories: healthcare consent and data governance; blockchain-based data governance; decentralised identity and verifiable credentials; multi-party authorisation and collaborative governance; policy- and context-aware access control; and trusted computing and security assurance. The studies are listed in Table 2. In the remainder of this chapter, each study is referred to by the label Sn, where n is its number in the reference list, so that the reader can move between the tables, the text and the references without ambiguity. The studies in each category are reviewed in the next section, and their issues and limitations with respect to the key requirements defined in Section 2.2 are discussed.</w:t>
      </w:r>
    </w:p>
    <w:p>
      <w:pPr>
        <w:keepNext/>
        <w:spacing w:after="80" w:before="160"/>
        <w:jc w:val="center"/>
      </w:pPr>
      <w:r>
        <w:rPr>
          <w:rFonts w:ascii="Cambria" w:cs="Cambria" w:eastAsia="Cambria" w:hAnsi="Cambria"/>
          <w:b/>
          <w:bCs/>
          <w:color w:val="0000CC"/>
          <w:sz w:val="21"/>
          <w:szCs w:val="21"/>
        </w:rPr>
        <w:t xml:space="preserve">Table 2: </w:t>
      </w:r>
      <w:r>
        <w:rPr>
          <w:rFonts w:ascii="Cambria" w:cs="Cambria" w:eastAsia="Cambria" w:hAnsi="Cambria"/>
          <w:color w:val="0000CC"/>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40"/>
        <w:gridCol w:w="3600"/>
        <w:gridCol w:w="2200"/>
      </w:tblGrid>
      <w:tr>
        <w:trPr>
          <w:tblHeader/>
        </w:trPr>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w:t>
            </w:r>
          </w:p>
        </w:tc>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Date</w:t>
            </w:r>
          </w:p>
        </w:tc>
        <w:tc>
          <w:tcPr>
            <w:tcW w:type="dxa" w:w="3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Topic</w:t>
            </w:r>
          </w:p>
        </w:tc>
        <w:tc>
          <w:tcPr>
            <w:tcW w:type="dxa" w:w="2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Category</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Abdullah Al Mamun, Sami Azam, and Clementine Gritti [1]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electronic health records management: a comprehensive review and future research direction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 Andrew, Deva Priya Isravel, K Martin Sagayam, Bharat Bhushan, Yuichi Sei, and Jennifer Eunice [2]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for healthcare systems: Architecture, security challenges, trends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Mohammad Salar Arbabi, Chhagan Lal, Narasimha Raghavan Veeraragavan, Dusica Marijan, Jan F Nygård, and Roman Vitenberg [3]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survey on blockchain for healthcare: Challenges, benefits, and future directions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Haotian Deng, Jinwen Liang, Chuan Zhang, Ximeng Liu, Liehuang Zhu, and Song Guo [4]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FutureDID: A fully decentralized identity system with multi-party verification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Andrea Flamini, Giada Sciarretta, Mario Scuro, Amir Sharif, Alessandro Tomasi, and Silvio Ranise [5]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On cryptographic mechanisms for the selective disclosure of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Abdul Ghafoor, Iraklis Symeonidis, Anna Rydberg, Cecilia Lindahl, and Abdul Qadus Abbasi [6]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Towards empowering stakeholders through decentralized trust and secure livestock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Pranto Kumar Ghosh, Arindom Chakraborty, Mehedi Hasan, Khalid Rashid, and Abdul Hasib Siddique [7]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application in healthcare systems: a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Remy Hellstern, Daniel C Park, Victoria Lemieux, and Guldana Salimjan [8]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Leveraging blockchain-based archival solutions for sensitive documentation: A Xinjiang case study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Ateya Megahed Ibrahim, Hassanat Ramadan Abdel-Aziz, Heba Ali Hamed Mohamed, Donia Elsaid Fathi Zaghamir, Nadia Mohamed Ibrahim Wahba, Ghada A Hassan, Mostafa Shaban, Mohammad El-Nablaway, Ohoud Naif Aldughmi, and Taghreed Hussien Aboelola [9]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Balancing confidentiality and care coordination: challenges in patient privacy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Vitor Jesus and Harshvardhan J Pandit [10]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receipts for a usable and auditable web of personal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Rong Jiang, Xue Chen, Yimin Yu, Ying Zhang, and Weiping Ding [11]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Risk and UCON-based access control model for healthcare big data</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Katya Kaplow, Max Downey, Darren Stewart, Allan B Massie, Jennifer D Motter, Lauren Taylor, John Massarelli, Taylor Matalon, Carolyn Sidoti, Macey L Levan, et al [12]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professionals’ attitudes on data privacy, sharing, and consent in healthcare and research</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Muhammad Irfan Khalid, Mansoor Ahmed, Markus Helfert, and Jungsuk Kim [13]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Privacy-first paradigm for dynamic consent management systems: empowering data subjects through decentralized data controllers and privacy-preserving techniques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Alexander Kharlamov, Roland Hohmann, and Glenn Parry [14]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sharing decisions: perceptions and intentions in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Behnam Khayer, Siamak Mirzaei, Hooman Alavizadeh, and Ahmad Salehi Shahraki [15]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 for secure IoT: A review of identity management, access control, and trust mechanisms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Chalima Dimitra Nassar Kyriakidou, Athanasia Maria Papathanasiou, and George C Polyzos [16]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Decentralized identity with applications to security and privacy for the internet of things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Lanlan Li, Charles Z Liu, Kejia Huang, Ruiyi Deng, Majed Abdullah Alrowaily, Mansoor Alghamdi, Ibrahim S Alkhazi, and Malek Alrashidi [17]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Trust-aware environmental state consensus for smart agriculture with TEE-enabled sensing and Byzantine-resilient blockchain coordination</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Lanlan Li, Charles Z Liu, and Sanjeeb Shrestha [18]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Analytical entropy approach for measuring blockchain immutability and tamper-resilient trust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Richard K Lomotey, Sandra Kumi, and Ralph Deters [19]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Data trusts as a service: Providing a platform for multi-party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Carlo Mazzocca, Abbas Acar, Selcuk Uluagac, Rebecca Montanari, Paolo Bellavista, and Mauro Conti [20]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survey on decentralized identifiers and verifiable credentials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Cindy Welzel, Max Ostermann, Hannah Louise Smith, Timo Minssen, Toralf Kirsten, and Stephen Gilbert [21]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Enabling secure and self determined health data sharing and consent management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Roy McClelland and Colin M Harper [22]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2023</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Information privacy in healthcare—the vital role of informed consent</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Jämes Ménétrey, Christian Göttel, Anum Khurshid, Marcelo Pasin, Pascal Felber, Valerio Schiavoni, and Shahid Raza [23]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Attestation mechanisms for trusted execution environments demystified</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Trusted Computing and Security Assurance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Minal R Narkhede, Nilesh I Wankhede, and Akanksha M Kamble [24]</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Enhancing patient autonomy in data ownership: privacy models and consent frameworks for healthcare</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Aleena Nazir, Mubashir Husain Rehmani, Bernard Butler, and Donna O’Shea [25]</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2026</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control in healthcare IoT: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Thanh Linh Nguyen, Lam Nguyen, Thong Hoang, Dilum Bandara, Qin Wang, Qinghua Lu, Xiwei Xu, Liming Zhu, and Shiping Chen [26]</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Blockchain-empowered trustworthy data sharing: Fundamentals, applications, and challenges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Rohini Poolat Parameswarath, Prosanta Gope, and Biplab Sikdar [27]</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2022</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User-empowered privacy-preserving authentication protocol for electric vehicle charging based on decentralized identity and verifiable credential</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Ahmed M Tawfik, Ayman Al-Ahwal, Adly S Tag Eldien, and Hala H Zayed [28]</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access control and privacy preservation in healthcare: a comprehensive survey</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Leonidas Theodorakopoulos, Alexandra Theodoropoulou, and Constantinos Halkiopoulos [29]</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Enhancing decentralized decision-making with big data and blockchain technology: A comprehensive review</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Authorisation and Collaborative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Mohammad Nawab Turan, Irshad Ahmed Hashimzai, and Mohammad Qaseem Qiam [30]</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 blockchain-based framework for secure and transparent environmental data sharing in smart cities: Enhancing trust, integrity, and interoperability in urban sustainability systems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Blockchain-Based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Emily C Webber, David Brick, James P Scibilia, Peter Dehnel, Council on Clinical Information Technology, et al [31]</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2019</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Electronic communication of the health record and information with pediatric patients and their guardians</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Healthcare Consent and Data Governance</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Hongjian Yin, Yiming Zhao, Lei Zhang, Baojun Qiao, Wenbo Chen, and Huaqing Wang [32]</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2024</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Attribute-based searchable encryption with decentralized key management for healthcare data sharing</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Policy- and Context-Aware Access Control</w:t>
            </w:r>
          </w:p>
        </w:tc>
      </w:tr>
      <w:tr>
        <w:trPr>
          <w:cantSplit/>
        </w:trPr>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Jie Yin, Yang Xiao, Qian Chen, Xuefeng Liu, Qingqi Pei, Jianying Zhou, et al [33]</w:t>
            </w:r>
          </w:p>
        </w:tc>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2025</w:t>
            </w:r>
          </w:p>
        </w:tc>
        <w:tc>
          <w:tcPr>
            <w:tcW w:type="dxa" w:w="3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DP-DID: A dynamic and proactive decentralized identity system</w:t>
            </w:r>
          </w:p>
        </w:tc>
        <w:tc>
          <w:tcPr>
            <w:tcW w:type="dxa" w:w="2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Decentralised Identity and Verifiable Credentials</w:t>
            </w:r>
          </w:p>
        </w:tc>
      </w:tr>
    </w:tbl>
    <w:p>
      <w:pPr>
        <w:spacing w:after="180"/>
      </w:pP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2.4  Review</w:t>
      </w:r>
    </w:p>
    <w:p>
      <w:pPr>
        <w:spacing w:after="140" w:line="300"/>
        <w:jc w:val="both"/>
      </w:pPr>
      <w:r>
        <w:rPr>
          <w:rFonts w:ascii="Cambria" w:cs="Cambria" w:eastAsia="Cambria" w:hAnsi="Cambria"/>
          <w:color w:val="000000"/>
          <w:sz w:val="24"/>
          <w:szCs w:val="24"/>
        </w:rPr>
        <w:t xml:space="preserve">The thematic sections that follow (Sections 2.4.1–2.4.6), together with the comparative analysis in Section 2.4.7, address the review questions as follows. Review question 1 is addressed principally in Sections 2.4.2 and 2.4.4; review question 2 in Sections 2.4.1 and 2.4.5; review question 3 in Section 2.4.3; review question 4 in Sections 2.4.2 and 2.4.5, with its selective-disclosure dimension addressed in Section 2.4.3; and review question 5 is synthesised in Sections 2.4.7 and 2.5, where it motivates the research gap. The lifecycle and evaluation questions 6 and 7 are addressed in Sections 2.4.1 and 2.4.6 respectively.</w:t>
      </w:r>
      <w:r>
        <w:rPr>
          <w:rFonts w:ascii="Cambria" w:cs="Cambria" w:eastAsia="Cambria" w:hAnsi="Cambria"/>
          <w:sz w:val="24"/>
          <w:szCs w:val="24"/>
        </w:rPr>
        <w:t xml:space="preserve"> </w:t>
      </w:r>
      <w:r>
        <w:rPr>
          <w:rFonts w:ascii="Cambria" w:cs="Cambria" w:eastAsia="Cambria" w:hAnsi="Cambria"/>
          <w:color w:val="0000CC"/>
          <w:sz w:val="24"/>
          <w:szCs w:val="24"/>
        </w:rPr>
        <w:t xml:space="preserve">At the end of each stream, a table summarises the reviewed studies, their issues and limitations, and their commitment to the six key requirements defined in Section 2.2 (Tables 3 to 8).</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3.2 and the sections of the review in which they are addressed, ending in the research gap carried into Chapter 3." title="Figure 4: Correspondence between the seven review questions of Section 2.3.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research gap carried into Chapter 3.</w:t>
      </w:r>
    </w:p>
    <w:p>
      <w:pPr>
        <w:pStyle w:val="Heading3"/>
        <w:spacing w:after="160" w:before="280"/>
      </w:pPr>
      <w:r>
        <w:t xml:space="preserve">2.4.1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w:t>
      </w:r>
      <w:r>
        <w:rPr>
          <w:rFonts w:ascii="Cambria" w:cs="Cambria" w:eastAsia="Cambria" w:hAnsi="Cambria"/>
          <w:color w:val="007A00"/>
          <w:sz w:val="24"/>
          <w:szCs w:val="24"/>
        </w:rPr>
        <w:t xml:space="preserve">[13]</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w:t>
      </w:r>
      <w:r>
        <w:rPr>
          <w:rFonts w:ascii="Cambria" w:cs="Cambria" w:eastAsia="Cambria" w:hAnsi="Cambria"/>
          <w:color w:val="007A00"/>
          <w:sz w:val="24"/>
          <w:szCs w:val="24"/>
        </w:rPr>
        <w:t xml:space="preserve">dynamic-consent research [13] recognises that a patient's preferences change over time, and consent receipts [10] provide evidence of how consent was obtained</w:t>
      </w:r>
      <w:r>
        <w:rPr>
          <w:rFonts w:ascii="Cambria" w:cs="Cambria" w:eastAsia="Cambria" w:hAnsi="Cambria"/>
          <w:color w:val="000000"/>
          <w:sz w:val="24"/>
          <w:szCs w:val="24"/>
        </w:rPr>
        <w:t xml:space="preserv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spacing w:after="140" w:line="300"/>
        <w:jc w:val="both"/>
      </w:pPr>
      <w:r>
        <w:rPr>
          <w:rFonts w:ascii="Cambria" w:cs="Cambria" w:eastAsia="Cambria" w:hAnsi="Cambria"/>
          <w:color w:val="0000CC"/>
          <w:sz w:val="24"/>
          <w:szCs w:val="24"/>
        </w:rPr>
        <w:t xml:space="preserve">Table 3 presents a summary of the studies that fall under the healthcare consent and data governance category and their commitment to the key requirements defined in Section 2.2.</w:t>
      </w:r>
    </w:p>
    <w:p>
      <w:pPr>
        <w:keepNext/>
        <w:spacing w:after="80" w:before="160"/>
        <w:jc w:val="center"/>
      </w:pPr>
      <w:r>
        <w:rPr>
          <w:rFonts w:ascii="Cambria" w:cs="Cambria" w:eastAsia="Cambria" w:hAnsi="Cambria"/>
          <w:b/>
          <w:bCs/>
          <w:color w:val="0000CC"/>
          <w:sz w:val="21"/>
          <w:szCs w:val="21"/>
        </w:rPr>
        <w:t xml:space="preserve">Table 3: </w:t>
      </w:r>
      <w:r>
        <w:rPr>
          <w:rFonts w:ascii="Cambria" w:cs="Cambria" w:eastAsia="Cambria" w:hAnsi="Cambria"/>
          <w:color w:val="0000CC"/>
          <w:sz w:val="21"/>
          <w:szCs w:val="21"/>
        </w:rPr>
        <w:t xml:space="preserve">Descriptions, issues and limitations of existing studies on healthcare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cross-sectional study surveys 150 nurses in an Egyptian general hospital, using HIPAA, privacy-impact, data-sharing-agreement and EHR security instruments, to identify challenges and strategies in balancing patient confidentiality with care coordination.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an empirical nursing survey without a technical mechanism; it does not address consent representation, identity verification, multi-party authorisation, access-control policy or verifiable audit.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propose consent receipts, records of consent interactions that individuals and organisations retain and later use as proof, to support legal compliance, usability, transparency and accountability in online consent for personal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is captured as a receipt or record of interaction rather than as an evaluable authorisation object, and the approach is web-focused, without decentralised identity, multi-party approval or access-time policy enforcement.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report a 43-item online survey of United States professionals who work with health data, examining their trust in different sectors and their views on consent, control and privacy standards for health data use.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descriptive and attitudinal; it proposes no consent model, identity mechanism or access-control design, so none of the technical requirements is addressed, although respondents' preference for use-specific consent motivates purpose-bound authorisation.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examines existing blockchain-based dynamic consent management systems, identifies the privacy risk of storing consent in plaintext on-chain, and proposes a model with a decentralised data controller and encrypted consent handled through privacy-preserving techniques.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Consent is treated as encrypted data to be protected rather than as an evaluable authorisation object; the model does not provide decentralised identity, multi-party approval or purpose-aware policy evaluation, and remains largely conceptual.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develop and apply a measurement scale to explain individuals' intention to share healthcare data in the UK National Health Service context, using survey data from 129 respondents.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models behavioural intention (perceived information risk and societal benefit) and offers no technical mechanism for consent representation, identity, authorisation or auditability; its small survey measures intention rather than actual behaviour.</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present an early-stage conceptual framework that reviews blockchain, self-sovereign identity with decentralised identifiers, and de-identified tokens for integration into a consent management system that tracks consent and the use of personally generated health data.</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framework is conceptual and unevaluated; it tracks consent and data use but does not model consent as an evaluable authorisation object, support multi-party approval, or specify enforcement of validity and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analyse the legal and ethical bases for using and disclosing patient information in Europe, contrasting the GDPR's explicit consent with implied consent under common law and professional ethics for direct care, other healthcare purposes and uses outside healthcare.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 legal-ethical analysis with no technical design; it clarifies purpose-dependent consent requirements but does not provide mechanisms for representing, enforcing or auditing consent.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review examines the ethical, legal and technological aspects of patient data ownership, comparing private, public and hybrid privacy models and dynamic and granular consent frameworks, with reference to My Health Record and Estonia's e-Health system.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is a narrative review that discusses dynamic consent conceptually but proposes no formal consent model, decentralised identity mechanism, multi-party approval or verifiable audit design.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American Academy of Pediatrics policy statement examines electronic access to health records by paediatric and adolescent patients and their guardians, identifying inconsistent age thresholds, limited proxy and filtering support in EHRs, and conflicting laws.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statement offers policy recommendations, not a technical mechanism. It identifies the need to filter proxy access and to balance adolescent and guardian rights but proposes no system for doing so.</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spacing w:after="140" w:line="300"/>
        <w:jc w:val="both"/>
      </w:pPr>
      <w:r>
        <w:rPr>
          <w:rFonts w:ascii="Cambria" w:cs="Cambria" w:eastAsia="Cambria" w:hAnsi="Cambria"/>
          <w:color w:val="0000CC"/>
          <w:sz w:val="24"/>
          <w:szCs w:val="24"/>
        </w:rPr>
        <w:t xml:space="preserve">Table 4 presents a summary of the studies that come under the blockchain category and their commitment to the key requirements.</w:t>
      </w:r>
    </w:p>
    <w:p>
      <w:pPr>
        <w:keepNext/>
        <w:spacing w:after="80" w:before="160"/>
        <w:jc w:val="center"/>
      </w:pPr>
      <w:r>
        <w:rPr>
          <w:rFonts w:ascii="Cambria" w:cs="Cambria" w:eastAsia="Cambria" w:hAnsi="Cambria"/>
          <w:b/>
          <w:bCs/>
          <w:color w:val="0000CC"/>
          <w:sz w:val="21"/>
          <w:szCs w:val="21"/>
        </w:rPr>
        <w:t xml:space="preserve">Table 4: </w:t>
      </w:r>
      <w:r>
        <w:rPr>
          <w:rFonts w:ascii="Cambria" w:cs="Cambria" w:eastAsia="Cambria" w:hAnsi="Cambria"/>
          <w:color w:val="0000CC"/>
          <w:sz w:val="21"/>
          <w:szCs w:val="21"/>
        </w:rPr>
        <w:t xml:space="preserve">Descriptions, issues and limitations of existing studies on blockchain-based consent and data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systematic review examines blockchain-based electronic health record management, comparing prior studies on privacy, security, scalability, accessibility, cost, consensus algorithms and blockchain type, and outlines directions for future EHR systems.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As a review centred on EHR storage and platform choice, it does not model consent as an evaluable authorisation object, nor address decentralised identity, multi-party approval, purpose-bound access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blockchain technology for healthcare from application and technical perspectives, discussing architecture, regulatory constraints such as HIPAA, authentication, interoperability and record-sharing requirements, and open challenges in scalability, security and privacy.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treats blockchain as a general integrity and trust layer; it does not define structured consent, threshold approval, consent-bound policy evaluation or post-grant revocation mechanisms.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reviews blockchain-based healthcare solutions and proposes a classification framework covering interactions between healthcare entities, functional components of health data storage systems, domain challenges that blockchain can address, and benefits derived from its features.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classifies existing systems rather than proposing a mechanism; consent representation, credential-based authority, multi-party authorisation and consent lifecycle enforcement are not examined as distinct requirements.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review 144 articles on blockchain applications in healthcare, discussing the potential and limits of the technology for electronic health record systems and healthcare operations, and identifying difficulties and areas for future research.</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offers a broad overview of blockchain uses and challenges but does not examine consent structure, decentralised identity, multi-party authorisation, purpose-aware access control or consent lifecycle.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exploratory study surveys literature on decentralised storage and archival science and examines how NGOs and academic groups use distributed ledger tools, such as Starling Lab, to preserve sensitive human-rights documentation relating to Xinjiang.</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concerns archival integrity for human-rights records; it does not address consent, identity, access authorisation or healthcare data, and offers no security evaluation of the systems discussed.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examines blockchain-based data-sharing architectures, discusses provenance, privacy and consent-management issues in existing platforms, proposes a reference architecture, and reviews applications in healthcare, smart grid, transportation and decarbonisation.</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is domain-general and architectural. Consent management is named as an open issue rather than modelled, and multi-party threshold approval and identity-authority separation are not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systematic literature review analyses 23 papers published between 2019 and 2025 on how blockchain frameworks support secure, transparent and interoperable sharing of environmental data in smart cities.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concerns urban environmental data rather than personal health data, and considers blockchain integrity and transparency only; consent, identity, multi-party authorisation and access policy are outside its scope.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w:t>
      </w:r>
      <w:r>
        <w:rPr>
          <w:rFonts w:ascii="Cambria" w:cs="Cambria" w:eastAsia="Cambria" w:hAnsi="Cambria"/>
          <w:color w:val="007A00"/>
          <w:sz w:val="24"/>
          <w:szCs w:val="24"/>
        </w:rPr>
        <w:t xml:space="preserve">[5]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w:t>
      </w:r>
      <w:r>
        <w:rPr>
          <w:rFonts w:ascii="Cambria" w:cs="Cambria" w:eastAsia="Cambria" w:hAnsi="Cambria"/>
          <w:b w:val="false"/>
          <w:bCs w:val="false"/>
          <w:color w:val="007A00"/>
          <w:sz w:val="24"/>
          <w:szCs w:val="24"/>
        </w:rPr>
        <w:t xml:space="preserve">identifying the open challenges that remain for DID- and VC-based designs</w:t>
      </w:r>
      <w:r>
        <w:rPr>
          <w:rFonts w:ascii="Cambria" w:cs="Cambria" w:eastAsia="Cambria" w:hAnsi="Cambria"/>
          <w:b w:val="false"/>
          <w:bCs w:val="false"/>
          <w:sz w:val="24"/>
          <w:szCs w:val="24"/>
        </w:rPr>
        <w:t xml:space="preserve"> [15].</w:t>
      </w:r>
    </w:p>
    <w:p>
      <w:pPr>
        <w:spacing w:after="140" w:line="300"/>
        <w:jc w:val="both"/>
      </w:pPr>
      <w:r>
        <w:rPr>
          <w:rFonts w:ascii="Cambria" w:cs="Cambria" w:eastAsia="Cambria" w:hAnsi="Cambria"/>
          <w:color w:val="0000CC"/>
          <w:sz w:val="24"/>
          <w:szCs w:val="24"/>
        </w:rPr>
        <w:t xml:space="preserve">Table 5 presents a summary of the decentralised identity and verifiable credential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5: </w:t>
      </w:r>
      <w:r>
        <w:rPr>
          <w:rFonts w:ascii="Cambria" w:cs="Cambria" w:eastAsia="Cambria" w:hAnsi="Cambria"/>
          <w:color w:val="0000CC"/>
          <w:sz w:val="21"/>
          <w:szCs w:val="21"/>
        </w:rPr>
        <w:t xml:space="preserve">Descriptions, issues and limitations of existing studies on decentralised identity and verifiable credentials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FutureDID, a decentralised identity system in which committees jointly issue credentials using distributed key generation, removing single points of failure, and which supports efficient revocation of DID identities.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Multi-party verification applies to credential issuance rather than to authorising data access, and the system does not represent consent, evaluate purpose or data scope, or target healthcare settings.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compare cryptographic mechanisms for selective disclosure of verifiable credential attributes, grouping them into hash-commitment and zero-knowledge-proof approaches, and assess standardisation maturity, cryptographic agility, quantum safety, and credential size and performance.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concentrates on privacy-preserving credential presentation; it does not link credentials to consent, access policy, multi-party approval or healthcare authorisation decisions.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narrative review surveys blockchain-based decentralised identity management, smart-contract access control, trust and reputation mechanisms, and privacy-preserving cryptographic tools for large-scale Internet of Things deployments, and outlines open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is oriented to device-level IoT identity and trust rather than patient consent; it does not address consent representation, multi-party approval or consent lifecycle, and reports unresolved scalability, regulatory and interoperability issues.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examine self-sovereign identity, decentralised identifiers and verifiable credentials, review systems that apply these components to authentication, authorisation and access control in IoT environments, and discuss the associated benefits and challenges.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addresses identity and credential management for IoT devices and users; it does not model consent, collective approval or context-aware policy evaluation, and lifecycle concerns are limited to credential revocation.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survey provides background on W3C decentralised identifiers and verifiable credentials, analyses available implementations, reviews their use across application domains beyond self-sovereign identity, and discusses regulations, adoption challenges and research directions.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As a general survey of identity technologies, it does not address how identity and credentials combine with consent semantics, collective authorisation or purpose-aware policy enforcement in healthcare.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privacy-aware authenticated key exchange protocol for electric vehicle charging in which users hold DIDs and present verifiable credentials, allowing charging providers to authenticate legitimate users while the users remain anonymous.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protocol serves a single-user, single-verifier charging setting outside healthcare. It does not model consent, collective authorisation, purpose-bound policy evaluation or revocation of granted permissions.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DP-DID, a decentralised identity system based on blockchain, DIDs and verifiable credentials that uses dynamic, proactively refreshed threshold committees for identity services so that it resists mobile adversaries who gradually compromise nodes.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threshold committees protect identity infrastructure such as key management and credential issuance, not authorisation of data access. Consent, purpose-bound access policy and healthcare stakeholders are not considered.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w:t>
      </w:r>
      <w:r>
        <w:rPr>
          <w:rFonts w:ascii="Cambria" w:cs="Cambria" w:eastAsia="Cambria" w:hAnsi="Cambria"/>
          <w:color w:val="007A00"/>
          <w:sz w:val="24"/>
          <w:szCs w:val="24"/>
        </w:rPr>
        <w:t xml:space="preserve">[21,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w:t>
      </w:r>
      <w:r>
        <w:rPr>
          <w:rFonts w:ascii="Cambria" w:cs="Cambria" w:eastAsia="Cambria" w:hAnsi="Cambria"/>
          <w:b w:val="false"/>
          <w:bCs w:val="false"/>
          <w:color w:val="007A00"/>
          <w:sz w:val="24"/>
          <w:szCs w:val="24"/>
        </w:rPr>
        <w:t xml:space="preserve">illustrating that decentralised trust mechanisms for multi-stakeholder data sharing are not specific to healthcare</w:t>
      </w:r>
      <w:r>
        <w:rPr>
          <w:rFonts w:ascii="Cambria" w:cs="Cambria" w:eastAsia="Cambria" w:hAnsi="Cambria"/>
          <w:b w:val="false"/>
          <w:bCs w:val="false"/>
          <w:sz w:val="24"/>
          <w:szCs w:val="24"/>
        </w:rPr>
        <w:t xml:space="preserve"> [6].</w:t>
      </w:r>
    </w:p>
    <w:p>
      <w:pPr>
        <w:spacing w:after="140" w:line="300"/>
        <w:jc w:val="both"/>
      </w:pPr>
      <w:r>
        <w:rPr>
          <w:rFonts w:ascii="Cambria" w:cs="Cambria" w:eastAsia="Cambria" w:hAnsi="Cambria"/>
          <w:color w:val="000000"/>
          <w:sz w:val="24"/>
          <w:szCs w:val="24"/>
        </w:rPr>
        <w:t xml:space="preserve">Where the reviewed systems support multiple approvers, approval is typically </w:t>
      </w:r>
      <w:r>
        <w:rPr>
          <w:rFonts w:ascii="Cambria" w:cs="Cambria" w:eastAsia="Cambria" w:hAnsi="Cambria"/>
          <w:color w:val="007A00"/>
          <w:sz w:val="24"/>
          <w:szCs w:val="24"/>
        </w:rPr>
        <w:t xml:space="preserve">realised through platform governance or data-subject policies [19]</w:t>
      </w:r>
      <w:r>
        <w:rPr>
          <w:rFonts w:ascii="Cambria" w:cs="Cambria" w:eastAsia="Cambria" w:hAnsi="Cambria"/>
          <w:color w:val="000000"/>
          <w:sz w:val="24"/>
          <w:szCs w:val="24"/>
        </w:rPr>
        <w:t xml:space="preserve"> rather than represented as a verifiable threshold condition bound to the consent object itself. It is this representational absence, rather than the absence of multi-party mechanisms as such, that the proposed framework addresses.</w:t>
      </w:r>
    </w:p>
    <w:p>
      <w:pPr>
        <w:spacing w:after="140" w:line="300"/>
        <w:jc w:val="both"/>
      </w:pPr>
      <w:r>
        <w:rPr>
          <w:rFonts w:ascii="Cambria" w:cs="Cambria" w:eastAsia="Cambria" w:hAnsi="Cambria"/>
          <w:color w:val="0000CC"/>
          <w:sz w:val="24"/>
          <w:szCs w:val="24"/>
        </w:rPr>
        <w:t xml:space="preserve">Table 6 presents a summary of the studies on multi-party authorisation and collaborative governance and their commitment to the key requirements.</w:t>
      </w:r>
    </w:p>
    <w:p>
      <w:pPr>
        <w:keepNext/>
        <w:spacing w:after="80" w:before="160"/>
        <w:jc w:val="center"/>
      </w:pPr>
      <w:r>
        <w:rPr>
          <w:rFonts w:ascii="Cambria" w:cs="Cambria" w:eastAsia="Cambria" w:hAnsi="Cambria"/>
          <w:b/>
          <w:bCs/>
          <w:color w:val="0000CC"/>
          <w:sz w:val="21"/>
          <w:szCs w:val="21"/>
        </w:rPr>
        <w:t xml:space="preserve">Table 6: </w:t>
      </w:r>
      <w:r>
        <w:rPr>
          <w:rFonts w:ascii="Cambria" w:cs="Cambria" w:eastAsia="Cambria" w:hAnsi="Cambria"/>
          <w:color w:val="0000CC"/>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presents FLEX, a framework for secure data exchange among livestock supply-chain stakeholders that combines distributed ledger protocols, cryptographic protection and a web-based digital wallet supporting data sovereignty and consent management.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framework serves agricultural supply chains; although it involves several stakeholders and consent management, it does not define threshold-based approval, purpose-bound policy evaluation or consent revocation for sensitive health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Data Trusts as a Service, a cloud platform for multi-partner data sharing in which data subjects track where their data are and control who may access them and for what use through policies, with blockchain recording provenance.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Control rests with the data subject and custodians under policies or contracts; the platform does not provide threshold or collective approval, decentralised identity, or consent expiry and revocation, and relies on a cloud service.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review examines how big data, blockchain and distributed systems together support decentralised decision-making across industries, discussing security, transparency and real-time analysis through case studies including Estonia's healthcare system, IBM Food Trust and the Brooklyn Microgrid.</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review addresses organisational decision-making in general. It does not describe multi-party approval of access requests, threshold authorisation, consent representation or healthcare access policy.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w:t>
      </w:r>
      <w:r>
        <w:rPr>
          <w:rFonts w:ascii="Cambria" w:cs="Cambria" w:eastAsia="Cambria" w:hAnsi="Cambria"/>
          <w:color w:val="007A00"/>
          <w:sz w:val="24"/>
          <w:szCs w:val="24"/>
        </w:rPr>
        <w:t xml:space="preserve">[32, 11, 28], policy evaluation</w:t>
      </w:r>
      <w:r>
        <w:rPr>
          <w:rFonts w:ascii="Cambria" w:cs="Cambria" w:eastAsia="Cambria" w:hAnsi="Cambria"/>
          <w:color w:val="000000"/>
          <w:sz w:val="24"/>
          <w:szCs w:val="24"/>
        </w:rPr>
        <w:t xml:space="preserve">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spacing w:after="140" w:line="300"/>
        <w:jc w:val="both"/>
      </w:pPr>
      <w:r>
        <w:rPr>
          <w:rFonts w:ascii="Cambria" w:cs="Cambria" w:eastAsia="Cambria" w:hAnsi="Cambria"/>
          <w:color w:val="0000CC"/>
          <w:sz w:val="24"/>
          <w:szCs w:val="24"/>
        </w:rPr>
        <w:t xml:space="preserve">Table 7 presents a summary of the access-control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7: </w:t>
      </w:r>
      <w:r>
        <w:rPr>
          <w:rFonts w:ascii="Cambria" w:cs="Cambria" w:eastAsia="Cambria" w:hAnsi="Cambria"/>
          <w:color w:val="0000CC"/>
          <w:sz w:val="21"/>
          <w:szCs w:val="21"/>
        </w:rPr>
        <w:t xml:space="preserve">Descriptions, issues and limitations of existing studies on policy-based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RQ-UCON, a usage-control model for healthcare big data that adds risk quantification based on physicians' access history and uses hierarchical clustering to derive risk intervals applied as access conditions.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decisions depend on the requester's risk profile rather than on patient-authorised purpose and data scope, and the model does not include consent, decentralised identity, multi-party approval or verifiable audit evidence.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access control in healthcare IoT, analysing RBAC, ABAC, capability-based and context-aware models, emergency access and privacy compliance, and discussing blockchain, artificial intelligence, Zero Trust and edge computing for decentralised enforcement.</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treats access decisions in terms of roles, attributes, capabilities and context; patient consent as an evaluable object, guardian co-approval and decentralised identity verification are not central to its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survey blockchain-based access control frameworks for electronic health records, classifying them as permissioned or permissionless and examining how smart contracts and privacy-preserving techniques support authentication, access control, integrity and availability.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survey centres on access control and privacy of EHRs; consent is not treated as a structured object, and guardian co-approval, decentralised identity and consent lifecycle management receive little attention.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decentralised ciphertext-policy attribute-based searchable encryption scheme for cloud-stored healthcare data, in which the master key is jointly managed by attribute nodes on a blockchain to avoid a single authority.</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Access is governed by cryptographic attribute policies over encrypted data; patient consent, purpose limitation, guardian approval and consent revocation are not modelled, and joint key management is not collective access approval.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w:t>
      </w:r>
      <w:r>
        <w:rPr>
          <w:rFonts w:ascii="Cambria" w:cs="Cambria" w:eastAsia="Cambria" w:hAnsi="Cambria"/>
          <w:color w:val="007A00"/>
          <w:sz w:val="24"/>
          <w:szCs w:val="24"/>
        </w:rPr>
        <w:t xml:space="preserve">analytical or simulation-based reasoning about security properties is found only in a minority of studies [18]</w:t>
      </w:r>
      <w:r>
        <w:rPr>
          <w:rFonts w:ascii="Cambria" w:cs="Cambria" w:eastAsia="Cambria" w:hAnsi="Cambria"/>
          <w:color w:val="000000"/>
          <w:sz w:val="24"/>
          <w:szCs w:val="24"/>
        </w:rPr>
        <w:t xml:space="preserve">.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spacing w:after="140" w:line="300"/>
        <w:jc w:val="both"/>
      </w:pPr>
      <w:r>
        <w:rPr>
          <w:rFonts w:ascii="Cambria" w:cs="Cambria" w:eastAsia="Cambria" w:hAnsi="Cambria"/>
          <w:color w:val="0000CC"/>
          <w:sz w:val="24"/>
          <w:szCs w:val="24"/>
        </w:rPr>
        <w:t xml:space="preserve">Table 8 presents a summary of the trusted computing and security assurance studies and their commitment to the key requirements.</w:t>
      </w:r>
    </w:p>
    <w:p>
      <w:pPr>
        <w:keepNext/>
        <w:spacing w:after="80" w:before="160"/>
        <w:jc w:val="center"/>
      </w:pPr>
      <w:r>
        <w:rPr>
          <w:rFonts w:ascii="Cambria" w:cs="Cambria" w:eastAsia="Cambria" w:hAnsi="Cambria"/>
          <w:b/>
          <w:bCs/>
          <w:color w:val="0000CC"/>
          <w:sz w:val="21"/>
          <w:szCs w:val="21"/>
        </w:rPr>
        <w:t xml:space="preserve">Table 8: </w:t>
      </w:r>
      <w:r>
        <w:rPr>
          <w:rFonts w:ascii="Cambria" w:cs="Cambria" w:eastAsia="Cambria" w:hAnsi="Cambria"/>
          <w:color w:val="0000CC"/>
          <w:sz w:val="21"/>
          <w:szCs w:val="21"/>
        </w:rPr>
        <w:t xml:space="preserve">Descriptions, issues and limitations of existing studies on trusted computing, secure execution and security assurance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20"/>
        <w:gridCol w:w="2480"/>
        <w:gridCol w:w="620"/>
        <w:gridCol w:w="620"/>
        <w:gridCol w:w="620"/>
        <w:gridCol w:w="620"/>
        <w:gridCol w:w="620"/>
        <w:gridCol w:w="620"/>
      </w:tblGrid>
      <w:tr>
        <w:trPr>
          <w:tblHeader/>
        </w:trPr>
        <w:tc>
          <w:tcPr>
            <w:tcW w:type="dxa" w:w="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5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 of the Study</w:t>
            </w:r>
          </w:p>
        </w:tc>
        <w:tc>
          <w:tcPr>
            <w:tcW w:type="dxa" w:w="248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proposes a smart-agriculture framework in which TEE-enabled sensors provide authenticated readings, Byzantine-resilient aggregation estimates a consistent environmental state, and a lightweight permissioned blockchain commits validated states, evaluated on a greenhouse IoT platform.</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concerns sensor-data integrity in agriculture; it does not involve consent, identity credentials, authorisation or access policies, and its security evidence is experimental rather than formal.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authors develop an entropy-based framework that models blockchain states as probability distributions to quantify on-chain immutability, off-chain data integrity and computation in blockchain virtual machines, supported by simulations under varying adversarial fractions.</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study provides a general analytical measure of ledger immutability and tamper evidence but does not address consent, identity, authorisation or access policy, nor healthcare data.</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r>
        <w:trPr>
          <w:cantSplit/>
        </w:trPr>
        <w:tc>
          <w:tcPr>
            <w:tcW w:type="dxa" w:w="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25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This study reviews the principles of remote attestation and explains how Intel SGX, Arm TrustZone, AMD SEV and emerging RISC-V trusted execution environments apply these mechanisms to establish trust in the code they execute.</w:t>
            </w:r>
          </w:p>
        </w:tc>
        <w:tc>
          <w:tcPr>
            <w:tcW w:type="dxa" w:w="248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The work concerns hardware-level execution integrity only. It does not consider consent, identity, multi-party authorisation or access policy, and it is not situated in healthcare data sharing.</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CC"/>
                <w:sz w:val="17"/>
                <w:szCs w:val="17"/>
              </w:rPr>
              <w:t xml:space="preserve">√</w:t>
            </w:r>
          </w:p>
        </w:tc>
      </w:tr>
    </w:tbl>
    <w:p>
      <w:pPr>
        <w:spacing w:after="180"/>
      </w:pPr>
    </w:p>
    <w:p>
      <w:pPr>
        <w:pStyle w:val="Heading3"/>
        <w:spacing w:after="160" w:before="280"/>
      </w:pPr>
      <w:r>
        <w:t xml:space="preserve">2.4.7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9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2.5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3"/>
        <w:spacing w:after="160" w:before="280"/>
      </w:pPr>
      <w:r>
        <w:rPr>
          <w:color w:val="0000CC"/>
        </w:rPr>
        <w:t xml:space="preserve">2.5.1  Research Gaps in the Existing Studies from the Requirement Perspective</w:t>
      </w:r>
    </w:p>
    <w:p>
      <w:pPr>
        <w:spacing w:after="140" w:line="300"/>
        <w:jc w:val="both"/>
      </w:pPr>
      <w:r>
        <w:rPr>
          <w:rFonts w:ascii="Cambria" w:cs="Cambria" w:eastAsia="Cambria" w:hAnsi="Cambria"/>
          <w:color w:val="0000CC"/>
          <w:sz w:val="24"/>
          <w:szCs w:val="24"/>
        </w:rPr>
        <w:t xml:space="preserve">As presented in Tables 3 to 8, the reviewed studies have concentrated on recording consent, verifying identities and enforcing access policies as separate concerns. From the perspective of the six key requirements defined in Section 2.2, the existing work has the following drawbacks:</w:t>
      </w:r>
    </w:p>
    <w:p>
      <w:pPr>
        <w:spacing w:after="140" w:line="300"/>
        <w:jc w:val="both"/>
      </w:pPr>
      <w:r>
        <w:rPr>
          <w:rFonts w:ascii="Cambria" w:cs="Cambria" w:eastAsia="Cambria" w:hAnsi="Cambria"/>
          <w:b/>
          <w:bCs/>
          <w:color w:val="0000CC"/>
          <w:sz w:val="24"/>
          <w:szCs w:val="24"/>
        </w:rPr>
        <w:t xml:space="preserve">Representation of consent as an evaluable authorisation object (Req 1):</w:t>
      </w:r>
      <w:r>
        <w:rPr>
          <w:rFonts w:ascii="Cambria" w:cs="Cambria" w:eastAsia="Cambria" w:hAnsi="Cambria"/>
          <w:color w:val="0000CC"/>
          <w:sz w:val="24"/>
          <w:szCs w:val="24"/>
        </w:rPr>
        <w:t xml:space="preserve"> none of the 33 reviewed studies satisfies this requirement. The studies that come closest treat consent as a receipt (S10), as a dynamic preference that can be updated (S13, S24) or as a record tracked by a conceptual framework (S21), while the blockchain studies (S1, S2, S3, S7) store consent as a transaction on a ledger. In each case the consent establishes that a decision occurred; it does not carry the identity, authority, purpose, temporal and jurisdictional conditions in a form that can be evaluated at the time of a request. This is important because, without such a representation, the trustworthiness of an access decision cannot be traced back to the consent itself.</w:t>
      </w:r>
    </w:p>
    <w:p>
      <w:pPr>
        <w:spacing w:after="140" w:line="300"/>
        <w:jc w:val="both"/>
      </w:pPr>
      <w:r>
        <w:rPr>
          <w:rFonts w:ascii="Cambria" w:cs="Cambria" w:eastAsia="Cambria" w:hAnsi="Cambria"/>
          <w:b/>
          <w:bCs/>
          <w:color w:val="0000CC"/>
          <w:sz w:val="24"/>
          <w:szCs w:val="24"/>
        </w:rPr>
        <w:t xml:space="preserve">Decentralised verification of identity and authority (Req 2):</w:t>
      </w:r>
      <w:r>
        <w:rPr>
          <w:rFonts w:ascii="Cambria" w:cs="Cambria" w:eastAsia="Cambria" w:hAnsi="Cambria"/>
          <w:color w:val="0000CC"/>
          <w:sz w:val="24"/>
          <w:szCs w:val="24"/>
        </w:rPr>
        <w:t xml:space="preserve"> this requirement is addressed by S4, S5, S15, S16, S20, S21, S27, S33. These studies provide mature mechanisms for decentralised identifiers, verifiable credentials and privacy-preserving authentication. However, they establish who a participant is rather than what that participant is authorised to do with a particular patient's data. Consequently, the separation between identity verification and authority verification, and the binding of both to the consent object, remains unaddressed.</w:t>
      </w:r>
    </w:p>
    <w:p>
      <w:pPr>
        <w:spacing w:after="140" w:line="300"/>
        <w:jc w:val="both"/>
      </w:pPr>
      <w:r>
        <w:rPr>
          <w:rFonts w:ascii="Cambria" w:cs="Cambria" w:eastAsia="Cambria" w:hAnsi="Cambria"/>
          <w:b/>
          <w:bCs/>
          <w:color w:val="0000CC"/>
          <w:sz w:val="24"/>
          <w:szCs w:val="24"/>
        </w:rPr>
        <w:t xml:space="preserve">Multi-party authorisation through a verifiable threshold (Req 3):</w:t>
      </w:r>
      <w:r>
        <w:rPr>
          <w:rFonts w:ascii="Cambria" w:cs="Cambria" w:eastAsia="Cambria" w:hAnsi="Cambria"/>
          <w:color w:val="0000CC"/>
          <w:sz w:val="24"/>
          <w:szCs w:val="24"/>
        </w:rPr>
        <w:t xml:space="preserve"> no reviewed study satisfies this requirement. S6, S19 and S29 investigate data sharing among several stakeholders, but approval is realised through platform governance or the policies of the data subject rather than as a threshold condition that is checkable by any party. The threshold committees of S33 protect the identity infrastructure, and the committee approval of S4 concerns the issuance of credentials; neither applies to the authorisation of a data-access request. The literature therefore provides multi-party mechanisms, but not multi-party authorisation of consent.</w:t>
      </w:r>
    </w:p>
    <w:p>
      <w:pPr>
        <w:spacing w:after="140" w:line="300"/>
        <w:jc w:val="both"/>
      </w:pPr>
      <w:r>
        <w:rPr>
          <w:rFonts w:ascii="Cambria" w:cs="Cambria" w:eastAsia="Cambria" w:hAnsi="Cambria"/>
          <w:b/>
          <w:bCs/>
          <w:color w:val="0000CC"/>
          <w:sz w:val="24"/>
          <w:szCs w:val="24"/>
        </w:rPr>
        <w:t xml:space="preserve">Policy- and context-aware enforcement at the time of access (Req 4):</w:t>
      </w:r>
      <w:r>
        <w:rPr>
          <w:rFonts w:ascii="Cambria" w:cs="Cambria" w:eastAsia="Cambria" w:hAnsi="Cambria"/>
          <w:color w:val="0000CC"/>
          <w:sz w:val="24"/>
          <w:szCs w:val="24"/>
        </w:rPr>
        <w:t xml:space="preserve"> this requirement is addressed by S11, S15, S19, S25, S28, S32. These studies evaluate requests against roles, attributes, risk levels or usage conditions. However, the policies are bound to the requester rather than to the purpose and the data scope that the patient authorised, and none of them evaluates the jurisdiction in which the data may be used. As a result, a legitimate requester can exceed the scope of the consent without being refused.</w:t>
      </w:r>
    </w:p>
    <w:p>
      <w:pPr>
        <w:spacing w:after="140" w:line="300"/>
        <w:jc w:val="both"/>
      </w:pPr>
      <w:r>
        <w:rPr>
          <w:rFonts w:ascii="Cambria" w:cs="Cambria" w:eastAsia="Cambria" w:hAnsi="Cambria"/>
          <w:b/>
          <w:bCs/>
          <w:color w:val="0000CC"/>
          <w:sz w:val="24"/>
          <w:szCs w:val="24"/>
        </w:rPr>
        <w:t xml:space="preserve">Temporal validity and lifecycle control of consent (Req 5):</w:t>
      </w:r>
      <w:r>
        <w:rPr>
          <w:rFonts w:ascii="Cambria" w:cs="Cambria" w:eastAsia="Cambria" w:hAnsi="Cambria"/>
          <w:color w:val="0000CC"/>
          <w:sz w:val="24"/>
          <w:szCs w:val="24"/>
        </w:rPr>
        <w:t xml:space="preserve"> only S4, S13, S24 address this requirement, and only in part. S4 revokes identities rather than consents, S13 allows consent preferences to evolve, and S24 reviews dynamic consent without enforcing it. None of the studies enforces the validity interval of a consent at every request, makes revocation verifiable at the ledger level, or restricts the transitions between consent states. This is the least developed of the six requirements in the reviewed literature.</w:t>
      </w:r>
    </w:p>
    <w:p>
      <w:pPr>
        <w:spacing w:after="140" w:line="300"/>
        <w:jc w:val="both"/>
      </w:pPr>
      <w:r>
        <w:rPr>
          <w:rFonts w:ascii="Cambria" w:cs="Cambria" w:eastAsia="Cambria" w:hAnsi="Cambria"/>
          <w:b/>
          <w:bCs/>
          <w:color w:val="0000CC"/>
          <w:sz w:val="24"/>
          <w:szCs w:val="24"/>
        </w:rPr>
        <w:t xml:space="preserve">Verifiable auditability and security assurance (Req 6):</w:t>
      </w:r>
      <w:r>
        <w:rPr>
          <w:rFonts w:ascii="Cambria" w:cs="Cambria" w:eastAsia="Cambria" w:hAnsi="Cambria"/>
          <w:color w:val="0000CC"/>
          <w:sz w:val="24"/>
          <w:szCs w:val="24"/>
        </w:rPr>
        <w:t xml:space="preserve"> this is the most frequently addressed requirement (18 of the 33 studies), because a blockchain ledger provides tamper-evident evidence of the recorded events by construction. However, the assurance offered by these studies is functional: they demonstrate that valid operations are recorded correctly. Analytical or adversarial validation of the authorisation properties, such as the impossibility of access after revocation or without sufficient approvals, is found only in S18 and, at the level of the execution environment, in S23. None of the studies validates the negative cases of a consent decision.</w:t>
      </w:r>
    </w:p>
    <w:p>
      <w:pPr>
        <w:spacing w:after="140" w:line="300"/>
        <w:jc w:val="both"/>
      </w:pPr>
      <w:r>
        <w:rPr>
          <w:rFonts w:ascii="Cambria" w:cs="Cambria" w:eastAsia="Cambria" w:hAnsi="Cambria"/>
          <w:color w:val="0000CC"/>
          <w:sz w:val="24"/>
          <w:szCs w:val="24"/>
        </w:rPr>
        <w:t xml:space="preserve">Taken together, these drawbacks show that the existing literature supplies the individual building blocks of trustworthy consent authorisation but does not connect them. The identification of this gap is developed in the remainder of this section, and the next chapter restates it as a set of research questions and objectives.</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2.4.1 and the scarcity of formal security analysis identified in Section 2.4.6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pStyle w:val="Heading2"/>
        <w:spacing w:after="160" w:before="280"/>
      </w:pPr>
      <w:r>
        <w:rPr>
          <w:color w:val="0000CC"/>
        </w:rPr>
        <w:t xml:space="preserve">2.6  Conclusion</w:t>
      </w:r>
    </w:p>
    <w:p>
      <w:pPr>
        <w:spacing w:after="140" w:line="300"/>
        <w:jc w:val="both"/>
      </w:pPr>
      <w:r>
        <w:rPr>
          <w:rFonts w:ascii="Cambria" w:cs="Cambria" w:eastAsia="Cambria" w:hAnsi="Cambria"/>
          <w:color w:val="0000CC"/>
          <w:sz w:val="24"/>
          <w:szCs w:val="24"/>
        </w:rPr>
        <w:t xml:space="preserve">This systematic literature review defined six key requirements that a trustworthy authorisation framework for multi-party patient consent should satisfy: the representation of consent as an evaluable authorisation object, the decentralised verification of identity and authority, multi-party authorisation through a verifiable threshold, policy- and context-aware enforcement at the time of access, temporal validity and lifecycle control, and verifiable auditability and security assurance. Following a PRISMA-based process, 33 studies were shortlisted from 125 records and were reviewed in six thematic streams. Each study was assessed against the six requirements, and the results are summarised in Tables 3 to 8.</w:t>
      </w:r>
    </w:p>
    <w:p>
      <w:pPr>
        <w:spacing w:after="140" w:line="300"/>
        <w:jc w:val="both"/>
      </w:pPr>
      <w:r>
        <w:rPr>
          <w:rFonts w:ascii="Cambria" w:cs="Cambria" w:eastAsia="Cambria" w:hAnsi="Cambria"/>
          <w:color w:val="0000CC"/>
          <w:sz w:val="24"/>
          <w:szCs w:val="24"/>
        </w:rPr>
        <w:t xml:space="preserve">The review shows that the existing studies provide strong solutions for individual requirements. Blockchain-based systems satisfy the auditability requirement, decentralised identity studies satisfy the identity requirement, and access-control studies satisfy the policy requirement. However, no reviewed study satisfies all six requirements together, and only a small number address the temporal and lifecycle requirement or provide security assurance beyond a functional demonstration. Consequently, the research gap identified in this chapter is not the absence of individual mechanisms but the absence of a framework that connects them into a single, verifiable authorisation decision.</w:t>
      </w:r>
    </w:p>
    <w:p>
      <w:pPr>
        <w:spacing w:after="140" w:line="300"/>
        <w:jc w:val="both"/>
      </w:pPr>
      <w:r>
        <w:rPr>
          <w:rFonts w:ascii="Cambria" w:cs="Cambria" w:eastAsia="Cambria" w:hAnsi="Cambria"/>
          <w:color w:val="0000CC"/>
          <w:sz w:val="24"/>
          <w:szCs w:val="24"/>
        </w:rPr>
        <w:t xml:space="preserve">The next chapter builds on this gap. It restates the gap in terms of a trust-oriented authorisation problem, defines the key terms used in this study, and presents the main research question, the six sub-research questions and the corresponding research objectives.</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w:t>
      </w:r>
      <w:r>
        <w:rPr>
          <w:rFonts w:ascii="Cambria" w:cs="Cambria" w:eastAsia="Cambria" w:hAnsi="Cambria"/>
          <w:color w:val="007A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7A00"/>
          <w:sz w:val="24"/>
          <w:szCs w:val="24"/>
        </w:rPr>
        <w:t xml:space="preserve">V</w:t>
      </w:r>
      <w:r>
        <w:rPr>
          <w:rFonts w:ascii="Cambria" w:cs="Cambria" w:eastAsia="Cambria" w:hAnsi="Cambria"/>
          <w:color w:val="007A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7A00"/>
          <w:sz w:val="22"/>
          <w:szCs w:val="22"/>
        </w:rPr>
        <w:t xml:space="preserve">V</w:t>
      </w:r>
      <w:r>
        <w:rPr>
          <w:rFonts w:ascii="Cambria Math" w:cs="Cambria Math" w:eastAsia="Cambria Math" w:hAnsi="Cambria Math"/>
          <w:i/>
          <w:iCs/>
          <w:color w:val="007A00"/>
          <w:sz w:val="22"/>
          <w:szCs w:val="22"/>
          <w:vertAlign w:val="subscript"/>
        </w:rPr>
        <w:t xml:space="preserve">S</w:t>
      </w:r>
      <w:r>
        <w:rPr>
          <w:rFonts w:ascii="Cambria Math" w:cs="Cambria Math" w:eastAsia="Cambria Math" w:hAnsi="Cambria Math"/>
          <w:i/>
          <w:iCs/>
          <w:color w:val="007A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7A00"/>
          <w:sz w:val="24"/>
          <w:szCs w:val="24"/>
        </w:rPr>
        <w:t xml:space="preserve">In the implemented framework, the lifecycle validity predicate V</w:t>
      </w:r>
      <w:r>
        <w:rPr>
          <w:rFonts w:ascii="Cambria" w:cs="Cambria" w:eastAsia="Cambria" w:hAnsi="Cambria"/>
          <w:color w:val="007A00"/>
          <w:sz w:val="24"/>
          <w:szCs w:val="24"/>
          <w:vertAlign w:val="subscript"/>
        </w:rPr>
        <w:t xml:space="preserve">S</w:t>
      </w:r>
      <w:r>
        <w:rPr>
          <w:rFonts w:ascii="Cambria" w:cs="Cambria" w:eastAsia="Cambria" w:hAnsi="Cambria"/>
          <w:color w:val="007A00"/>
          <w:sz w:val="24"/>
          <w:szCs w:val="24"/>
        </w:rPr>
        <w:t xml:space="preserve"> is evaluated as part of the collective authorisation predicate V</w:t>
      </w:r>
      <w:r>
        <w:rPr>
          <w:rFonts w:ascii="Cambria" w:cs="Cambria" w:eastAsia="Cambria" w:hAnsi="Cambria"/>
          <w:color w:val="007A00"/>
          <w:sz w:val="24"/>
          <w:szCs w:val="24"/>
          <w:vertAlign w:val="subscript"/>
        </w:rPr>
        <w:t xml:space="preserve">A</w:t>
      </w:r>
      <w:r>
        <w:rPr>
          <w:rFonts w:ascii="Cambria" w:cs="Cambria" w:eastAsia="Cambria" w:hAnsi="Cambria"/>
          <w:color w:val="007A00"/>
          <w:sz w:val="24"/>
          <w:szCs w:val="24"/>
        </w:rPr>
        <w:t xml:space="preserve">. This is important because only a consent in the ACTIVE state can satisfy the authorisation condition. Consequently, the symbol V</w:t>
      </w:r>
      <w:r>
        <w:rPr>
          <w:rFonts w:ascii="Cambria" w:cs="Cambria" w:eastAsia="Cambria" w:hAnsi="Cambria"/>
          <w:color w:val="007A00"/>
          <w:sz w:val="24"/>
          <w:szCs w:val="24"/>
          <w:vertAlign w:val="subscript"/>
        </w:rPr>
        <w:t xml:space="preserve">L</w:t>
      </w:r>
      <w:r>
        <w:rPr>
          <w:rFonts w:ascii="Cambria" w:cs="Cambria" w:eastAsia="Cambria" w:hAnsi="Cambria"/>
          <w:color w:val="007A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7A00"/>
          <w:sz w:val="24"/>
          <w:szCs w:val="24"/>
        </w:rPr>
        <w:t xml:space="preserve">jurisdictional compliance, while lifecycle validity V</w:t>
      </w:r>
      <w:r>
        <w:rPr>
          <w:rFonts w:ascii="Cambria" w:cs="Cambria" w:eastAsia="Cambria" w:hAnsi="Cambria"/>
          <w:color w:val="007A00"/>
          <w:sz w:val="24"/>
          <w:szCs w:val="24"/>
          <w:vertAlign w:val="subscript"/>
        </w:rPr>
        <w:t xml:space="preserve">S</w:t>
      </w:r>
      <w:r>
        <w:rPr>
          <w:rFonts w:ascii="Cambria" w:cs="Cambria" w:eastAsia="Cambria" w:hAnsi="Cambria"/>
          <w:color w:val="007A00"/>
          <w:sz w:val="24"/>
          <w:szCs w:val="24"/>
        </w:rPr>
        <w:t xml:space="preserve"> is evaluated within V</w:t>
      </w:r>
      <w:r>
        <w:rPr>
          <w:rFonts w:ascii="Cambria" w:cs="Cambria" w:eastAsia="Cambria" w:hAnsi="Cambria"/>
          <w:color w:val="007A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12.</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16: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15.</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2026-09-29T05:57:44.608Z</dcterms:created>
  <dcterms:modified xsi:type="dcterms:W3CDTF">2026-09-29T05:57:44.608Z</dcterms:modified>
</cp:coreProperties>
</file>

<file path=docProps/custom.xml><?xml version="1.0" encoding="utf-8"?>
<Properties xmlns="http://schemas.openxmlformats.org/officeDocument/2006/custom-properties" xmlns:vt="http://schemas.openxmlformats.org/officeDocument/2006/docPropsVTypes"/>
</file>