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Six review roles covered five perspectives and a chair who decided each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searches ran on 24 and 25 August 2026, and the ACM Digital Library on 5 September 2026 as a late arm, a declared limitation.</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read in a prioritised order under a dimension-level saturation rule.</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44 reports had been fully coded and passed the quality gate, whereas 1,735 of the 1,800 records had not been assessed, so corpus completeness is bounded by the saturation rule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Both studies of this stream are deployed platforms graded Partial.</w:t>
      </w:r>
      <w:r>
        <w:rPr>
          <w:rFonts w:ascii="Times New Roman" w:cs="Times New Roman" w:eastAsia="Times New Roman" w:hAnsi="Times New Roman"/>
          <w:color w:val="00A000"/>
          <w:sz w:val="22"/>
          <w:szCs w:val="22"/>
        </w:rPr>
        <w:t xml:space="preserve"> Soohoo et al. [50]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[51]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Both are single-party systems.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[52, 53], or as conditions fixed at encryption time [54, 55].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[57]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[58] apply a (t, n) investigator threshold to record admission and revocation, and Abbasi et al. [59]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and [27, 60] report guardian co-consent at registration time.</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the first study to enforce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[61]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the first complete formal assurance in the corpus, although only for the identity and authority fragment.</w:t>
      </w:r>
      <w:r>
        <w:rPr>
          <w:rFonts w:ascii="Times New Roman" w:cs="Times New Roman" w:eastAsia="Times New Roman" w:hAnsi="Times New Roman"/>
          <w:color w:val="00A000"/>
          <w:sz w:val="22"/>
          <w:szCs w:val="22"/>
        </w:rPr>
        <w:t xml:space="preserve"> Zhao and Su [62] and Maruthi and Singh [63] prove threshold gates in isolation, and Mei et al. [64]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The panel records an inverse relation between predicate breadth and assurance strength.</w:t>
      </w:r>
      <w:r>
        <w:rPr>
          <w:rFonts w:ascii="Times New Roman" w:cs="Times New Roman" w:eastAsia="Times New Roman" w:hAnsi="Times New Roman"/>
          <w:sz w:val="22"/>
          <w:szCs w:val="22"/>
        </w:rPr>
        <w:t xml:space="preserve">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1 summarises the 25 studies against the six requirements, where ✓ denotes satisfied, ~ partially satisfied, and × not satisfied.</w:t>
      </w:r>
      <w:r>
        <w:rPr>
          <w:rFonts w:ascii="Times New Roman" w:cs="Times New Roman" w:eastAsia="Times New Roman" w:hAnsi="Times New Roman"/>
          <w:color w:val="00A000"/>
          <w:sz w:val="22"/>
          <w:szCs w:val="22"/>
        </w:rPr>
        <w:t xml:space="preserve"> For the proposed framework, ✓ denotes a requirement that is addressed and validated at the current stage, and ~ denotes a requirement that is partially completed and will be completed in CA3.</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[62, 63].</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w:t>
      </w:r>
      <w:r>
        <w:rPr>
          <w:rFonts w:ascii="Times New Roman" w:cs="Times New Roman" w:eastAsia="Times New Roman" w:hAnsi="Times New Roman"/>
          <w:sz w:val="22"/>
          <w:szCs w:val="22"/>
        </w:rPr>
        <w:t xml:space="preserve"> The final row of Table 1 positions the proposed framework relative to the existing literature.</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marked ✓ for each requirement in Table 1" title="Synthesis of the review: the conjunction gap and the assurance gap addressed by the proposed framework, with the number of the 25 analysed studies marked ✓ for each requirement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marked ✓ for each requirement in Table 1.</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saturation rule and a single coding panel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[52, 53, 67].</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or data-scope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For a guardian approval, the authority in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(a</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is membership of G, and each member of G is counted once.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If a guardian or proxy is specified, the system validates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procedures, or other FHIR resources.</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in block 11,771,243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d9b70e0eaa25f5f5d21b8faa7cf1d44cf9ebdbb6.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2026-10-03T08:51:02.242Z</dcterms:created>
  <dcterms:modified xsi:type="dcterms:W3CDTF">2026-10-03T08:51:02.243Z</dcterms:modified>
</cp:coreProperties>
</file>

<file path=docProps/custom.xml><?xml version="1.0" encoding="utf-8"?>
<Properties xmlns="http://schemas.openxmlformats.org/officeDocument/2006/custom-properties" xmlns:vt="http://schemas.openxmlformats.org/officeDocument/2006/docPropsVTypes"/>
</file>