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2.1, and the six quality evaluation questions are derived from them, one for each requirement.</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t xml:space="preserve">The search was restricted to studies published between January 2020 and 2026. </w:t>
      </w:r>
      <w:r>
        <w:t>The exclusion criteria removed, among others,</w:t>
      </w:r>
      <w:r>
        <w:t xml:space="preserve">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t>Each study was coded as Yes or No against</w:t>
      </w:r>
      <w:r>
        <w:t xml:space="preserve"> seven trust dimensions, T1 (identity), T2 (authority), T3 (multi-party), T4 (policy), T5 (temporal), T6 (lifecycle), and T7 (audit), and against the requirements, with a page reference for every positive coding. </w:t>
      </w:r>
      <w:r>
        <w:t>A study passed when it answered Yes to at least three of the six quality questions.</w:t>
      </w:r>
      <w:r>
        <w:t xml:space="preserve"> Table 2.1 shows the quality items, how each one was scored, and the rule used for inclusion. A study is core if its gap-impact verdict is contradicts, weakens, or narrows, </w:t>
      </w:r>
      <w: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questions QA1 to QA6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 xml:space="preserve">Inclusion question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define a consent model covering identity, authority, policy, and evidence?</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verify participant identities and their authorisation authority?</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support consent decisions requiring approval from multiple authorised participants?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enforce purpose, data scope, and approval rules before allowing access?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manage consent validity, expiry, and revocation?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validate security and access decisions through formal analysis or implementation testing?</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2.4.</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t xml:space="preserve">denotes that the requirement is fully satisfied and No that it is not fully satisfied. </w:t>
      </w:r>
      <w:r>
        <w:t>In the Req 6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u w:val="single"/>
        </w:rPr>
        <w:t>Inability to bind purpose and data scope to the same decision as identity, authority and approval (Req 4):</w:t>
      </w:r>
      <w: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u w:val="single"/>
        </w:rPr>
        <w:t>Absence of temporal and lifecycle evaluation at the time of each access request (Req 5):</w:t>
      </w:r>
      <w: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u w:val="single"/>
        </w:rPr>
        <w:t>Absence of formal and empirical assurance of the complete decision (Req 6):</w:t>
      </w:r>
      <w: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rPr>
              <w:t>Component</w:t>
            </w:r>
          </w:p>
        </w:tc>
        <w:tc>
          <w:tcPr>
            <w:tcW w:type="dxa" w:w="2381"/>
          </w:tcPr>
          <w:p>
            <w:r>
              <w:rPr>
                <w:sz w:val="18"/>
              </w:rPr>
            </w:r>
            <w:r>
              <w:rPr>
                <w:b/>
                <w:sz w:val="18"/>
              </w:rPr>
              <w:t>Check at creation (Algorithm 1)</w:t>
            </w:r>
          </w:p>
        </w:tc>
        <w:tc>
          <w:tcPr>
            <w:tcW w:type="dxa" w:w="2835"/>
          </w:tcPr>
          <w:p>
            <w:r>
              <w:rPr>
                <w:sz w:val="18"/>
              </w:rPr>
            </w:r>
            <w:r>
              <w:rPr>
                <w:b/>
                <w:sz w:val="18"/>
              </w:rPr>
              <w:t>Evidence</w:t>
            </w:r>
          </w:p>
        </w:tc>
        <w:tc>
          <w:tcPr>
            <w:tcW w:type="dxa" w:w="1757"/>
          </w:tcPr>
          <w:p>
            <w:r>
              <w:rPr>
                <w:sz w:val="18"/>
              </w:rPr>
            </w:r>
            <w:r>
              <w:rPr>
                <w:b/>
                <w:sz w:val="18"/>
              </w:rPr>
              <w:t>Result</w:t>
            </w:r>
          </w:p>
        </w:tc>
      </w:tr>
      <w:tr>
        <w:tc>
          <w:tcPr>
            <w:tcW w:type="dxa" w:w="1531"/>
          </w:tcPr>
          <w:p>
            <w:r>
              <w:rPr>
                <w:sz w:val="18"/>
              </w:rPr>
            </w:r>
            <w:r>
              <w:rPr>
                <w:sz w:val="18"/>
              </w:rPr>
              <w:t>I  Identity</w:t>
            </w:r>
          </w:p>
        </w:tc>
        <w:tc>
          <w:tcPr>
            <w:tcW w:type="dxa" w:w="2381"/>
          </w:tcPr>
          <w:p>
            <w:r>
              <w:rPr>
                <w:sz w:val="18"/>
              </w:rPr>
            </w:r>
            <w:r>
              <w:rPr>
                <w:sz w:val="18"/>
              </w:rPr>
              <w:t>Steps 1 to 3: the patient identity, the authorised doctor DID holding a valid doctor credential, and each guardian DID holding a valid guardian credential.</w:t>
            </w:r>
          </w:p>
        </w:tc>
        <w:tc>
          <w:tcPr>
            <w:tcW w:type="dxa" w:w="2835"/>
          </w:tcPr>
          <w:p>
            <w:r>
              <w:rPr>
                <w:sz w:val="18"/>
              </w:rPr>
            </w:r>
            <w:r>
              <w:rPr>
                <w:sz w:val="18"/>
              </w:rPr>
              <w:t>Since 11 October 2026, a doctor DID or a guardian DID without a valid credential for its role is refused before the consent is stored (Section 11.4). Attack A12 (Section 11.6).</w:t>
            </w:r>
          </w:p>
        </w:tc>
        <w:tc>
          <w:tcPr>
            <w:tcW w:type="dxa" w:w="1757"/>
          </w:tcPr>
          <w:p>
            <w:r>
              <w:rPr>
                <w:sz w:val="18"/>
              </w:rPr>
            </w:r>
            <w:r>
              <w:rPr>
                <w:sz w:val="18"/>
              </w:rPr>
              <w:t>Invalid identities rejected before anything is stored; valid identities accepted.</w:t>
            </w:r>
          </w:p>
        </w:tc>
      </w:tr>
      <w:tr>
        <w:tc>
          <w:tcPr>
            <w:tcW w:type="dxa" w:w="1531"/>
          </w:tcPr>
          <w:p>
            <w:r>
              <w:rPr>
                <w:sz w:val="18"/>
              </w:rPr>
            </w:r>
            <w:r>
              <w:rPr>
                <w:sz w:val="18"/>
              </w:rPr>
              <w:t>A  Authorisation</w:t>
            </w:r>
          </w:p>
        </w:tc>
        <w:tc>
          <w:tcPr>
            <w:tcW w:type="dxa" w:w="2381"/>
          </w:tcPr>
          <w:p>
            <w:r>
              <w:rPr>
                <w:sz w:val="18"/>
              </w:rPr>
            </w:r>
            <w:r>
              <w:rPr>
                <w:sz w:val="18"/>
              </w:rPr>
              <w:t>Step 3: the guardian set G and the threshold N; no guardian may appear twice.</w:t>
            </w:r>
          </w:p>
        </w:tc>
        <w:tc>
          <w:tcPr>
            <w:tcW w:type="dxa" w:w="2835"/>
          </w:tcPr>
          <w:p>
            <w:r>
              <w:rPr>
                <w:sz w:val="18"/>
              </w:rPr>
            </w:r>
            <w:r>
              <w:rPr>
                <w:sz w:val="18"/>
              </w:rPr>
              <w:t>A guardian listed twice is refused (Section 11.4). Scenario 1 created consent f050c29a with two designated guardians. Attacks A1 and A3 (Section 11.6).</w:t>
            </w:r>
          </w:p>
        </w:tc>
        <w:tc>
          <w:tcPr>
            <w:tcW w:type="dxa" w:w="1757"/>
          </w:tcPr>
          <w:p>
            <w:r>
              <w:rPr>
                <w:sz w:val="18"/>
              </w:rPr>
            </w:r>
            <w:r>
              <w:rPr>
                <w:sz w:val="18"/>
              </w:rPr>
              <w:t>Duplicate guardian rejected; consent created with N set to the number of guardians.</w:t>
            </w:r>
          </w:p>
        </w:tc>
      </w:tr>
      <w:tr>
        <w:tc>
          <w:tcPr>
            <w:tcW w:type="dxa" w:w="1531"/>
          </w:tcPr>
          <w:p>
            <w:r>
              <w:rPr>
                <w:sz w:val="18"/>
              </w:rPr>
            </w:r>
            <w:r>
              <w:rPr>
                <w:sz w:val="18"/>
              </w:rPr>
              <w:t>P  Policy</w:t>
            </w:r>
          </w:p>
        </w:tc>
        <w:tc>
          <w:tcPr>
            <w:tcW w:type="dxa" w:w="2381"/>
          </w:tcPr>
          <w:p>
            <w:r>
              <w:rPr>
                <w:sz w:val="18"/>
              </w:rPr>
            </w:r>
            <w:r>
              <w:rPr>
                <w:sz w:val="18"/>
              </w:rPr>
              <w:t>Steps 4 and 5: the purpose and the data scope; the data scope must not be empty.</w:t>
            </w:r>
          </w:p>
        </w:tc>
        <w:tc>
          <w:tcPr>
            <w:tcW w:type="dxa" w:w="2835"/>
          </w:tcPr>
          <w:p>
            <w:r>
              <w:rPr>
                <w:sz w:val="18"/>
              </w:rPr>
            </w:r>
            <w:r>
              <w:rPr>
                <w:sz w:val="18"/>
              </w:rPr>
              <w:t>A consent with an empty data scope is rejected (Section 11.4). Attack A5 (Section 11.6). Scenario 1 recorded the four EMR modules and the purpose Treatment.</w:t>
            </w:r>
          </w:p>
        </w:tc>
        <w:tc>
          <w:tcPr>
            <w:tcW w:type="dxa" w:w="1757"/>
          </w:tcPr>
          <w:p>
            <w:r>
              <w:rPr>
                <w:sz w:val="18"/>
              </w:rPr>
            </w:r>
            <w:r>
              <w:rPr>
                <w:sz w:val="18"/>
              </w:rPr>
              <w:t>Empty scope rejected; purpose and scope recorded in the consent object.</w:t>
            </w:r>
          </w:p>
        </w:tc>
      </w:tr>
      <w:tr>
        <w:tc>
          <w:tcPr>
            <w:tcW w:type="dxa" w:w="1531"/>
          </w:tcPr>
          <w:p>
            <w:r>
              <w:rPr>
                <w:sz w:val="18"/>
              </w:rPr>
            </w:r>
            <w:r>
              <w:rPr>
                <w:sz w:val="18"/>
              </w:rPr>
              <w:t>T  Time</w:t>
            </w:r>
          </w:p>
        </w:tc>
        <w:tc>
          <w:tcPr>
            <w:tcW w:type="dxa" w:w="2381"/>
          </w:tcPr>
          <w:p>
            <w:r>
              <w:rPr>
                <w:sz w:val="18"/>
              </w:rPr>
            </w:r>
            <w:r>
              <w:rPr>
                <w:sz w:val="18"/>
              </w:rPr>
              <w:t>Step 6: the validity interval T = (ts, te); the expiry time must be later than the start time.</w:t>
            </w:r>
          </w:p>
        </w:tc>
        <w:tc>
          <w:tcPr>
            <w:tcW w:type="dxa" w:w="2835"/>
          </w:tcPr>
          <w:p>
            <w:r>
              <w:rPr>
                <w:sz w:val="18"/>
              </w:rPr>
            </w:r>
            <w:r>
              <w:rPr>
                <w:sz w:val="18"/>
              </w:rPr>
              <w:t>The expiry time must be later than the start time (Section 11.4). Attack A6 and the expiry run of 11 October 2026 (Section 10.3).</w:t>
            </w:r>
          </w:p>
        </w:tc>
        <w:tc>
          <w:tcPr>
            <w:tcW w:type="dxa" w:w="1757"/>
          </w:tcPr>
          <w:p>
            <w:r>
              <w:rPr>
                <w:sz w:val="18"/>
              </w:rPr>
            </w:r>
            <w:r>
              <w:rPr>
                <w:sz w:val="18"/>
              </w:rPr>
              <w:t>Validity interval recorded; the interval is enforced at every request by VT (Section 10).</w:t>
            </w:r>
          </w:p>
        </w:tc>
      </w:tr>
      <w:tr>
        <w:tc>
          <w:tcPr>
            <w:tcW w:type="dxa" w:w="1531"/>
          </w:tcPr>
          <w:p>
            <w:r>
              <w:rPr>
                <w:sz w:val="18"/>
              </w:rPr>
            </w:r>
            <w:r>
              <w:rPr>
                <w:sz w:val="18"/>
              </w:rPr>
              <w:t>L  Lifecycle</w:t>
            </w:r>
          </w:p>
        </w:tc>
        <w:tc>
          <w:tcPr>
            <w:tcW w:type="dxa" w:w="2381"/>
          </w:tcPr>
          <w:p>
            <w:r>
              <w:rPr>
                <w:sz w:val="18"/>
              </w:rPr>
            </w:r>
            <w:r>
              <w:rPr>
                <w:sz w:val="18"/>
              </w:rPr>
              <w:t>Steps 8 and 9: the consent identifier is generated and the object is created in the state PENDING_SIGNATURE.</w:t>
            </w:r>
          </w:p>
        </w:tc>
        <w:tc>
          <w:tcPr>
            <w:tcW w:type="dxa" w:w="2835"/>
          </w:tcPr>
          <w:p>
            <w:r>
              <w:rPr>
                <w:sz w:val="18"/>
              </w:rPr>
            </w:r>
            <w:r>
              <w:rPr>
                <w:sz w:val="18"/>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rPr>
              <w:t>Created in PENDING_SIGNATURE; no access is possible until the state is ACTIVE (Section 10).</w:t>
            </w:r>
          </w:p>
        </w:tc>
      </w:tr>
      <w:tr>
        <w:tc>
          <w:tcPr>
            <w:tcW w:type="dxa" w:w="1531"/>
          </w:tcPr>
          <w:p>
            <w:r>
              <w:rPr>
                <w:sz w:val="18"/>
              </w:rPr>
            </w:r>
            <w:r>
              <w:rPr>
                <w:sz w:val="18"/>
              </w:rPr>
              <w:t>E  Evidence</w:t>
            </w:r>
          </w:p>
        </w:tc>
        <w:tc>
          <w:tcPr>
            <w:tcW w:type="dxa" w:w="2381"/>
          </w:tcPr>
          <w:p>
            <w:r>
              <w:rPr>
                <w:sz w:val="18"/>
              </w:rPr>
            </w:r>
            <w:r>
              <w:rPr>
                <w:sz w:val="18"/>
              </w:rPr>
              <w:t>Step 11: the creation event is written to the audit ledger with the consent identifier, participants and timestamp.</w:t>
            </w:r>
          </w:p>
        </w:tc>
        <w:tc>
          <w:tcPr>
            <w:tcW w:type="dxa" w:w="2835"/>
          </w:tcPr>
          <w:p>
            <w:r>
              <w:rPr>
                <w:sz w:val="18"/>
              </w:rPr>
            </w:r>
            <w:r>
              <w:rPr>
                <w:sz w:val="18"/>
              </w:rPr>
              <w:t>The creation events of f050c29a and 04da25f5 are in the exported audit ledger of Section 11.5, each with the result SUCCESS. Nothing is logged for a rejected specification.</w:t>
            </w:r>
          </w:p>
        </w:tc>
        <w:tc>
          <w:tcPr>
            <w:tcW w:type="dxa" w:w="1757"/>
          </w:tcPr>
          <w:p>
            <w:r>
              <w:rPr>
                <w:sz w:val="18"/>
              </w:rPr>
            </w:r>
            <w:r>
              <w:rPr>
                <w:sz w:val="18"/>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2026-10-22T09:42:20Z</dcterms:created>
  <dcterms:modified xsi:type="dcterms:W3CDTF">2026-10-22T09:42:20Z</dcterms:modified>
</cp:coreProperties>
</file>