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color w:val="00B0F0"/>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color w:val="00B0F0"/>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color w:val="FF0000"/>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color w:val="FF0000"/>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00B0F0"/>
          <w:sz w:val="22"/>
          <w:szCs w:val="22"/>
        </w:rPr>
        <w:t xml:space="preserve">We </w:t>
      </w:r>
      <w:r>
        <w:rPr>
          <w:rFonts w:ascii="Times New Roman" w:cs="Times New Roman" w:eastAsia="Times New Roman" w:hAnsi="Times New Roman"/>
          <w:color w:val="00B0F0"/>
          <w:sz w:val="22"/>
          <w:szCs w:val="22"/>
        </w:rPr>
        <w:t xml:space="preserve">carried out all screening, coding, and quality assessment up to the reporting checkpoint,</w:t>
      </w:r>
      <w:r>
        <w:rPr>
          <w:rFonts w:ascii="Times New Roman" w:cs="Times New Roman" w:eastAsia="Times New Roman" w:hAnsi="Times New Roman"/>
          <w:color w:val="00B0F0"/>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color w:val="00B0F0"/>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color w:val="FF0000"/>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color w:val="FF0000"/>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color w:val="00B0F0"/>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color w:val="00B0F0"/>
          <w:sz w:val="22"/>
          <w:szCs w:val="22"/>
        </w:rPr>
        <w:t xml:space="preserve">Each included study was assigned to one stream, normally the one on which it is coded most strongly</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color w:val="00B0F0"/>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color w:val="00B0F0"/>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color w:val="00B0F0"/>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color w:val="FF0000"/>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color w:val="00B0F0"/>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color w:val="00B0F0"/>
          <w:sz w:val="22"/>
          <w:szCs w:val="22"/>
        </w:rPr>
        <w:t xml:space="preserve">is demonstrated only by [21, 28, 29],</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[49]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color w:val="FF0000"/>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color w:val="00B0F0"/>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color w:val="00B0F0"/>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color w:val="FF0000"/>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color w:val="00B0F0"/>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B0F0"/>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color w:val="00B0F0"/>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DID and VC verification separates identity from authority and is evaluated as V</w:t>
            </w:r>
            <w:r>
              <w:rPr>
                <w:rFonts w:ascii="Times New Roman" w:cs="Times New Roman" w:eastAsia="Times New Roman" w:hAnsi="Times New Roman"/>
                <w:b w:val="false"/>
                <w:bCs w:val="false"/>
                <w:color w:val="00B0F0"/>
                <w:sz w:val="17"/>
                <w:szCs w:val="17"/>
                <w:vertAlign w:val="subscript"/>
              </w:rPr>
              <w:t xml:space="preserve">I</w:t>
            </w:r>
            <w:r>
              <w:rPr>
                <w:rFonts w:ascii="Times New Roman" w:cs="Times New Roman" w:eastAsia="Times New Roman" w:hAnsi="Times New Roman"/>
                <w:b w:val="false"/>
                <w:bCs w:val="false"/>
                <w:color w:val="00B0F0"/>
                <w:sz w:val="17"/>
                <w:szCs w:val="17"/>
              </w:rPr>
              <w:t xml:space="preserve"> through Algorithm 2.</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N-of-N approval by the guardian set G with EIP-712 guardian signatures [66],</w:t>
            </w:r>
            <w:r>
              <w:rPr>
                <w:rFonts w:ascii="Times New Roman" w:cs="Times New Roman" w:eastAsia="Times New Roman" w:hAnsi="Times New Roman"/>
                <w:b w:val="false"/>
                <w:bCs w:val="false"/>
                <w:color w:val="FF0000"/>
                <w:sz w:val="17"/>
                <w:szCs w:val="17"/>
              </w:rPr>
              <w:t xml:space="preserve">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4,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The validity window V</w:t>
            </w:r>
            <w:r>
              <w:rPr>
                <w:rFonts w:ascii="Times New Roman" w:cs="Times New Roman" w:eastAsia="Times New Roman" w:hAnsi="Times New Roman"/>
                <w:b w:val="false"/>
                <w:bCs w:val="false"/>
                <w:color w:val="00B0F0"/>
                <w:sz w:val="17"/>
                <w:szCs w:val="17"/>
                <w:vertAlign w:val="subscript"/>
              </w:rPr>
              <w:t xml:space="preserve">T</w:t>
            </w:r>
            <w:r>
              <w:rPr>
                <w:rFonts w:ascii="Times New Roman" w:cs="Times New Roman" w:eastAsia="Times New Roman" w:hAnsi="Times New Roman"/>
                <w:b w:val="false"/>
                <w:bCs w:val="false"/>
                <w:color w:val="00B0F0"/>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color w:val="00B0F0"/>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color w:val="00B0F0"/>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color w:val="00B0F0"/>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color w:val="00B0F0"/>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color w:val="00B0F0"/>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color w:val="FF0000"/>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color w:val="00B0F0"/>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color w:val="00B0F0"/>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color w:val="00B0F0"/>
          <w:sz w:val="18"/>
          <w:szCs w:val="18"/>
        </w:rPr>
        <w:t xml:space="preserve">Trust predicate evaluation and authorisation decision flow (in the current prototype, V</w:t>
      </w:r>
      <w:r>
        <w:rPr>
          <w:rFonts w:ascii="Times New Roman" w:cs="Times New Roman" w:eastAsia="Times New Roman" w:hAnsi="Times New Roman"/>
          <w:color w:val="00B0F0"/>
          <w:sz w:val="18"/>
          <w:szCs w:val="18"/>
          <w:vertAlign w:val="subscript"/>
        </w:rPr>
        <w:t xml:space="preserve">I</w:t>
      </w:r>
      <w:r>
        <w:rPr>
          <w:rFonts w:ascii="Times New Roman" w:cs="Times New Roman" w:eastAsia="Times New Roman" w:hAnsi="Times New Roman"/>
          <w:color w:val="00B0F0"/>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color w:val="00B0F0"/>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color w:val="00B0F0"/>
          <w:sz w:val="22"/>
          <w:szCs w:val="22"/>
        </w:rPr>
        <w:t xml:space="preserve">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 therefore contains each member of G at most once, and an approval from a signer outside G does not enter 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color w:val="00B0F0"/>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18"/>
          <w:szCs w:val="18"/>
        </w:rPr>
        <w:t xml:space="preserve">A</w:t>
      </w:r>
      <w:r>
        <w:rPr>
          <w:rFonts w:ascii="Cambria Math" w:cs="Cambria Math" w:eastAsia="Cambria Math" w:hAnsi="Cambria Math"/>
          <w:i w:val="false"/>
          <w:iCs w:val="false"/>
          <w:color w:val="00B0F0"/>
          <w:sz w:val="18"/>
          <w:szCs w:val="18"/>
          <w:vertAlign w:val="subscript"/>
        </w:rPr>
        <w:t xml:space="preserve">v</w:t>
      </w:r>
      <w:r>
        <w:rPr>
          <w:rFonts w:ascii="Cambria Math" w:cs="Cambria Math" w:eastAsia="Cambria Math" w:hAnsi="Cambria Math"/>
          <w:i w:val="false"/>
          <w:iCs w:val="false"/>
          <w:color w:val="00B0F0"/>
          <w:sz w:val="18"/>
          <w:szCs w:val="18"/>
        </w:rPr>
        <w:t xml:space="preserve"> = {g ∈ G | ∃ a</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 ∈ A</w:t>
      </w:r>
      <w:r>
        <w:rPr>
          <w:rFonts w:ascii="Cambria Math" w:cs="Cambria Math" w:eastAsia="Cambria Math" w:hAnsi="Cambria Math"/>
          <w:i w:val="false"/>
          <w:iCs w:val="false"/>
          <w:color w:val="00B0F0"/>
          <w:sz w:val="18"/>
          <w:szCs w:val="18"/>
          <w:vertAlign w:val="subscript"/>
        </w:rPr>
        <w:t xml:space="preserve">s</w:t>
      </w:r>
      <w:r>
        <w:rPr>
          <w:rFonts w:ascii="Cambria Math" w:cs="Cambria Math" w:eastAsia="Cambria Math" w:hAnsi="Cambria Math"/>
          <w:i w:val="false"/>
          <w:iCs w:val="false"/>
          <w:color w:val="00B0F0"/>
          <w:sz w:val="18"/>
          <w:szCs w:val="18"/>
        </w:rPr>
        <w:t xml:space="preserve"> submitted by g with V</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w:t>
      </w:r>
      <w:r>
        <w:rPr>
          <w:rFonts w:ascii="Cambria Math" w:cs="Cambria Math" w:eastAsia="Cambria Math" w:hAnsi="Cambria Math"/>
          <w:i w:val="false"/>
          <w:iCs w:val="false"/>
          <w:color w:val="00B0F0"/>
          <w:sz w:val="18"/>
          <w:szCs w:val="18"/>
        </w:rPr>
        <w:t xml:space="preserve">g</w:t>
      </w:r>
      <w:r>
        <w:rPr>
          <w:rFonts w:ascii="Cambria Math" w:cs="Cambria Math" w:eastAsia="Cambria Math" w:hAnsi="Cambria Math"/>
          <w:i w:val="false"/>
          <w:iCs w:val="false"/>
          <w:color w:val="00B0F0"/>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color w:val="00B0F0"/>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color w:val="00B0F0"/>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67].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color w:val="FF0000"/>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color w:val="00B0F0"/>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color w:val="00B0F0"/>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Existing</w:t>
      </w:r>
      <w:r>
        <w:rPr>
          <w:rFonts w:ascii="Times New Roman" w:cs="Times New Roman" w:eastAsia="Times New Roman" w:hAnsi="Times New Roman"/>
          <w:sz w:val="22"/>
          <w:szCs w:val="22"/>
        </w:rPr>
        <w:t xml:space="preserve">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color w:val="00B0F0"/>
          <w:sz w:val="22"/>
          <w:szCs w:val="22"/>
        </w:rPr>
        <w:t xml:space="preserve">The system then validates the guardian set G, which must </w:t>
      </w:r>
      <w:r>
        <w:rPr>
          <w:rFonts w:ascii="Times New Roman" w:cs="Times New Roman" w:eastAsia="Times New Roman" w:hAnsi="Times New Roman"/>
          <w:color w:val="00B0F0"/>
          <w:sz w:val="22"/>
          <w:szCs w:val="22"/>
        </w:rPr>
        <w:t xml:space="preserve">be non-empty, and every guardian in it must have a well-formed DID</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color w:val="00B0F0"/>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color w:val="00B0F0"/>
          <w:sz w:val="19"/>
          <w:szCs w:val="19"/>
        </w:rPr>
        <w:t xml:space="preserve">Validate authorised doctor D, guardian set G, purpose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data scope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 any member of G is invalid,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is invalid, or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color w:val="00B0F0"/>
          <w:sz w:val="19"/>
          <w:szCs w:val="19"/>
        </w:rPr>
        <w:t xml:space="preserve">Construct C = (I, A, P, T, L, E) with identifier id</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where I holds I</w:t>
      </w:r>
      <w:r>
        <w:rPr>
          <w:rFonts w:ascii="Times New Roman" w:cs="Times New Roman" w:eastAsia="Times New Roman" w:hAnsi="Times New Roman"/>
          <w:color w:val="00B0F0"/>
          <w:sz w:val="19"/>
          <w:szCs w:val="19"/>
          <w:vertAlign w:val="subscript"/>
        </w:rPr>
        <w:t xml:space="preserve">p</w:t>
      </w:r>
      <w:r>
        <w:rPr>
          <w:rFonts w:ascii="Times New Roman" w:cs="Times New Roman" w:eastAsia="Times New Roman" w:hAnsi="Times New Roman"/>
          <w:color w:val="00B0F0"/>
          <w:sz w:val="19"/>
          <w:szCs w:val="19"/>
        </w:rPr>
        <w:t xml:space="preserve"> and D, A holds G and the threshold N = |G|, and P holds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S</w:t>
      </w:r>
      <w:r>
        <w:rPr>
          <w:rFonts w:ascii="Times New Roman" w:cs="Times New Roman" w:eastAsia="Times New Roman" w:hAnsi="Times New Roman"/>
          <w:color w:val="00B0F0"/>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color w:val="00B0F0"/>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color w:val="00B0F0"/>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color w:val="00B0F0"/>
          <w:sz w:val="18"/>
          <w:szCs w:val="18"/>
        </w:rPr>
        <w:t xml:space="preserve">RO2 workflow for decentralised identity and authority verification (target design</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color w:val="00B0F0"/>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color w:val="00B0F0"/>
          <w:sz w:val="22"/>
          <w:szCs w:val="22"/>
        </w:rPr>
        <w:t xml:space="preserve">two-layer verification mechanism, VerifyDID(u) ∧ VerifyVC(u) ∧ Authority(u, C) ⇒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where VALID corresponds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and INVALID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color w:val="00B0F0"/>
          <w:sz w:val="19"/>
          <w:szCs w:val="19"/>
        </w:rPr>
        <w:t xml:space="preserve">Verification result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{VALID, INVALID}, where VALID corresponds to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color w:val="00B0F0"/>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color w:val="00B0F0"/>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color w:val="00B0F0"/>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G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color w:val="00B0F0"/>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has already approved C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color w:val="00B0F0"/>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color w:val="00B0F0"/>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color w:val="00B0F0"/>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2 ∧ Token(C) ≠ ∅ ∧ Revoked(C) = 0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U</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color w:val="00B0F0"/>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color w:val="00B0F0"/>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S</w:t>
      </w:r>
      <w:r>
        <w:rPr>
          <w:rFonts w:ascii="Cambria Math" w:cs="Cambria Math" w:eastAsia="Cambria Math" w:hAnsi="Cambria Math"/>
          <w:i w:val="false"/>
          <w:iCs w:val="false"/>
          <w:color w:val="00B0F0"/>
          <w:sz w:val="21"/>
          <w:szCs w:val="21"/>
          <w:vertAlign w:val="subscript"/>
        </w:rPr>
        <w:t xml:space="preserve">R</w:t>
      </w:r>
      <w:r>
        <w:rPr>
          <w:rFonts w:ascii="Cambria Math" w:cs="Cambria Math" w:eastAsia="Cambria Math" w:hAnsi="Cambria Math"/>
          <w:i w:val="false"/>
          <w:iCs w:val="false"/>
          <w:color w:val="00B0F0"/>
          <w:sz w:val="21"/>
          <w:szCs w:val="21"/>
        </w:rPr>
        <w:t xml:space="preserve"> ⊈ S</w:t>
      </w:r>
      <w:r>
        <w:rPr>
          <w:rFonts w:ascii="Cambria Math" w:cs="Cambria Math" w:eastAsia="Cambria Math" w:hAnsi="Cambria Math"/>
          <w:i w:val="false"/>
          <w:iCs w:val="false"/>
          <w:color w:val="00B0F0"/>
          <w:sz w:val="21"/>
          <w:szCs w:val="21"/>
          <w:vertAlign w:val="subscript"/>
        </w:rPr>
        <w:t xml:space="preserve">C</w:t>
      </w:r>
      <w:r>
        <w:rPr>
          <w:rFonts w:ascii="Cambria Math" w:cs="Cambria Math" w:eastAsia="Cambria Math" w:hAnsi="Cambria Math"/>
          <w:i w:val="false"/>
          <w:iCs w:val="false"/>
          <w:color w:val="00B0F0"/>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color w:val="00B0F0"/>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color w:val="00B0F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00B0F0"/>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the proof does not verify </w:t>
      </w:r>
      <w:r>
        <w:rPr>
          <w:rFonts w:ascii="Times New Roman" w:cs="Times New Roman" w:eastAsia="Times New Roman" w:hAnsi="Times New Roman"/>
          <w:b/>
          <w:bCs/>
          <w:color w:val="00B0F0"/>
          <w:sz w:val="19"/>
          <w:szCs w:val="19"/>
        </w:rPr>
        <w:t xml:space="preserve">then</w:t>
      </w:r>
      <w:r>
        <w:rPr>
          <w:rFonts w:ascii="Times New Roman" w:cs="Times New Roman" w:eastAsia="Times New Roman" w:hAnsi="Times New Roman"/>
          <w:color w:val="00B0F0"/>
          <w:sz w:val="19"/>
          <w:szCs w:val="19"/>
        </w:rPr>
        <w:t xml:space="preserve"> Record denied decision and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DENY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color w:val="00B0F0"/>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color w:val="FF0000"/>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color w:val="00B0F0"/>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color w:val="00B0F0"/>
          <w:sz w:val="22"/>
          <w:szCs w:val="22"/>
        </w:rPr>
        <w:t xml:space="preserve">As in Section 5.2, revocation and the token state remain part of V</w:t>
      </w:r>
      <w:r>
        <w:rPr>
          <w:rFonts w:ascii="Times New Roman" w:cs="Times New Roman" w:eastAsia="Times New Roman" w:hAnsi="Times New Roman"/>
          <w:color w:val="00B0F0"/>
          <w:sz w:val="22"/>
          <w:szCs w:val="22"/>
          <w:vertAlign w:val="subscript"/>
        </w:rPr>
        <w:t xml:space="preserve">A</w:t>
      </w:r>
      <w:r>
        <w:rPr>
          <w:rFonts w:ascii="Times New Roman" w:cs="Times New Roman" w:eastAsia="Times New Roman" w:hAnsi="Times New Roman"/>
          <w:color w:val="00B0F0"/>
          <w:sz w:val="22"/>
          <w:szCs w:val="22"/>
        </w:rPr>
        <w:t xml:space="preserve">, while the time-based states are evaluated within V</w:t>
      </w:r>
      <w:r>
        <w:rPr>
          <w:rFonts w:ascii="Times New Roman" w:cs="Times New Roman" w:eastAsia="Times New Roman" w:hAnsi="Times New Roman"/>
          <w:color w:val="00B0F0"/>
          <w:sz w:val="22"/>
          <w:szCs w:val="22"/>
          <w:vertAlign w:val="subscript"/>
        </w:rPr>
        <w:t xml:space="preserve">T</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color w:val="00B0F0"/>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color w:val="00B0F0"/>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color w:val="FF0000"/>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color w:val="FF0000"/>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color w:val="FF0000"/>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color w:val="FF0000"/>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color w:val="00B0F0"/>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Decision(C, R, t) = ALLOW ⇒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color w:val="00B0F0"/>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color w:val="00B0F0"/>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color w:val="00B0F0"/>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color w:val="00B0F0"/>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color w:val="00B0F0"/>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color w:val="00B0F0"/>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color w:val="00B0F0"/>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color w:val="00B0F0"/>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color w:val="00B0F0"/>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color w:val="00B0F0"/>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color w:val="00B0F0"/>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color w:val="00B0F0"/>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color w:val="FF0000"/>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FF0000"/>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color w:val="FF0000"/>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color w:val="FF0000"/>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color w:val="00B0F0"/>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and extend the research towards dynamic consent governance, formal security assurance, and comprehensive empirical validation.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color w:val="00B0F0"/>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color w:val="00B0F0"/>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color w:val="00B0F0"/>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color w:val="00B0F0"/>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color w:val="00B0F0"/>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color w:val="00B0F0"/>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color w:val="00B0F0"/>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color w:val="00B0F0"/>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color w:val="00B0F0"/>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color w:val="00B0F0"/>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color w:val="00B0F0"/>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color w:val="00B0F0"/>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color w:val="00B0F0"/>
          <w:sz w:val="18"/>
          <w:szCs w:val="18"/>
        </w:rPr>
        <w:t xml:space="preserve">:491</w:t>
      </w:r>
      <w:r>
        <w:rPr>
          <w:rFonts w:ascii="Times New Roman" w:cs="Times New Roman" w:eastAsia="Times New Roman" w:hAnsi="Times New Roman"/>
          <w:color w:val="00B0F0"/>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color w:val="00B0F0"/>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color w:val="00B0F0"/>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color w:val="00B0F0"/>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color w:val="00B0F0"/>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color w:val="00B0F0"/>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color w:val="00B0F0"/>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color w:val="00B0F0"/>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color w:val="00B0F0"/>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color w:val="00B0F0"/>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2026-10-06T09:05:08.537Z</dcterms:created>
  <dcterms:modified xsi:type="dcterms:W3CDTF">2026-10-06T09:05:08.538Z</dcterms:modified>
</cp:coreProperties>
</file>

<file path=docProps/custom.xml><?xml version="1.0" encoding="utf-8"?>
<Properties xmlns="http://schemas.openxmlformats.org/officeDocument/2006/custom-properties" xmlns:vt="http://schemas.openxmlformats.org/officeDocument/2006/docPropsVTypes"/>
</file>