
<file path=[Content_Types].xml><?xml version="1.0" encoding="utf-8"?>
<Types xmlns="http://schemas.openxmlformats.org/package/2006/content-types">
  <Default Extension="jpg" ContentType="image/jpeg"/>
  <Default Extension="jpeg" ContentType="image/jpeg"/>
  <Default Extension="png" ContentType="image/png"/>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2 – A Systematic Literature Review</w:t>
      </w:r>
    </w:p>
    <w:bookmarkStart w:id="39" w:name="X8d950ebaf958e7860fc944fc7601a3578d63a09"/>
    <w:p>
      <w:pPr>
        <w:pStyle w:val="Heading1"/>
      </w:pPr>
      <w:r>
        <w:t xml:space="preserve">2</w:t>
      </w:r>
      <w:r>
        <w:t xml:space="preserve"> </w:t>
      </w:r>
      <w:r>
        <w:rPr>
          <w:rStyle w:val="GreenDelete"/>
        </w:rPr>
        <w:t xml:space="preserve">Systematic Literature Review</w:t>
      </w:r>
      <w:r>
        <w:rPr>
          <w:rStyle w:val="GreenFix"/>
        </w:rPr>
        <w:t xml:space="preserve">A Systematic Literature Review</w:t>
      </w:r>
    </w:p>
    <w:p>
      <w:pPr>
        <w:pStyle w:val="ReviewerNotePara"/>
      </w:pPr>
      <w:r>
        <w:rPr>
          <w:rStyle w:val="ReviewerNote"/>
        </w:rPr>
        <w:t xml:space="preserve">Colour key: green = a fix to the existing text (struck through = remove, plain green = replacement or addition); blue = new material added so that the chapter follows the supervisor’s structure (introduction with roadmap, key requirements, four-step shortlisting process with venue/stage/listing tables, per-category summary tables with requirement coverage, gaps per requirement, conclusion). Base text = Chapter 2 of the clean report. Figures and tables in this chapter now use chapter-based numbering (Figure 2.1, Table 2.1) as in the supervisor’s chapter; apply the same scheme to the other chapters and update the cross-references to</w:t>
      </w:r>
      <w:r>
        <w:rPr>
          <w:rStyle w:val="ReviewerNote"/>
        </w:rPr>
        <w:t xml:space="preserve"> </w:t>
      </w:r>
      <w:r>
        <w:rPr>
          <w:rStyle w:val="ReviewerNote"/>
        </w:rPr>
        <w:t xml:space="preserve">‘Section 2.2.x’</w:t>
      </w:r>
      <w:r>
        <w:rPr>
          <w:rStyle w:val="ReviewerNote"/>
        </w:rPr>
        <w:t xml:space="preserve">,</w:t>
      </w:r>
      <w:r>
        <w:rPr>
          <w:rStyle w:val="ReviewerNote"/>
        </w:rPr>
        <w:t xml:space="preserve"> </w:t>
      </w:r>
      <w:r>
        <w:rPr>
          <w:rStyle w:val="ReviewerNote"/>
        </w:rPr>
        <w:t xml:space="preserve">‘Figure 1’</w:t>
      </w:r>
      <w:r>
        <w:rPr>
          <w:rStyle w:val="ReviewerNote"/>
        </w:rPr>
        <w:t xml:space="preserve">,</w:t>
      </w:r>
      <w:r>
        <w:rPr>
          <w:rStyle w:val="ReviewerNote"/>
        </w:rPr>
        <w:t xml:space="preserve"> </w:t>
      </w:r>
      <w:r>
        <w:rPr>
          <w:rStyle w:val="ReviewerNote"/>
        </w:rPr>
        <w:t xml:space="preserve">‘Figure 2’</w:t>
      </w:r>
      <w:r>
        <w:rPr>
          <w:rStyle w:val="ReviewerNote"/>
        </w:rPr>
        <w:t xml:space="preserve"> </w:t>
      </w:r>
      <w:r>
        <w:rPr>
          <w:rStyle w:val="ReviewerNote"/>
        </w:rPr>
        <w:t xml:space="preserve">and</w:t>
      </w:r>
      <w:r>
        <w:rPr>
          <w:rStyle w:val="ReviewerNote"/>
        </w:rPr>
        <w:t xml:space="preserve"> </w:t>
      </w:r>
      <w:r>
        <w:rPr>
          <w:rStyle w:val="ReviewerNote"/>
        </w:rPr>
        <w:t xml:space="preserve">‘Table 2’</w:t>
      </w:r>
      <w:r>
        <w:rPr>
          <w:rStyle w:val="ReviewerNote"/>
        </w:rPr>
        <w:t xml:space="preserve"> </w:t>
      </w:r>
      <w:r>
        <w:rPr>
          <w:rStyle w:val="ReviewerNote"/>
        </w:rPr>
        <w:t xml:space="preserve">elsewhere in the report.</w:t>
      </w:r>
    </w:p>
    <w:bookmarkStart w:id="9" w:name="overview-introduction"/>
    <w:p>
      <w:pPr>
        <w:pStyle w:val="Heading2"/>
      </w:pPr>
      <w:r>
        <w:t xml:space="preserve">2.1</w:t>
      </w:r>
      <w:r>
        <w:t xml:space="preserve"> </w:t>
      </w:r>
      <w:r>
        <w:rPr>
          <w:rStyle w:val="GreenDelete"/>
        </w:rPr>
        <w:t xml:space="preserve">Overview</w:t>
      </w:r>
      <w:r>
        <w:t xml:space="preserve"> </w:t>
      </w:r>
      <w:r>
        <w:rPr>
          <w:rStyle w:val="GreenFix"/>
        </w:rPr>
        <w:t xml:space="preserve">Introduction</w:t>
      </w:r>
    </w:p>
    <w:p>
      <w:pPr>
        <w:pStyle w:val="FirstParagraph"/>
      </w:pPr>
      <w:r>
        <w:t xml:space="preserve">The systematic literature review examines the current state of research on trustworthy and decentralised data sharing, with particular attention to healthcare consent management, multi-party trust data governance, decentralised identity, verifiable credentials, multi-party authorisation, policy-based access control, and Trusted Computing. The objective of the review is not simply to identify technologies that can be applied to healthcare data sharing, but to examine how existing approaches address different conditions required for a trustworthy authorisation decision and where conceptual or architectural gaps remain.</w:t>
      </w:r>
    </w:p>
    <w:p>
      <w:pPr>
        <w:pStyle w:val="BodyText"/>
      </w:pPr>
      <w:r>
        <w:t xml:space="preserve">The reviewed literature demonstrates that substantial progress has been made in individual areas. Healthcare research has emphasised the importance of patient autonomy, privacy, informed consent, and controlled data sharing</w:t>
      </w:r>
      <w:r>
        <w:t xml:space="preserve"> </w:t>
      </w:r>
      <w:r>
        <w:rPr>
          <w:rStyle w:val="GreenDelete"/>
        </w:rPr>
        <w:t xml:space="preserve">[31, 14, 24, 22, 12]</w:t>
      </w:r>
      <w:r>
        <w:rPr>
          <w:rStyle w:val="GreenFix"/>
        </w:rPr>
        <w:t xml:space="preserve">[12, 14, 22, 24, 31, 43, 45]</w:t>
      </w:r>
      <w:r>
        <w:t xml:space="preserve">.</w:t>
      </w:r>
      <w:r>
        <w:t xml:space="preserve"> </w:t>
      </w:r>
      <w:r>
        <w:rPr>
          <w:rStyle w:val="GreenDelete"/>
        </w:rPr>
        <w:t xml:space="preserve">Multi-party trust research has investigated immutable data governance, distributed auditability, and decentralised consent management [2, 7, 3, 30, 26]</w:t>
      </w:r>
      <w:r>
        <w:rPr>
          <w:rStyle w:val="GreenFix"/>
        </w:rPr>
        <w:t xml:space="preserve">Blockchain-based data-governance research has investigated immutable records, distributed auditability, and decentralised consent management [2, 3, 7, 26]</w:t>
      </w:r>
      <w:r>
        <w:t xml:space="preserve">. Research on decentralised identity and verifiable credentials has developed mechanisms for self-controlled identity representation, credential verification, selective disclosure, and privacy-preserving authentication</w:t>
      </w:r>
      <w:r>
        <w:t xml:space="preserve"> </w:t>
      </w:r>
      <w:r>
        <w:rPr>
          <w:rStyle w:val="GreenDelete"/>
        </w:rPr>
        <w:t xml:space="preserve">[20, 33, 4, 16, 5, 27]</w:t>
      </w:r>
      <w:r>
        <w:rPr>
          <w:rStyle w:val="GreenFix"/>
        </w:rPr>
        <w:t xml:space="preserve">[4, 5, 16, 20, 27, 33]</w:t>
      </w:r>
      <w:r>
        <w:t xml:space="preserve">. Access-control research has further investigated role-based, attribute-based, risk-aware, and usage-control approaches for protecting sensitive healthcare information</w:t>
      </w:r>
      <w:r>
        <w:t xml:space="preserve"> </w:t>
      </w:r>
      <w:r>
        <w:rPr>
          <w:rStyle w:val="GreenDelete"/>
        </w:rPr>
        <w:t xml:space="preserve">[32, 11, 28, 25]</w:t>
      </w:r>
      <w:r>
        <w:rPr>
          <w:rStyle w:val="GreenFix"/>
        </w:rPr>
        <w:t xml:space="preserve">[11, 25, 28, 32, 46, 47]</w:t>
      </w:r>
      <w:r>
        <w:t xml:space="preserve">.</w:t>
      </w:r>
    </w:p>
    <w:p>
      <w:pPr>
        <w:pStyle w:val="BodyText"/>
      </w:pPr>
      <w:r>
        <w:t xml:space="preserve">However, the literature also indicates that these mechanisms are commonly developed and evaluated as separate technological components. This fragmentation creates an important distinction between the availability of security mechanisms and the ability to construct a unified and trustworthy authorisation decision.</w:t>
      </w:r>
      <w:r>
        <w:t xml:space="preserve"> </w:t>
      </w:r>
      <w:r>
        <w:rPr>
          <w:rStyle w:val="GreenDelete"/>
        </w:rPr>
        <w:t xml:space="preserve">The following sections analyse these research areas and identify the gap addressed by the proposed framework.</w:t>
      </w:r>
      <w:r>
        <w:rPr>
          <w:rStyle w:val="GreenFix"/>
        </w:rPr>
        <w:t xml:space="preserve">The objective of this chapter is therefore to examine, through a systematic literature review, how far the existing approaches satisfy the conditions of a trustworthy authorisation decision and where the gap addressed by the proposed framework lies.</w:t>
      </w:r>
    </w:p>
    <w:p>
      <w:pPr>
        <w:pStyle w:val="BlueAddPara"/>
      </w:pPr>
      <w:r>
        <w:rPr>
          <w:rStyle w:val="BlueAdd"/>
        </w:rPr>
        <w:t xml:space="preserve">The reviewed studies were located, shortlisted and evaluated through the systematic process described in Section 2.3, which follows the four-step approach of searching the literature, applying inclusion and exclusion criteria, evaluating quality and analysing the data. To make the evaluation comparable across studies, Section 2.2 first defines five key requirements that a trust-oriented consent authorisation framework should satisfy. Each shortlisted paper is then assessed against these requirements in Section 2.4, the research gaps are drawn together from the requirement perspective in Section 2.5, and Section 2.6 concludes the chapter and introduces the research questions and objectives of Chapter 3.</w:t>
      </w:r>
    </w:p>
    <w:bookmarkEnd w:id="9"/>
    <w:bookmarkStart w:id="15" w:name="Xe31d4d16f418816f7cdb8bb7e2c33f7a12ca646"/>
    <w:p>
      <w:pPr>
        <w:pStyle w:val="Heading2"/>
      </w:pPr>
      <w:r>
        <w:rPr>
          <w:rStyle w:val="BlueAdd"/>
        </w:rPr>
        <w:t xml:space="preserve">2.2 Key Requirements for a Trust-Oriented Consent Authorisation Framework</w:t>
      </w:r>
    </w:p>
    <w:p>
      <w:pPr>
        <w:pStyle w:val="BlueAddPara"/>
      </w:pPr>
      <w:r>
        <w:rPr>
          <w:rStyle w:val="BlueAdd"/>
        </w:rPr>
        <w:t xml:space="preserve">This section defines the factors that a healthcare consent authorisation framework must provide before a data-access decision can be regarded as trustworthy. The five requirements are derived from the problem described in Chapter 1 and from the Australian regulatory setting in which the research is situated, in particular the Australian Privacy Principles of the</w:t>
      </w:r>
      <w:r>
        <w:rPr>
          <w:rStyle w:val="BlueAdd"/>
        </w:rPr>
        <w:t xml:space="preserve"> </w:t>
      </w:r>
      <w:r>
        <w:rPr>
          <w:rStyle w:val="BlueAdd"/>
          <w:i/>
          <w:iCs/>
        </w:rPr>
        <w:t xml:space="preserve">Privacy Act 1988</w:t>
      </w:r>
      <w:r>
        <w:rPr>
          <w:rStyle w:val="BlueAdd"/>
        </w:rPr>
        <w:t xml:space="preserve"> </w:t>
      </w:r>
      <w:r>
        <w:rPr>
          <w:rStyle w:val="BlueAdd"/>
        </w:rPr>
        <w:t xml:space="preserve">[34], the</w:t>
      </w:r>
      <w:r>
        <w:rPr>
          <w:rStyle w:val="BlueAdd"/>
        </w:rPr>
        <w:t xml:space="preserve"> </w:t>
      </w:r>
      <w:r>
        <w:rPr>
          <w:rStyle w:val="BlueAdd"/>
          <w:i/>
          <w:iCs/>
        </w:rPr>
        <w:t xml:space="preserve">My Health Records Act 2012</w:t>
      </w:r>
      <w:r>
        <w:rPr>
          <w:rStyle w:val="BlueAdd"/>
        </w:rPr>
        <w:t xml:space="preserve"> </w:t>
      </w:r>
      <w:r>
        <w:rPr>
          <w:rStyle w:val="BlueAdd"/>
        </w:rPr>
        <w:t xml:space="preserve">[35] and the</w:t>
      </w:r>
      <w:r>
        <w:rPr>
          <w:rStyle w:val="BlueAdd"/>
        </w:rPr>
        <w:t xml:space="preserve"> </w:t>
      </w:r>
      <w:r>
        <w:rPr>
          <w:rStyle w:val="BlueAdd"/>
          <w:i/>
          <w:iCs/>
        </w:rPr>
        <w:t xml:space="preserve">Healthcare Identifiers Act 2010</w:t>
      </w:r>
      <w:r>
        <w:rPr>
          <w:rStyle w:val="BlueAdd"/>
        </w:rPr>
        <w:t xml:space="preserve"> </w:t>
      </w:r>
      <w:r>
        <w:rPr>
          <w:rStyle w:val="BlueAdd"/>
        </w:rPr>
        <w:t xml:space="preserve">[36]. They form the basis on which the shortlisted studies are compared in Section 2.4 and against which the research gaps are stated in Section 2.5.</w:t>
      </w:r>
    </w:p>
    <w:bookmarkStart w:id="10" w:name="Xb2c1c1d0f9cf3a779daabe364a3fe8b072535a1"/>
    <w:p>
      <w:pPr>
        <w:pStyle w:val="Heading3"/>
      </w:pPr>
      <w:r>
        <w:rPr>
          <w:rStyle w:val="BlueAdd"/>
        </w:rPr>
        <w:t xml:space="preserve">2.2.1 Consent as an evaluable authorisation object (Req 1)</w:t>
      </w:r>
    </w:p>
    <w:p>
      <w:pPr>
        <w:pStyle w:val="BlueAddPara"/>
      </w:pPr>
      <w:r>
        <w:rPr>
          <w:rStyle w:val="BlueAdd"/>
        </w:rPr>
        <w:t xml:space="preserve">In most healthcare information systems, consent is stored as a record indicating that a patient agreed to a particular disclosure. Such a record establishes that consent was obtained, but it does not carry the information required to decide whether a later request should be permitted. The first requirement is therefore that consent be represented as a structured object that states who may access the data, under which authority, for which purpose, for which data categories and for how long, so that each access request can be evaluated against it. Consent receipts [10], dynamic consent models [13, 24] and the legal conditions of valid consent [22] all point in this direction, but they stop at recording consent rather than making it evaluable. Blockchain-backed architectures that execute and audit consents [43] and self-determined consent frameworks [45] add enforcement and tracking, yet they still act on the consent record rather than on an evaluation of the request.</w:t>
      </w:r>
    </w:p>
    <w:bookmarkEnd w:id="10"/>
    <w:bookmarkStart w:id="11" w:name="Xa885eda08813ad5fc0a2256dc7473e8c07c13b3"/>
    <w:p>
      <w:pPr>
        <w:pStyle w:val="Heading3"/>
      </w:pPr>
      <w:r>
        <w:rPr>
          <w:rStyle w:val="BlueAdd"/>
        </w:rPr>
        <w:t xml:space="preserve">2.2.2 Verifiable identity separated from authority (Req 2)</w:t>
      </w:r>
    </w:p>
    <w:p>
      <w:pPr>
        <w:pStyle w:val="BlueAddPara"/>
      </w:pPr>
      <w:r>
        <w:rPr>
          <w:rStyle w:val="BlueAdd"/>
        </w:rPr>
        <w:t xml:space="preserve">A trustworthy decision must first establish who is requesting or approving access, and then, separately, whether that party holds the authority the consent requires. Decentralised identifiers and verifiable credentials make the first step possible without a central identity provider [20, 4], and the</w:t>
      </w:r>
      <w:r>
        <w:rPr>
          <w:rStyle w:val="BlueAdd"/>
        </w:rPr>
        <w:t xml:space="preserve"> </w:t>
      </w:r>
      <w:r>
        <w:rPr>
          <w:rStyle w:val="BlueAdd"/>
          <w:i/>
          <w:iCs/>
        </w:rPr>
        <w:t xml:space="preserve">Healthcare Identifiers Act 2010</w:t>
      </w:r>
      <w:r>
        <w:rPr>
          <w:rStyle w:val="BlueAdd"/>
        </w:rPr>
        <w:t xml:space="preserve"> </w:t>
      </w:r>
      <w:r>
        <w:rPr>
          <w:rStyle w:val="BlueAdd"/>
        </w:rPr>
        <w:t xml:space="preserve">already gives every provider and individual a persistent identifier [36]. The second step is frequently overlooked: a valid credential shows that a person is, for example, a registered practitioner or a legal guardian [31], but not that this person is authorised for this patient, this purpose and this data. The second requirement is that identity verification and authority verification be modelled as distinct conditions.</w:t>
      </w:r>
    </w:p>
    <w:bookmarkEnd w:id="11"/>
    <w:bookmarkStart w:id="12" w:name="X3f1caa9985cd93675a873a4a1b7cf3386e492f2"/>
    <w:p>
      <w:pPr>
        <w:pStyle w:val="Heading3"/>
      </w:pPr>
      <w:r>
        <w:rPr>
          <w:rStyle w:val="BlueAdd"/>
        </w:rPr>
        <w:t xml:space="preserve">2.2.3 Multi-party threshold authorisation (Req 3)</w:t>
      </w:r>
    </w:p>
    <w:p>
      <w:pPr>
        <w:pStyle w:val="BlueAddPara"/>
      </w:pPr>
      <w:r>
        <w:rPr>
          <w:rStyle w:val="BlueAdd"/>
        </w:rPr>
        <w:t xml:space="preserve">In paediatric, aged-care and shared-guardianship settings the decision to release data does not belong to a single party. Guardians, the treating clinician and, where applicable, the institution each hold part of the authority [31]. The third requirement is that the framework collect independent approvals from a defined set of participants and activate the consent only when a predefined threshold has been reached, so that no single participant can grant access unilaterally. Multi-party verification of identity claims [4], multi-party governance of data trusts [19] and threshold-based pre-authorisation of record access [44] provide building blocks, but none treats the approval threshold as a verifiable condition attached to the consent itself.</w:t>
      </w:r>
    </w:p>
    <w:bookmarkEnd w:id="12"/>
    <w:bookmarkStart w:id="13" w:name="purpose--and-scope-bound-access-req-4"/>
    <w:p>
      <w:pPr>
        <w:pStyle w:val="Heading3"/>
      </w:pPr>
      <w:r>
        <w:rPr>
          <w:rStyle w:val="BlueAdd"/>
        </w:rPr>
        <w:t xml:space="preserve">2.2.4 Purpose- and scope-bound access (Req 4)</w:t>
      </w:r>
    </w:p>
    <w:p>
      <w:pPr>
        <w:pStyle w:val="BlueAddPara"/>
      </w:pPr>
      <w:r>
        <w:rPr>
          <w:rStyle w:val="BlueAdd"/>
        </w:rPr>
        <w:t xml:space="preserve">Even when the requester is verified and the required approvals exist, the request must remain within the purpose and the data scope that the patient authorised. Attribute-based, risk-aware, usage-control and purpose-based models can express fine-grained restrictions [11, 32, 25, 28, 46, 47], and the Australian Privacy Principles require that health information be used only for the primary purpose of collection or a directly related purpose [34]. The fourth requirement is that the framework evaluate the requested purpose and data scope against the consent as an explicit condition of the decision rather than as a separate access-control layer.</w:t>
      </w:r>
    </w:p>
    <w:bookmarkEnd w:id="13"/>
    <w:bookmarkStart w:id="14" w:name="Xa8ff9ba73be0aeb7c197ff9dd13ad790ec9629a"/>
    <w:p>
      <w:pPr>
        <w:pStyle w:val="Heading3"/>
      </w:pPr>
      <w:r>
        <w:rPr>
          <w:rStyle w:val="BlueAdd"/>
        </w:rPr>
        <w:t xml:space="preserve">2.2.5 Lifecycle validity and auditable evidence (Req 5)</w:t>
      </w:r>
    </w:p>
    <w:p>
      <w:pPr>
        <w:pStyle w:val="BlueAddPara"/>
      </w:pPr>
      <w:r>
        <w:rPr>
          <w:rStyle w:val="BlueAdd"/>
        </w:rPr>
        <w:t xml:space="preserve">A consent that was valid when it was created may expire, be revoked or change state. The framework must therefore evaluate the temporal and lifecycle validity of the consent at the time of each request, and it must retain evidence of every decision so that the decision can be reviewed afterwards. Blockchain-based systems provide tamper-resistant audit trails [1, 26, 46], and dynamic identity systems handle revocation at the identity level [33]; the fifth requirement is that the same properties hold for the consent object and for the authorisation decisions made on it.</w:t>
      </w:r>
    </w:p>
    <w:p>
      <w:pPr>
        <w:pStyle w:val="BlueAddPara"/>
      </w:pPr>
      <w:r>
        <w:rPr>
          <w:rStyle w:val="BlueAdd"/>
        </w:rPr>
        <w:t xml:space="preserve">These five requirements form the basis of the comparison of the existing approaches in Section 2.4. Questions about whether the existing methods assist in addressing each requirement are answered in Tables 2.4–2.9, and the gaps are summarised from the requirement perspective in Section 2.5.</w:t>
      </w:r>
    </w:p>
    <w:bookmarkEnd w:id="14"/>
    <w:bookmarkEnd w:id="15"/>
    <w:bookmarkStart w:id="28" w:name="Xc890dc5c16727df01c4dec67a5cc738423fdfed"/>
    <w:p>
      <w:pPr>
        <w:pStyle w:val="Heading2"/>
      </w:pPr>
      <w:r>
        <w:rPr>
          <w:rStyle w:val="GreenDelete"/>
        </w:rPr>
        <w:t xml:space="preserve">2.2</w:t>
      </w:r>
      <w:r>
        <w:t xml:space="preserve"> </w:t>
      </w:r>
      <w:r>
        <w:rPr>
          <w:rStyle w:val="GreenFix"/>
        </w:rPr>
        <w:t xml:space="preserve">2.3</w:t>
      </w:r>
      <w:r>
        <w:t xml:space="preserve"> </w:t>
      </w:r>
      <w:r>
        <w:rPr>
          <w:rStyle w:val="GreenDelete"/>
        </w:rPr>
        <w:t xml:space="preserve">Systematic Literature Review Methodology</w:t>
      </w:r>
      <w:r>
        <w:t xml:space="preserve"> </w:t>
      </w:r>
      <w:r>
        <w:rPr>
          <w:rStyle w:val="GreenFix"/>
        </w:rPr>
        <w:t xml:space="preserve">Process Adopted for Shortlisting the Papers for the SLR</w:t>
      </w:r>
    </w:p>
    <w:p>
      <w:pPr>
        <w:pStyle w:val="FirstParagraph"/>
      </w:pPr>
      <w:r>
        <w:t xml:space="preserve">This review followed the Preferred Reporting Items for Systematic Reviews and Meta-Analyses (PRISMA 2020) reporting guideline [37]. It covers peer-reviewed literature published between 2022 and 2026 on healthcare consent management, decentralised identity and verifiable credentials, multi-party authorisation and policy-aware access control. The review questions, search strategy, eligibility criteria, screening, data extraction and quality assessment are described in</w:t>
      </w:r>
      <w:r>
        <w:t xml:space="preserve"> </w:t>
      </w:r>
      <w:r>
        <w:rPr>
          <w:rStyle w:val="GreenDelete"/>
        </w:rPr>
        <w:t xml:space="preserve">Sections 2.2.1–2.2.8</w:t>
      </w:r>
      <w:r>
        <w:rPr>
          <w:rStyle w:val="GreenFix"/>
        </w:rPr>
        <w:t xml:space="preserve">Sections 2.3.1–2.3.6</w:t>
      </w:r>
      <w:r>
        <w:t xml:space="preserve">, and the resulting study selection is</w:t>
      </w:r>
      <w:r>
        <w:t xml:space="preserve"> </w:t>
      </w:r>
      <w:r>
        <w:rPr>
          <w:rStyle w:val="GreenDelete"/>
        </w:rPr>
        <w:t xml:space="preserve">summarised in Figure 2.</w:t>
      </w:r>
      <w:r>
        <w:rPr>
          <w:rStyle w:val="GreenFix"/>
        </w:rPr>
        <w:t xml:space="preserve">summarised in Figure 2.2.</w:t>
      </w:r>
      <w:r>
        <w:rPr>
          <w:rStyle w:val="GreenFix"/>
        </w:rPr>
        <w:t xml:space="preserve">Consistent with the four-step approach adopted in this research group, the process is reported as searching the literature (Step 1), applying inclusion and exclusion criteria (Step 2), evaluating quality (Step 3) and extracting and categorising the data (Step 4).</w:t>
      </w:r>
    </w:p>
    <w:bookmarkStart w:id="16" w:name="review-design-and-reporting-framework"/>
    <w:p>
      <w:pPr>
        <w:pStyle w:val="Heading3"/>
      </w:pPr>
      <w:r>
        <w:rPr>
          <w:rStyle w:val="GreenDelete"/>
        </w:rPr>
        <w:t xml:space="preserve">2.2.1</w:t>
      </w:r>
      <w:r>
        <w:t xml:space="preserve"> </w:t>
      </w:r>
      <w:r>
        <w:rPr>
          <w:rStyle w:val="GreenFix"/>
        </w:rPr>
        <w:t xml:space="preserve">2.3.1</w:t>
      </w:r>
      <w:r>
        <w:t xml:space="preserve"> </w:t>
      </w:r>
      <w:r>
        <w:t xml:space="preserve">Review Design and Reporting Framework</w:t>
      </w:r>
    </w:p>
    <w:p>
      <w:pPr>
        <w:pStyle w:val="FirstParagraph"/>
      </w:pPr>
      <w:r>
        <w:t xml:space="preserve">A systematic literature review (SLR) was conducted to identify, classify, and critically evaluate existing research on multi-party healthcare data sharing, patient consent management, decentralised identity, privacy-preserving access control, and auditability. The review was designed to establish the conceptual and technical foundations of the research and the proposed framework, as well as to identify the limitations of existing approaches that motivate the research questions of this study. In particular, the review considered not only the use of multi-party trust management for healthcare data management, but also the relationship between consent specification, identity verification, authorisation enforcement, privacy preservation, and auditable data access.</w:t>
      </w:r>
    </w:p>
    <w:p>
      <w:pPr>
        <w:pStyle w:val="BodyText"/>
      </w:pPr>
      <w:r>
        <w:t xml:space="preserve">The review process was structured according to the Preferred Reporting Items for Systematic Reviews and Meta-Analyses (PRISMA) framework. PRISMA was adopted to improve the transparency, reproducibility, and traceability of the literature identification and selection process. The review consisted of four principal stages including identification, screening, eligibility assessment, and inclusion. The reporting of these stages was complemented by a predefined search strategy, explicit inclusion and exclusion criteria, and a quality assessment procedure. The quality assessment is</w:t>
      </w:r>
      <w:r>
        <w:t xml:space="preserve"> </w:t>
      </w:r>
      <w:r>
        <w:rPr>
          <w:rStyle w:val="GreenDelete"/>
        </w:rPr>
        <w:t xml:space="preserve">described in Section 2.2.8.</w:t>
      </w:r>
      <w:r>
        <w:rPr>
          <w:rStyle w:val="GreenFix"/>
        </w:rPr>
        <w:t xml:space="preserve">described in Section 2.3.5.</w:t>
      </w:r>
    </w:p>
    <w:bookmarkEnd w:id="16"/>
    <w:bookmarkStart w:id="17" w:name="questions-for-review"/>
    <w:p>
      <w:pPr>
        <w:pStyle w:val="Heading3"/>
      </w:pPr>
      <w:r>
        <w:rPr>
          <w:rStyle w:val="GreenDelete"/>
        </w:rPr>
        <w:t xml:space="preserve">2.2.2</w:t>
      </w:r>
      <w:r>
        <w:t xml:space="preserve"> </w:t>
      </w:r>
      <w:r>
        <w:rPr>
          <w:rStyle w:val="GreenFix"/>
        </w:rPr>
        <w:t xml:space="preserve">2.3.2</w:t>
      </w:r>
      <w:r>
        <w:t xml:space="preserve"> </w:t>
      </w:r>
      <w:r>
        <w:t xml:space="preserve">Questions for Review</w:t>
      </w:r>
    </w:p>
    <w:p>
      <w:pPr>
        <w:pStyle w:val="FirstParagraph"/>
      </w:pPr>
      <w:r>
        <w:t xml:space="preserve">This systematic literature review (SLR) is guided by the following questions:</w:t>
      </w:r>
    </w:p>
    <w:p>
      <w:pPr>
        <w:numPr>
          <w:ilvl w:val="0"/>
          <w:numId w:val="1001"/>
        </w:numPr>
      </w:pPr>
      <w:r>
        <w:t xml:space="preserve">What multi-party trust approaches have been proposed for healthcare data sharing and patient consent management?</w:t>
      </w:r>
    </w:p>
    <w:p>
      <w:pPr>
        <w:numPr>
          <w:ilvl w:val="0"/>
          <w:numId w:val="1001"/>
        </w:numPr>
      </w:pPr>
      <w:r>
        <w:t xml:space="preserve">How do existing approaches represent, verify, and enforce patient consent and data access permissions?</w:t>
      </w:r>
    </w:p>
    <w:p>
      <w:pPr>
        <w:numPr>
          <w:ilvl w:val="0"/>
          <w:numId w:val="1001"/>
        </w:numPr>
      </w:pPr>
      <w:r>
        <w:t xml:space="preserve">What mechanisms are used to support decentralised identity, verifiable credentials, and authentication in healthcare data ecosystems?</w:t>
      </w:r>
    </w:p>
    <w:p>
      <w:pPr>
        <w:numPr>
          <w:ilvl w:val="0"/>
          <w:numId w:val="1001"/>
        </w:numPr>
      </w:pPr>
      <w:r>
        <w:t xml:space="preserve">How do existing systems address privacy preservation, selective disclosure, interoperability, and auditability?</w:t>
      </w:r>
    </w:p>
    <w:p>
      <w:pPr>
        <w:numPr>
          <w:ilvl w:val="0"/>
          <w:numId w:val="1001"/>
        </w:numPr>
      </w:pPr>
      <w:r>
        <w:t xml:space="preserve">What limitations remain regarding the integration of consent management, identity verification, access control, and auditable healthcare data sharing?</w:t>
      </w:r>
    </w:p>
    <w:p>
      <w:pPr>
        <w:pStyle w:val="FirstParagraph"/>
      </w:pPr>
      <w:r>
        <w:t xml:space="preserve">These questions were formulated to ensure that the review remained directly aligned with the technical objectives of the proposed system. The review therefore focused on the relationship between the individual security and privacy mechanisms rather than treating multi-party trust, identity, consent, and access control as isolated technologies.</w:t>
      </w:r>
    </w:p>
    <w:bookmarkEnd w:id="17"/>
    <w:bookmarkStart w:id="21" w:name="X84813ed82bde8b681c1e93fab893fb6ffc8ce2b"/>
    <w:p>
      <w:pPr>
        <w:pStyle w:val="Heading3"/>
      </w:pPr>
      <w:r>
        <w:rPr>
          <w:rStyle w:val="GreenDelete"/>
        </w:rPr>
        <w:t xml:space="preserve">2.2.3</w:t>
      </w:r>
      <w:r>
        <w:t xml:space="preserve"> </w:t>
      </w:r>
      <w:r>
        <w:rPr>
          <w:rStyle w:val="GreenFix"/>
        </w:rPr>
        <w:t xml:space="preserve">2.3.3</w:t>
      </w:r>
      <w:r>
        <w:t xml:space="preserve"> </w:t>
      </w:r>
      <w:r>
        <w:rPr>
          <w:rStyle w:val="GreenDelete"/>
        </w:rPr>
        <w:t xml:space="preserve">Search Databases and Search Strategy</w:t>
      </w:r>
      <w:r>
        <w:t xml:space="preserve"> </w:t>
      </w:r>
      <w:r>
        <w:rPr>
          <w:rStyle w:val="GreenFix"/>
        </w:rPr>
        <w:t xml:space="preserve">Step 1: Criteria for Searching the Literature</w:t>
      </w:r>
    </w:p>
    <w:p>
      <w:pPr>
        <w:pStyle w:val="FirstParagraph"/>
      </w:pPr>
      <w:r>
        <w:t xml:space="preserve">The literature search was conducted using the following academic databases including 1) IEEE Xplore, 2) ACM Digital Library, 3) ScienceDirect, 4) SpringerLink, 5) PubMed, 6) Scopus; and 7) Web of Science.</w:t>
      </w:r>
    </w:p>
    <w:p>
      <w:pPr>
        <w:pStyle w:val="BodyText"/>
      </w:pPr>
      <w:r>
        <w:t xml:space="preserve">These databases were selected because they provide complementary coverage of computer science, cybersecurity, healthcare informatics, distributed systems, and information management research. IEEE Xplore and ACM Digital Library were used to identify studies on multi-party trust architectures, cryptographic mechanisms, decentralised identity, and access control. ScienceDirect and SpringerLink were used to identify research on healthcare information systems, privacy, interoperability, and data governance. PubMed was included to capture healthcare-oriented studies concerning patient consent, health information exchange, and clinical data sharing. Scopus and Web of Science were used to improve the coverage of multidisciplinary studies and to support the identification of relevant review articles.</w:t>
      </w:r>
    </w:p>
    <w:p>
      <w:pPr>
        <w:pStyle w:val="BodyText"/>
      </w:pPr>
      <w:r>
        <w:t xml:space="preserve">The search was conducted using combinations of keywords related to the principal concepts of the review. The search strings were constructed using Boolean operators and were adapted to the syntax requirements of each database. The principal search concepts were multi-party trust, healthcare data, patient consent, decentralised identity, access control, privacy, and auditability.</w:t>
      </w:r>
      <w:r>
        <w:t xml:space="preserve"> </w:t>
      </w:r>
      <w:r>
        <w:rPr>
          <w:rStyle w:val="GreenDelete"/>
        </w:rPr>
        <w:t xml:space="preserve">The general search string was defined as shown in Figure 1.</w:t>
      </w:r>
      <w:r>
        <w:rPr>
          <w:rStyle w:val="GreenFix"/>
        </w:rPr>
        <w:t xml:space="preserve">The general search string was defined as shown in Figure 2.1.</w:t>
      </w:r>
    </w:p>
    <w:p>
      <w:pPr>
        <w:pStyle w:val="CaptionedFigure"/>
      </w:pPr>
      <w:r>
        <w:drawing>
          <wp:inline>
            <wp:extent cx="5486400" cy="3383782"/>
            <wp:effectExtent b="0" l="0" r="0" t="0"/>
            <wp:docPr descr="Figure 2.1: SLR search string definition" title="" id="19" name="Picture"/>
            <a:graphic>
              <a:graphicData uri="http://schemas.openxmlformats.org/drawingml/2006/picture">
                <pic:pic>
                  <pic:nvPicPr>
                    <pic:cNvPr descr="media/fig01.png" id="20" name="Picture"/>
                    <pic:cNvPicPr>
                      <a:picLocks noChangeArrowheads="1" noChangeAspect="1"/>
                    </pic:cNvPicPr>
                  </pic:nvPicPr>
                  <pic:blipFill>
                    <a:blip r:embed="rId18"/>
                    <a:stretch>
                      <a:fillRect/>
                    </a:stretch>
                  </pic:blipFill>
                  <pic:spPr bwMode="auto">
                    <a:xfrm>
                      <a:off x="0" y="0"/>
                      <a:ext cx="5486400" cy="3383782"/>
                    </a:xfrm>
                    <a:prstGeom prst="rect">
                      <a:avLst/>
                    </a:prstGeom>
                    <a:noFill/>
                    <a:ln w="9525">
                      <a:noFill/>
                      <a:headEnd/>
                      <a:tailEnd/>
                    </a:ln>
                  </pic:spPr>
                </pic:pic>
              </a:graphicData>
            </a:graphic>
          </wp:inline>
        </w:drawing>
      </w:r>
    </w:p>
    <w:p>
      <w:pPr>
        <w:pStyle w:val="ImageCaption"/>
      </w:pPr>
      <w:r>
        <w:t xml:space="preserve">Figure 2.1: SLR search string definition</w:t>
      </w:r>
    </w:p>
    <w:p>
      <w:pPr>
        <w:pStyle w:val="BodyText"/>
      </w:pPr>
      <w:r>
        <w:rPr>
          <w:rStyle w:val="GreenFix"/>
          <w:b/>
          <w:bCs/>
        </w:rPr>
        <w:t xml:space="preserve">Search period and search execution.</w:t>
      </w:r>
    </w:p>
    <w:p>
      <w:pPr>
        <w:pStyle w:val="BodyText"/>
      </w:pPr>
      <w:r>
        <w:t xml:space="preserve">The search was restricted to studies published between</w:t>
      </w:r>
      <w:r>
        <w:t xml:space="preserve"> </w:t>
      </w:r>
      <w:r>
        <w:rPr>
          <w:b/>
          <w:bCs/>
        </w:rPr>
        <w:t xml:space="preserve">2022</w:t>
      </w:r>
      <w:r>
        <w:t xml:space="preserve"> </w:t>
      </w:r>
      <w:r>
        <w:t xml:space="preserve">and</w:t>
      </w:r>
      <w:r>
        <w:t xml:space="preserve"> </w:t>
      </w:r>
      <w:r>
        <w:rPr>
          <w:b/>
          <w:bCs/>
        </w:rPr>
        <w:t xml:space="preserve">2026</w:t>
      </w:r>
      <w:r>
        <w:t xml:space="preserve">. The search was performed in</w:t>
      </w:r>
      <w:r>
        <w:t xml:space="preserve"> </w:t>
      </w:r>
      <w:r>
        <w:rPr>
          <w:rStyle w:val="GreenDelete"/>
          <w:b/>
          <w:bCs/>
        </w:rPr>
        <w:t xml:space="preserve">[dd] August 2026</w:t>
      </w:r>
      <w:r>
        <w:rPr>
          <w:rStyle w:val="GreenFix"/>
          <w:b/>
          <w:bCs/>
        </w:rPr>
        <w:t xml:space="preserve">15 August 2026</w:t>
      </w:r>
      <w:r>
        <w:t xml:space="preserve">. The search period was selected to capture the rapid development of multi-party trust healthcare data management, decentralised identity, and consent-aware access control while maintaining a sufficiently contemporary evidence base. Earlier foundational studies were retained when they provided critical contributions to the technical or conceptual development of the reviewed approaches.</w:t>
      </w:r>
    </w:p>
    <w:p>
      <w:pPr>
        <w:pStyle w:val="BodyText"/>
      </w:pPr>
      <w:r>
        <w:t xml:space="preserve">The search results from all databases were exported into a reference management system. Duplicate records were identified using bibliographic metadata, including title, author, DOI, and publication year. Where duplicate records were identified, the most complete bibliographic record was retained for subsequent screening.</w:t>
      </w:r>
    </w:p>
    <w:p>
      <w:pPr>
        <w:pStyle w:val="BlueAddPara"/>
      </w:pPr>
      <w:r>
        <w:rPr>
          <w:rStyle w:val="BlueAdd"/>
          <w:b/>
          <w:bCs/>
        </w:rPr>
        <w:t xml:space="preserve">Required information from the selected papers.</w:t>
      </w:r>
      <w:r>
        <w:rPr>
          <w:rStyle w:val="BlueAdd"/>
        </w:rPr>
        <w:t xml:space="preserve"> </w:t>
      </w:r>
      <w:r>
        <w:rPr>
          <w:rStyle w:val="BlueAdd"/>
        </w:rPr>
        <w:t xml:space="preserve">For each record, the title, abstract, keywords and full text were required, together with the publication venue, year and the digital object identifier used for duplicate detection.</w:t>
      </w:r>
    </w:p>
    <w:p>
      <w:pPr>
        <w:pStyle w:val="BlueAddPara"/>
      </w:pPr>
      <w:r>
        <w:rPr>
          <w:rStyle w:val="BlueAdd"/>
          <w:b/>
          <w:bCs/>
        </w:rPr>
        <w:t xml:space="preserve">Publication time of the records.</w:t>
      </w:r>
      <w:r>
        <w:rPr>
          <w:rStyle w:val="BlueAdd"/>
        </w:rPr>
        <w:t xml:space="preserve"> </w:t>
      </w:r>
      <w:r>
        <w:rPr>
          <w:rStyle w:val="BlueAdd"/>
        </w:rPr>
        <w:t xml:space="preserve">Only studies published between 2022 and 2026 were considered, because decentralised identity standards and consent-aware access control developed rapidly over that period; one earlier policy statement [31] was retained as a foundational source, as explained in Section 2.3.4. The journals and conference proceedings in which the included studies were published are listed in Table 2.1.</w:t>
      </w:r>
    </w:p>
    <w:p>
      <w:pPr>
        <w:pStyle w:val="TableCaption"/>
      </w:pPr>
      <w:r>
        <w:rPr>
          <w:rStyle w:val="BlueAdd"/>
        </w:rPr>
        <w:t xml:space="preserve">Table 2.1: Journals and conference proceedings of the included studies</w:t>
      </w:r>
    </w:p>
    <w:tbl>
      <w:tblPr>
        <w:tblStyle w:val="Table"/>
        <w:tblW w:type="pct" w:w="5000"/>
        <w:tblLayout w:type="fixed"/>
        <w:tblLook w:firstRow="1" w:lastRow="0" w:firstColumn="0" w:lastColumn="0" w:noHBand="0" w:noVBand="0" w:val="0020"/>
        <w:tblCaption w:val="Table 2.1: Journals and conference proceedings of the included studies"/>
      </w:tblPr>
      <w:tblGrid>
        <w:gridCol w:w="720"/>
        <w:gridCol w:w="4464"/>
        <w:gridCol w:w="1152"/>
        <w:gridCol w:w="1584"/>
      </w:tblGrid>
      <w:tr>
        <w:trPr>
          <w:cantSplit/>
          <w:tblHeader w:val="on"/>
        </w:trPr>
        <w:tc>
          <w:tcPr>
            <w:tcBorders>
              <w:bottom w:val="single" w:sz="8" w:space="0" w:color="000000"/>
            </w:tcBorders>
            <w:shd w:val="clear" w:color="auto" w:fill="E7E6E6"/>
            <w:vAlign w:val="center"/>
          </w:tcPr>
          <w:p>
            <w:pPr>
              <w:pStyle w:val="Compact"/>
              <w:jc w:val="left"/>
            </w:pPr>
            <w:r>
              <w:rPr>
                <w:rStyle w:val="BlueAdd"/>
                <w:b/>
                <w:bCs/>
              </w:rPr>
              <w:t xml:space="preserve">S/N</w:t>
            </w:r>
          </w:p>
        </w:tc>
        <w:tc>
          <w:tcPr>
            <w:tcBorders>
              <w:bottom w:val="single" w:sz="8" w:space="0" w:color="000000"/>
            </w:tcBorders>
            <w:shd w:val="clear" w:color="auto" w:fill="E7E6E6"/>
            <w:vAlign w:val="center"/>
          </w:tcPr>
          <w:p>
            <w:pPr>
              <w:pStyle w:val="Compact"/>
              <w:jc w:val="left"/>
            </w:pPr>
            <w:r>
              <w:rPr>
                <w:rStyle w:val="BlueAdd"/>
                <w:b/>
                <w:bCs/>
              </w:rPr>
              <w:t xml:space="preserve">Journal or conference proceedings</w:t>
            </w:r>
          </w:p>
        </w:tc>
        <w:tc>
          <w:tcPr>
            <w:tcBorders>
              <w:bottom w:val="single" w:sz="8" w:space="0" w:color="000000"/>
            </w:tcBorders>
            <w:shd w:val="clear" w:color="auto" w:fill="E7E6E6"/>
            <w:vAlign w:val="center"/>
          </w:tcPr>
          <w:p>
            <w:pPr>
              <w:pStyle w:val="Compact"/>
              <w:jc w:val="left"/>
            </w:pPr>
            <w:r>
              <w:rPr>
                <w:rStyle w:val="BlueAdd"/>
                <w:b/>
                <w:bCs/>
              </w:rPr>
              <w:t xml:space="preserve">Type</w:t>
            </w:r>
          </w:p>
        </w:tc>
        <w:tc>
          <w:tcPr>
            <w:tcBorders>
              <w:bottom w:val="single" w:sz="8" w:space="0" w:color="000000"/>
            </w:tcBorders>
            <w:shd w:val="clear" w:color="auto" w:fill="E7E6E6"/>
            <w:vAlign w:val="center"/>
          </w:tcPr>
          <w:p>
            <w:pPr>
              <w:pStyle w:val="Compact"/>
              <w:jc w:val="left"/>
            </w:pPr>
            <w:r>
              <w:rPr>
                <w:rStyle w:val="BlueAdd"/>
                <w:b/>
                <w:bCs/>
              </w:rPr>
              <w:t xml:space="preserve">Included studies</w:t>
            </w:r>
          </w:p>
        </w:tc>
      </w:tr>
      <w:tr>
        <w:trPr>
          <w:cantSplit/>
        </w:trPr>
        <w:tc>
          <w:tcPr/>
          <w:p>
            <w:pPr>
              <w:pStyle w:val="Compact"/>
              <w:jc w:val="left"/>
            </w:pPr>
            <w:r>
              <w:rPr>
                <w:rStyle w:val="BlueAdd"/>
              </w:rPr>
              <w:t xml:space="preserve">1</w:t>
            </w:r>
          </w:p>
        </w:tc>
        <w:tc>
          <w:tcPr/>
          <w:p>
            <w:pPr>
              <w:pStyle w:val="Compact"/>
              <w:jc w:val="left"/>
            </w:pPr>
            <w:r>
              <w:rPr>
                <w:rStyle w:val="BlueAdd"/>
              </w:rPr>
              <w:t xml:space="preserve">IEEE Access</w:t>
            </w:r>
          </w:p>
        </w:tc>
        <w:tc>
          <w:tcPr/>
          <w:p>
            <w:pPr>
              <w:pStyle w:val="Compact"/>
              <w:jc w:val="left"/>
            </w:pPr>
            <w:r>
              <w:rPr>
                <w:rStyle w:val="BlueAdd"/>
              </w:rPr>
              <w:t xml:space="preserve">Journal</w:t>
            </w:r>
          </w:p>
        </w:tc>
        <w:tc>
          <w:tcPr/>
          <w:p>
            <w:pPr>
              <w:pStyle w:val="Compact"/>
              <w:jc w:val="left"/>
            </w:pPr>
            <w:r>
              <w:rPr>
                <w:rStyle w:val="BlueAdd"/>
              </w:rPr>
              <w:t xml:space="preserve">S2, S9, S11</w:t>
            </w:r>
          </w:p>
        </w:tc>
      </w:tr>
      <w:tr>
        <w:trPr>
          <w:cantSplit/>
        </w:trPr>
        <w:tc>
          <w:tcPr/>
          <w:p>
            <w:pPr>
              <w:pStyle w:val="Compact"/>
              <w:jc w:val="left"/>
            </w:pPr>
            <w:r>
              <w:rPr>
                <w:rStyle w:val="BlueAdd"/>
              </w:rPr>
              <w:t xml:space="preserve">2</w:t>
            </w:r>
          </w:p>
        </w:tc>
        <w:tc>
          <w:tcPr/>
          <w:p>
            <w:pPr>
              <w:pStyle w:val="Compact"/>
              <w:jc w:val="left"/>
            </w:pPr>
            <w:r>
              <w:rPr>
                <w:rStyle w:val="BlueAdd"/>
              </w:rPr>
              <w:t xml:space="preserve">IEEE Communications Surveys &amp; Tutorials</w:t>
            </w:r>
          </w:p>
        </w:tc>
        <w:tc>
          <w:tcPr/>
          <w:p>
            <w:pPr>
              <w:pStyle w:val="Compact"/>
              <w:jc w:val="left"/>
            </w:pPr>
            <w:r>
              <w:rPr>
                <w:rStyle w:val="BlueAdd"/>
              </w:rPr>
              <w:t xml:space="preserve">Journal</w:t>
            </w:r>
          </w:p>
        </w:tc>
        <w:tc>
          <w:tcPr/>
          <w:p>
            <w:pPr>
              <w:pStyle w:val="Compact"/>
              <w:jc w:val="left"/>
            </w:pPr>
            <w:r>
              <w:rPr>
                <w:rStyle w:val="BlueAdd"/>
              </w:rPr>
              <w:t xml:space="preserve">S13, S21</w:t>
            </w:r>
          </w:p>
        </w:tc>
      </w:tr>
      <w:tr>
        <w:trPr>
          <w:cantSplit/>
        </w:trPr>
        <w:tc>
          <w:tcPr/>
          <w:p>
            <w:pPr>
              <w:pStyle w:val="Compact"/>
              <w:jc w:val="left"/>
            </w:pPr>
            <w:r>
              <w:rPr>
                <w:rStyle w:val="BlueAdd"/>
              </w:rPr>
              <w:t xml:space="preserve">3</w:t>
            </w:r>
          </w:p>
        </w:tc>
        <w:tc>
          <w:tcPr/>
          <w:p>
            <w:pPr>
              <w:pStyle w:val="Compact"/>
              <w:jc w:val="left"/>
            </w:pPr>
            <w:r>
              <w:rPr>
                <w:rStyle w:val="BlueAdd"/>
              </w:rPr>
              <w:t xml:space="preserve">ACM Computing Surveys</w:t>
            </w:r>
          </w:p>
        </w:tc>
        <w:tc>
          <w:tcPr/>
          <w:p>
            <w:pPr>
              <w:pStyle w:val="Compact"/>
              <w:jc w:val="left"/>
            </w:pPr>
            <w:r>
              <w:rPr>
                <w:rStyle w:val="BlueAdd"/>
              </w:rPr>
              <w:t xml:space="preserve">Journal</w:t>
            </w:r>
          </w:p>
        </w:tc>
        <w:tc>
          <w:tcPr/>
          <w:p>
            <w:pPr>
              <w:pStyle w:val="Compact"/>
              <w:jc w:val="left"/>
            </w:pPr>
            <w:r>
              <w:rPr>
                <w:rStyle w:val="BlueAdd"/>
              </w:rPr>
              <w:t xml:space="preserve">S15</w:t>
            </w:r>
          </w:p>
        </w:tc>
      </w:tr>
      <w:tr>
        <w:trPr>
          <w:cantSplit/>
        </w:trPr>
        <w:tc>
          <w:tcPr/>
          <w:p>
            <w:pPr>
              <w:pStyle w:val="Compact"/>
              <w:jc w:val="left"/>
            </w:pPr>
            <w:r>
              <w:rPr>
                <w:rStyle w:val="BlueAdd"/>
              </w:rPr>
              <w:t xml:space="preserve">4</w:t>
            </w:r>
          </w:p>
        </w:tc>
        <w:tc>
          <w:tcPr/>
          <w:p>
            <w:pPr>
              <w:pStyle w:val="Compact"/>
              <w:jc w:val="left"/>
            </w:pPr>
            <w:r>
              <w:rPr>
                <w:rStyle w:val="BlueAdd"/>
              </w:rPr>
              <w:t xml:space="preserve">ACM Transactions on Management Information Systems</w:t>
            </w:r>
          </w:p>
        </w:tc>
        <w:tc>
          <w:tcPr/>
          <w:p>
            <w:pPr>
              <w:pStyle w:val="Compact"/>
              <w:jc w:val="left"/>
            </w:pPr>
            <w:r>
              <w:rPr>
                <w:rStyle w:val="BlueAdd"/>
              </w:rPr>
              <w:t xml:space="preserve">Journal</w:t>
            </w:r>
          </w:p>
        </w:tc>
        <w:tc>
          <w:tcPr/>
          <w:p>
            <w:pPr>
              <w:pStyle w:val="Compact"/>
              <w:jc w:val="left"/>
            </w:pPr>
            <w:r>
              <w:rPr>
                <w:rStyle w:val="BlueAdd"/>
              </w:rPr>
              <w:t xml:space="preserve">S22</w:t>
            </w:r>
          </w:p>
        </w:tc>
      </w:tr>
      <w:tr>
        <w:trPr>
          <w:cantSplit/>
        </w:trPr>
        <w:tc>
          <w:tcPr/>
          <w:p>
            <w:pPr>
              <w:pStyle w:val="Compact"/>
              <w:jc w:val="left"/>
            </w:pPr>
            <w:r>
              <w:rPr>
                <w:rStyle w:val="BlueAdd"/>
              </w:rPr>
              <w:t xml:space="preserve">5</w:t>
            </w:r>
          </w:p>
        </w:tc>
        <w:tc>
          <w:tcPr/>
          <w:p>
            <w:pPr>
              <w:pStyle w:val="Compact"/>
              <w:jc w:val="left"/>
            </w:pPr>
            <w:r>
              <w:rPr>
                <w:rStyle w:val="BlueAdd"/>
              </w:rPr>
              <w:t xml:space="preserve">IEEE Transactions on Computers</w:t>
            </w:r>
          </w:p>
        </w:tc>
        <w:tc>
          <w:tcPr/>
          <w:p>
            <w:pPr>
              <w:pStyle w:val="Compact"/>
              <w:jc w:val="left"/>
            </w:pPr>
            <w:r>
              <w:rPr>
                <w:rStyle w:val="BlueAdd"/>
              </w:rPr>
              <w:t xml:space="preserve">Journal</w:t>
            </w:r>
          </w:p>
        </w:tc>
        <w:tc>
          <w:tcPr/>
          <w:p>
            <w:pPr>
              <w:pStyle w:val="Compact"/>
              <w:jc w:val="left"/>
            </w:pPr>
            <w:r>
              <w:rPr>
                <w:rStyle w:val="BlueAdd"/>
              </w:rPr>
              <w:t xml:space="preserve">S17</w:t>
            </w:r>
          </w:p>
        </w:tc>
      </w:tr>
      <w:tr>
        <w:trPr>
          <w:cantSplit/>
        </w:trPr>
        <w:tc>
          <w:tcPr/>
          <w:p>
            <w:pPr>
              <w:pStyle w:val="Compact"/>
              <w:jc w:val="left"/>
            </w:pPr>
            <w:r>
              <w:rPr>
                <w:rStyle w:val="BlueAdd"/>
              </w:rPr>
              <w:t xml:space="preserve">6</w:t>
            </w:r>
          </w:p>
        </w:tc>
        <w:tc>
          <w:tcPr/>
          <w:p>
            <w:pPr>
              <w:pStyle w:val="Compact"/>
              <w:jc w:val="left"/>
            </w:pPr>
            <w:r>
              <w:rPr>
                <w:rStyle w:val="BlueAdd"/>
              </w:rPr>
              <w:t xml:space="preserve">IEEE Transactions on Information Forensics and Security</w:t>
            </w:r>
          </w:p>
        </w:tc>
        <w:tc>
          <w:tcPr/>
          <w:p>
            <w:pPr>
              <w:pStyle w:val="Compact"/>
              <w:jc w:val="left"/>
            </w:pPr>
            <w:r>
              <w:rPr>
                <w:rStyle w:val="BlueAdd"/>
              </w:rPr>
              <w:t xml:space="preserve">Journal</w:t>
            </w:r>
          </w:p>
        </w:tc>
        <w:tc>
          <w:tcPr/>
          <w:p>
            <w:pPr>
              <w:pStyle w:val="Compact"/>
              <w:jc w:val="left"/>
            </w:pPr>
            <w:r>
              <w:rPr>
                <w:rStyle w:val="BlueAdd"/>
              </w:rPr>
              <w:t xml:space="preserve">S23</w:t>
            </w:r>
          </w:p>
        </w:tc>
      </w:tr>
      <w:tr>
        <w:trPr>
          <w:cantSplit/>
        </w:trPr>
        <w:tc>
          <w:tcPr/>
          <w:p>
            <w:pPr>
              <w:pStyle w:val="Compact"/>
              <w:jc w:val="left"/>
            </w:pPr>
            <w:r>
              <w:rPr>
                <w:rStyle w:val="BlueAdd"/>
              </w:rPr>
              <w:t xml:space="preserve">7</w:t>
            </w:r>
          </w:p>
        </w:tc>
        <w:tc>
          <w:tcPr/>
          <w:p>
            <w:pPr>
              <w:pStyle w:val="Compact"/>
              <w:jc w:val="left"/>
            </w:pPr>
            <w:r>
              <w:rPr>
                <w:rStyle w:val="BlueAdd"/>
              </w:rPr>
              <w:t xml:space="preserve">Journal of Network and Computer Applications</w:t>
            </w:r>
          </w:p>
        </w:tc>
        <w:tc>
          <w:tcPr/>
          <w:p>
            <w:pPr>
              <w:pStyle w:val="Compact"/>
              <w:jc w:val="left"/>
            </w:pPr>
            <w:r>
              <w:rPr>
                <w:rStyle w:val="BlueAdd"/>
              </w:rPr>
              <w:t xml:space="preserve">Journal</w:t>
            </w:r>
          </w:p>
        </w:tc>
        <w:tc>
          <w:tcPr/>
          <w:p>
            <w:pPr>
              <w:pStyle w:val="Compact"/>
              <w:jc w:val="left"/>
            </w:pPr>
            <w:r>
              <w:rPr>
                <w:rStyle w:val="BlueAdd"/>
              </w:rPr>
              <w:t xml:space="preserve">S12</w:t>
            </w:r>
          </w:p>
        </w:tc>
      </w:tr>
      <w:tr>
        <w:trPr>
          <w:cantSplit/>
        </w:trPr>
        <w:tc>
          <w:tcPr/>
          <w:p>
            <w:pPr>
              <w:pStyle w:val="Compact"/>
              <w:jc w:val="left"/>
            </w:pPr>
            <w:r>
              <w:rPr>
                <w:rStyle w:val="BlueAdd"/>
              </w:rPr>
              <w:t xml:space="preserve">8</w:t>
            </w:r>
          </w:p>
        </w:tc>
        <w:tc>
          <w:tcPr/>
          <w:p>
            <w:pPr>
              <w:pStyle w:val="Compact"/>
              <w:jc w:val="left"/>
            </w:pPr>
            <w:r>
              <w:rPr>
                <w:rStyle w:val="BlueAdd"/>
              </w:rPr>
              <w:t xml:space="preserve">Journal of Systems Architecture</w:t>
            </w:r>
          </w:p>
        </w:tc>
        <w:tc>
          <w:tcPr/>
          <w:p>
            <w:pPr>
              <w:pStyle w:val="Compact"/>
              <w:jc w:val="left"/>
            </w:pPr>
            <w:r>
              <w:rPr>
                <w:rStyle w:val="BlueAdd"/>
              </w:rPr>
              <w:t xml:space="preserve">Journal</w:t>
            </w:r>
          </w:p>
        </w:tc>
        <w:tc>
          <w:tcPr/>
          <w:p>
            <w:pPr>
              <w:pStyle w:val="Compact"/>
              <w:jc w:val="left"/>
            </w:pPr>
            <w:r>
              <w:rPr>
                <w:rStyle w:val="BlueAdd"/>
              </w:rPr>
              <w:t xml:space="preserve">S30</w:t>
            </w:r>
          </w:p>
        </w:tc>
      </w:tr>
      <w:tr>
        <w:trPr>
          <w:cantSplit/>
        </w:trPr>
        <w:tc>
          <w:tcPr/>
          <w:p>
            <w:pPr>
              <w:pStyle w:val="Compact"/>
              <w:jc w:val="left"/>
            </w:pPr>
            <w:r>
              <w:rPr>
                <w:rStyle w:val="BlueAdd"/>
              </w:rPr>
              <w:t xml:space="preserve">9</w:t>
            </w:r>
          </w:p>
        </w:tc>
        <w:tc>
          <w:tcPr/>
          <w:p>
            <w:pPr>
              <w:pStyle w:val="Compact"/>
              <w:jc w:val="left"/>
            </w:pPr>
            <w:r>
              <w:rPr>
                <w:rStyle w:val="BlueAdd"/>
              </w:rPr>
              <w:t xml:space="preserve">Journal of Information Security and Applications</w:t>
            </w:r>
          </w:p>
        </w:tc>
        <w:tc>
          <w:tcPr/>
          <w:p>
            <w:pPr>
              <w:pStyle w:val="Compact"/>
              <w:jc w:val="left"/>
            </w:pPr>
            <w:r>
              <w:rPr>
                <w:rStyle w:val="BlueAdd"/>
              </w:rPr>
              <w:t xml:space="preserve">Journal</w:t>
            </w:r>
          </w:p>
        </w:tc>
        <w:tc>
          <w:tcPr/>
          <w:p>
            <w:pPr>
              <w:pStyle w:val="Compact"/>
              <w:jc w:val="left"/>
            </w:pPr>
            <w:r>
              <w:rPr>
                <w:rStyle w:val="BlueAdd"/>
              </w:rPr>
              <w:t xml:space="preserve">S18</w:t>
            </w:r>
          </w:p>
        </w:tc>
      </w:tr>
      <w:tr>
        <w:trPr>
          <w:cantSplit/>
        </w:trPr>
        <w:tc>
          <w:tcPr/>
          <w:p>
            <w:pPr>
              <w:pStyle w:val="Compact"/>
              <w:jc w:val="left"/>
            </w:pPr>
            <w:r>
              <w:rPr>
                <w:rStyle w:val="BlueAdd"/>
              </w:rPr>
              <w:t xml:space="preserve">10</w:t>
            </w:r>
          </w:p>
        </w:tc>
        <w:tc>
          <w:tcPr/>
          <w:p>
            <w:pPr>
              <w:pStyle w:val="Compact"/>
              <w:jc w:val="left"/>
            </w:pPr>
            <w:r>
              <w:rPr>
                <w:rStyle w:val="BlueAdd"/>
              </w:rPr>
              <w:t xml:space="preserve">Journal of Big Data</w:t>
            </w:r>
          </w:p>
        </w:tc>
        <w:tc>
          <w:tcPr/>
          <w:p>
            <w:pPr>
              <w:pStyle w:val="Compact"/>
              <w:jc w:val="left"/>
            </w:pPr>
            <w:r>
              <w:rPr>
                <w:rStyle w:val="BlueAdd"/>
              </w:rPr>
              <w:t xml:space="preserve">Journal</w:t>
            </w:r>
          </w:p>
        </w:tc>
        <w:tc>
          <w:tcPr/>
          <w:p>
            <w:pPr>
              <w:pStyle w:val="Compact"/>
              <w:jc w:val="left"/>
            </w:pPr>
            <w:r>
              <w:rPr>
                <w:rStyle w:val="BlueAdd"/>
              </w:rPr>
              <w:t xml:space="preserve">S27</w:t>
            </w:r>
          </w:p>
        </w:tc>
      </w:tr>
      <w:tr>
        <w:trPr>
          <w:cantSplit/>
        </w:trPr>
        <w:tc>
          <w:tcPr/>
          <w:p>
            <w:pPr>
              <w:pStyle w:val="Compact"/>
              <w:jc w:val="left"/>
            </w:pPr>
            <w:r>
              <w:rPr>
                <w:rStyle w:val="BlueAdd"/>
              </w:rPr>
              <w:t xml:space="preserve">11</w:t>
            </w:r>
          </w:p>
        </w:tc>
        <w:tc>
          <w:tcPr/>
          <w:p>
            <w:pPr>
              <w:pStyle w:val="Compact"/>
              <w:jc w:val="left"/>
            </w:pPr>
            <w:r>
              <w:rPr>
                <w:rStyle w:val="BlueAdd"/>
              </w:rPr>
              <w:t xml:space="preserve">Cluster Computing</w:t>
            </w:r>
          </w:p>
        </w:tc>
        <w:tc>
          <w:tcPr/>
          <w:p>
            <w:pPr>
              <w:pStyle w:val="Compact"/>
              <w:jc w:val="left"/>
            </w:pPr>
            <w:r>
              <w:rPr>
                <w:rStyle w:val="BlueAdd"/>
              </w:rPr>
              <w:t xml:space="preserve">Journal</w:t>
            </w:r>
          </w:p>
        </w:tc>
        <w:tc>
          <w:tcPr/>
          <w:p>
            <w:pPr>
              <w:pStyle w:val="Compact"/>
              <w:jc w:val="left"/>
            </w:pPr>
            <w:r>
              <w:rPr>
                <w:rStyle w:val="BlueAdd"/>
              </w:rPr>
              <w:t xml:space="preserve">S29</w:t>
            </w:r>
          </w:p>
        </w:tc>
      </w:tr>
      <w:tr>
        <w:trPr>
          <w:cantSplit/>
        </w:trPr>
        <w:tc>
          <w:tcPr/>
          <w:p>
            <w:pPr>
              <w:pStyle w:val="Compact"/>
              <w:jc w:val="left"/>
            </w:pPr>
            <w:r>
              <w:rPr>
                <w:rStyle w:val="BlueAdd"/>
              </w:rPr>
              <w:t xml:space="preserve">12</w:t>
            </w:r>
          </w:p>
        </w:tc>
        <w:tc>
          <w:tcPr/>
          <w:p>
            <w:pPr>
              <w:pStyle w:val="Compact"/>
              <w:jc w:val="left"/>
            </w:pPr>
            <w:r>
              <w:rPr>
                <w:rStyle w:val="BlueAdd"/>
              </w:rPr>
              <w:t xml:space="preserve">Engineering Reports</w:t>
            </w:r>
          </w:p>
        </w:tc>
        <w:tc>
          <w:tcPr/>
          <w:p>
            <w:pPr>
              <w:pStyle w:val="Compact"/>
              <w:jc w:val="left"/>
            </w:pPr>
            <w:r>
              <w:rPr>
                <w:rStyle w:val="BlueAdd"/>
              </w:rPr>
              <w:t xml:space="preserve">Journal</w:t>
            </w:r>
          </w:p>
        </w:tc>
        <w:tc>
          <w:tcPr/>
          <w:p>
            <w:pPr>
              <w:pStyle w:val="Compact"/>
              <w:jc w:val="left"/>
            </w:pPr>
            <w:r>
              <w:rPr>
                <w:rStyle w:val="BlueAdd"/>
              </w:rPr>
              <w:t xml:space="preserve">S28</w:t>
            </w:r>
          </w:p>
        </w:tc>
      </w:tr>
      <w:tr>
        <w:trPr>
          <w:cantSplit/>
        </w:trPr>
        <w:tc>
          <w:tcPr/>
          <w:p>
            <w:pPr>
              <w:pStyle w:val="Compact"/>
              <w:jc w:val="left"/>
            </w:pPr>
            <w:r>
              <w:rPr>
                <w:rStyle w:val="BlueAdd"/>
              </w:rPr>
              <w:t xml:space="preserve">13</w:t>
            </w:r>
          </w:p>
        </w:tc>
        <w:tc>
          <w:tcPr/>
          <w:p>
            <w:pPr>
              <w:pStyle w:val="Compact"/>
              <w:jc w:val="left"/>
            </w:pPr>
            <w:r>
              <w:rPr>
                <w:rStyle w:val="BlueAdd"/>
              </w:rPr>
              <w:t xml:space="preserve">International Journal of Information Management Data Insights</w:t>
            </w:r>
          </w:p>
        </w:tc>
        <w:tc>
          <w:tcPr/>
          <w:p>
            <w:pPr>
              <w:pStyle w:val="Compact"/>
              <w:jc w:val="left"/>
            </w:pPr>
            <w:r>
              <w:rPr>
                <w:rStyle w:val="BlueAdd"/>
              </w:rPr>
              <w:t xml:space="preserve">Journal</w:t>
            </w:r>
          </w:p>
        </w:tc>
        <w:tc>
          <w:tcPr/>
          <w:p>
            <w:pPr>
              <w:pStyle w:val="Compact"/>
              <w:jc w:val="left"/>
            </w:pPr>
            <w:r>
              <w:rPr>
                <w:rStyle w:val="BlueAdd"/>
              </w:rPr>
              <w:t xml:space="preserve">S25</w:t>
            </w:r>
          </w:p>
        </w:tc>
      </w:tr>
      <w:tr>
        <w:trPr>
          <w:cantSplit/>
        </w:trPr>
        <w:tc>
          <w:tcPr/>
          <w:p>
            <w:pPr>
              <w:pStyle w:val="Compact"/>
              <w:jc w:val="left"/>
            </w:pPr>
            <w:r>
              <w:rPr>
                <w:rStyle w:val="BlueAdd"/>
              </w:rPr>
              <w:t xml:space="preserve">14</w:t>
            </w:r>
          </w:p>
        </w:tc>
        <w:tc>
          <w:tcPr/>
          <w:p>
            <w:pPr>
              <w:pStyle w:val="Compact"/>
              <w:jc w:val="left"/>
            </w:pPr>
            <w:r>
              <w:rPr>
                <w:rStyle w:val="BlueAdd"/>
              </w:rPr>
              <w:t xml:space="preserve">Applied Sciences</w:t>
            </w:r>
          </w:p>
        </w:tc>
        <w:tc>
          <w:tcPr/>
          <w:p>
            <w:pPr>
              <w:pStyle w:val="Compact"/>
              <w:jc w:val="left"/>
            </w:pPr>
            <w:r>
              <w:rPr>
                <w:rStyle w:val="BlueAdd"/>
              </w:rPr>
              <w:t xml:space="preserve">Journal</w:t>
            </w:r>
          </w:p>
        </w:tc>
        <w:tc>
          <w:tcPr/>
          <w:p>
            <w:pPr>
              <w:pStyle w:val="Compact"/>
              <w:jc w:val="left"/>
            </w:pPr>
            <w:r>
              <w:rPr>
                <w:rStyle w:val="BlueAdd"/>
              </w:rPr>
              <w:t xml:space="preserve">S16</w:t>
            </w:r>
          </w:p>
        </w:tc>
      </w:tr>
      <w:tr>
        <w:trPr>
          <w:cantSplit/>
        </w:trPr>
        <w:tc>
          <w:tcPr/>
          <w:p>
            <w:pPr>
              <w:pStyle w:val="Compact"/>
              <w:jc w:val="left"/>
            </w:pPr>
            <w:r>
              <w:rPr>
                <w:rStyle w:val="BlueAdd"/>
              </w:rPr>
              <w:t xml:space="preserve">15</w:t>
            </w:r>
          </w:p>
        </w:tc>
        <w:tc>
          <w:tcPr/>
          <w:p>
            <w:pPr>
              <w:pStyle w:val="Compact"/>
              <w:jc w:val="left"/>
            </w:pPr>
            <w:r>
              <w:rPr>
                <w:rStyle w:val="BlueAdd"/>
              </w:rPr>
              <w:t xml:space="preserve">Electronics</w:t>
            </w:r>
          </w:p>
        </w:tc>
        <w:tc>
          <w:tcPr/>
          <w:p>
            <w:pPr>
              <w:pStyle w:val="Compact"/>
              <w:jc w:val="left"/>
            </w:pPr>
            <w:r>
              <w:rPr>
                <w:rStyle w:val="BlueAdd"/>
              </w:rPr>
              <w:t xml:space="preserve">Journal</w:t>
            </w:r>
          </w:p>
        </w:tc>
        <w:tc>
          <w:tcPr/>
          <w:p>
            <w:pPr>
              <w:pStyle w:val="Compact"/>
              <w:jc w:val="left"/>
            </w:pPr>
            <w:r>
              <w:rPr>
                <w:rStyle w:val="BlueAdd"/>
              </w:rPr>
              <w:t xml:space="preserve">S4</w:t>
            </w:r>
          </w:p>
        </w:tc>
      </w:tr>
      <w:tr>
        <w:trPr>
          <w:cantSplit/>
        </w:trPr>
        <w:tc>
          <w:tcPr/>
          <w:p>
            <w:pPr>
              <w:pStyle w:val="Compact"/>
              <w:jc w:val="left"/>
            </w:pPr>
            <w:r>
              <w:rPr>
                <w:rStyle w:val="BlueAdd"/>
              </w:rPr>
              <w:t xml:space="preserve">16</w:t>
            </w:r>
          </w:p>
        </w:tc>
        <w:tc>
          <w:tcPr/>
          <w:p>
            <w:pPr>
              <w:pStyle w:val="Compact"/>
              <w:jc w:val="left"/>
            </w:pPr>
            <w:r>
              <w:rPr>
                <w:rStyle w:val="BlueAdd"/>
              </w:rPr>
              <w:t xml:space="preserve">Systems</w:t>
            </w:r>
          </w:p>
        </w:tc>
        <w:tc>
          <w:tcPr/>
          <w:p>
            <w:pPr>
              <w:pStyle w:val="Compact"/>
              <w:jc w:val="left"/>
            </w:pPr>
            <w:r>
              <w:rPr>
                <w:rStyle w:val="BlueAdd"/>
              </w:rPr>
              <w:t xml:space="preserve">Journal</w:t>
            </w:r>
          </w:p>
        </w:tc>
        <w:tc>
          <w:tcPr/>
          <w:p>
            <w:pPr>
              <w:pStyle w:val="Compact"/>
              <w:jc w:val="left"/>
            </w:pPr>
            <w:r>
              <w:rPr>
                <w:rStyle w:val="BlueAdd"/>
              </w:rPr>
              <w:t xml:space="preserve">S14</w:t>
            </w:r>
          </w:p>
        </w:tc>
      </w:tr>
      <w:tr>
        <w:trPr>
          <w:cantSplit/>
        </w:trPr>
        <w:tc>
          <w:tcPr/>
          <w:p>
            <w:pPr>
              <w:pStyle w:val="Compact"/>
              <w:jc w:val="left"/>
            </w:pPr>
            <w:r>
              <w:rPr>
                <w:rStyle w:val="BlueAdd"/>
              </w:rPr>
              <w:t xml:space="preserve">17</w:t>
            </w:r>
          </w:p>
        </w:tc>
        <w:tc>
          <w:tcPr/>
          <w:p>
            <w:pPr>
              <w:pStyle w:val="Compact"/>
              <w:jc w:val="left"/>
            </w:pPr>
            <w:r>
              <w:rPr>
                <w:rStyle w:val="BlueAdd"/>
              </w:rPr>
              <w:t xml:space="preserve">Cryptography</w:t>
            </w:r>
          </w:p>
        </w:tc>
        <w:tc>
          <w:tcPr/>
          <w:p>
            <w:pPr>
              <w:pStyle w:val="Compact"/>
              <w:jc w:val="left"/>
            </w:pPr>
            <w:r>
              <w:rPr>
                <w:rStyle w:val="BlueAdd"/>
              </w:rPr>
              <w:t xml:space="preserve">Journal</w:t>
            </w:r>
          </w:p>
        </w:tc>
        <w:tc>
          <w:tcPr/>
          <w:p>
            <w:pPr>
              <w:pStyle w:val="Compact"/>
              <w:jc w:val="left"/>
            </w:pPr>
            <w:r>
              <w:rPr>
                <w:rStyle w:val="BlueAdd"/>
              </w:rPr>
              <w:t xml:space="preserve">S24</w:t>
            </w:r>
          </w:p>
        </w:tc>
      </w:tr>
      <w:tr>
        <w:trPr>
          <w:cantSplit/>
        </w:trPr>
        <w:tc>
          <w:tcPr/>
          <w:p>
            <w:pPr>
              <w:pStyle w:val="Compact"/>
              <w:jc w:val="left"/>
            </w:pPr>
            <w:r>
              <w:rPr>
                <w:rStyle w:val="BlueAdd"/>
              </w:rPr>
              <w:t xml:space="preserve">18</w:t>
            </w:r>
          </w:p>
        </w:tc>
        <w:tc>
          <w:tcPr/>
          <w:p>
            <w:pPr>
              <w:pStyle w:val="Compact"/>
              <w:jc w:val="left"/>
            </w:pPr>
            <w:r>
              <w:rPr>
                <w:rStyle w:val="BlueAdd"/>
              </w:rPr>
              <w:t xml:space="preserve">IoT</w:t>
            </w:r>
          </w:p>
        </w:tc>
        <w:tc>
          <w:tcPr/>
          <w:p>
            <w:pPr>
              <w:pStyle w:val="Compact"/>
              <w:jc w:val="left"/>
            </w:pPr>
            <w:r>
              <w:rPr>
                <w:rStyle w:val="BlueAdd"/>
              </w:rPr>
              <w:t xml:space="preserve">Journal</w:t>
            </w:r>
          </w:p>
        </w:tc>
        <w:tc>
          <w:tcPr/>
          <w:p>
            <w:pPr>
              <w:pStyle w:val="Compact"/>
              <w:jc w:val="left"/>
            </w:pPr>
            <w:r>
              <w:rPr>
                <w:rStyle w:val="BlueAdd"/>
              </w:rPr>
              <w:t xml:space="preserve">S19</w:t>
            </w:r>
          </w:p>
        </w:tc>
      </w:tr>
      <w:tr>
        <w:trPr>
          <w:cantSplit/>
        </w:trPr>
        <w:tc>
          <w:tcPr/>
          <w:p>
            <w:pPr>
              <w:pStyle w:val="Compact"/>
              <w:jc w:val="left"/>
            </w:pPr>
            <w:r>
              <w:rPr>
                <w:rStyle w:val="BlueAdd"/>
              </w:rPr>
              <w:t xml:space="preserve">19</w:t>
            </w:r>
          </w:p>
        </w:tc>
        <w:tc>
          <w:tcPr/>
          <w:p>
            <w:pPr>
              <w:pStyle w:val="Compact"/>
              <w:jc w:val="left"/>
            </w:pPr>
            <w:r>
              <w:rPr>
                <w:rStyle w:val="BlueAdd"/>
              </w:rPr>
              <w:t xml:space="preserve">Computer Networks and Communications</w:t>
            </w:r>
          </w:p>
        </w:tc>
        <w:tc>
          <w:tcPr/>
          <w:p>
            <w:pPr>
              <w:pStyle w:val="Compact"/>
              <w:jc w:val="left"/>
            </w:pPr>
            <w:r>
              <w:rPr>
                <w:rStyle w:val="BlueAdd"/>
              </w:rPr>
              <w:t xml:space="preserve">Journal</w:t>
            </w:r>
          </w:p>
        </w:tc>
        <w:tc>
          <w:tcPr/>
          <w:p>
            <w:pPr>
              <w:pStyle w:val="Compact"/>
              <w:jc w:val="left"/>
            </w:pPr>
            <w:r>
              <w:rPr>
                <w:rStyle w:val="BlueAdd"/>
              </w:rPr>
              <w:t xml:space="preserve">S20</w:t>
            </w:r>
          </w:p>
        </w:tc>
      </w:tr>
      <w:tr>
        <w:trPr>
          <w:cantSplit/>
        </w:trPr>
        <w:tc>
          <w:tcPr/>
          <w:p>
            <w:pPr>
              <w:pStyle w:val="Compact"/>
              <w:jc w:val="left"/>
            </w:pPr>
            <w:r>
              <w:rPr>
                <w:rStyle w:val="BlueAdd"/>
              </w:rPr>
              <w:t xml:space="preserve">20</w:t>
            </w:r>
          </w:p>
        </w:tc>
        <w:tc>
          <w:tcPr/>
          <w:p>
            <w:pPr>
              <w:pStyle w:val="Compact"/>
              <w:jc w:val="left"/>
            </w:pPr>
            <w:r>
              <w:rPr>
                <w:rStyle w:val="BlueAdd"/>
              </w:rPr>
              <w:t xml:space="preserve">BMC Nursing</w:t>
            </w:r>
          </w:p>
        </w:tc>
        <w:tc>
          <w:tcPr/>
          <w:p>
            <w:pPr>
              <w:pStyle w:val="Compact"/>
              <w:jc w:val="left"/>
            </w:pPr>
            <w:r>
              <w:rPr>
                <w:rStyle w:val="BlueAdd"/>
              </w:rPr>
              <w:t xml:space="preserve">Journal</w:t>
            </w:r>
          </w:p>
        </w:tc>
        <w:tc>
          <w:tcPr/>
          <w:p>
            <w:pPr>
              <w:pStyle w:val="Compact"/>
              <w:jc w:val="left"/>
            </w:pPr>
            <w:r>
              <w:rPr>
                <w:rStyle w:val="BlueAdd"/>
              </w:rPr>
              <w:t xml:space="preserve">S1</w:t>
            </w:r>
          </w:p>
        </w:tc>
      </w:tr>
      <w:tr>
        <w:trPr>
          <w:cantSplit/>
        </w:trPr>
        <w:tc>
          <w:tcPr/>
          <w:p>
            <w:pPr>
              <w:pStyle w:val="Compact"/>
              <w:jc w:val="left"/>
            </w:pPr>
            <w:r>
              <w:rPr>
                <w:rStyle w:val="BlueAdd"/>
              </w:rPr>
              <w:t xml:space="preserve">21</w:t>
            </w:r>
          </w:p>
        </w:tc>
        <w:tc>
          <w:tcPr/>
          <w:p>
            <w:pPr>
              <w:pStyle w:val="Compact"/>
              <w:jc w:val="left"/>
            </w:pPr>
            <w:r>
              <w:rPr>
                <w:rStyle w:val="BlueAdd"/>
              </w:rPr>
              <w:t xml:space="preserve">Digital Health</w:t>
            </w:r>
          </w:p>
        </w:tc>
        <w:tc>
          <w:tcPr/>
          <w:p>
            <w:pPr>
              <w:pStyle w:val="Compact"/>
              <w:jc w:val="left"/>
            </w:pPr>
            <w:r>
              <w:rPr>
                <w:rStyle w:val="BlueAdd"/>
              </w:rPr>
              <w:t xml:space="preserve">Journal</w:t>
            </w:r>
          </w:p>
        </w:tc>
        <w:tc>
          <w:tcPr/>
          <w:p>
            <w:pPr>
              <w:pStyle w:val="Compact"/>
              <w:jc w:val="left"/>
            </w:pPr>
            <w:r>
              <w:rPr>
                <w:rStyle w:val="BlueAdd"/>
              </w:rPr>
              <w:t xml:space="preserve">S3</w:t>
            </w:r>
          </w:p>
        </w:tc>
      </w:tr>
      <w:tr>
        <w:trPr>
          <w:cantSplit/>
        </w:trPr>
        <w:tc>
          <w:tcPr/>
          <w:p>
            <w:pPr>
              <w:pStyle w:val="Compact"/>
              <w:jc w:val="left"/>
            </w:pPr>
            <w:r>
              <w:rPr>
                <w:rStyle w:val="BlueAdd"/>
              </w:rPr>
              <w:t xml:space="preserve">22</w:t>
            </w:r>
          </w:p>
        </w:tc>
        <w:tc>
          <w:tcPr/>
          <w:p>
            <w:pPr>
              <w:pStyle w:val="Compact"/>
              <w:jc w:val="left"/>
            </w:pPr>
            <w:r>
              <w:rPr>
                <w:rStyle w:val="BlueAdd"/>
              </w:rPr>
              <w:t xml:space="preserve">Journal of Digital Health</w:t>
            </w:r>
          </w:p>
        </w:tc>
        <w:tc>
          <w:tcPr/>
          <w:p>
            <w:pPr>
              <w:pStyle w:val="Compact"/>
              <w:jc w:val="left"/>
            </w:pPr>
            <w:r>
              <w:rPr>
                <w:rStyle w:val="BlueAdd"/>
              </w:rPr>
              <w:t xml:space="preserve">Journal</w:t>
            </w:r>
          </w:p>
        </w:tc>
        <w:tc>
          <w:tcPr/>
          <w:p>
            <w:pPr>
              <w:pStyle w:val="Compact"/>
              <w:jc w:val="left"/>
            </w:pPr>
            <w:r>
              <w:rPr>
                <w:rStyle w:val="BlueAdd"/>
              </w:rPr>
              <w:t xml:space="preserve">S7</w:t>
            </w:r>
          </w:p>
        </w:tc>
      </w:tr>
      <w:tr>
        <w:trPr>
          <w:cantSplit/>
        </w:trPr>
        <w:tc>
          <w:tcPr/>
          <w:p>
            <w:pPr>
              <w:pStyle w:val="Compact"/>
              <w:jc w:val="left"/>
            </w:pPr>
            <w:r>
              <w:rPr>
                <w:rStyle w:val="BlueAdd"/>
              </w:rPr>
              <w:t xml:space="preserve">23</w:t>
            </w:r>
          </w:p>
        </w:tc>
        <w:tc>
          <w:tcPr/>
          <w:p>
            <w:pPr>
              <w:pStyle w:val="Compact"/>
              <w:jc w:val="left"/>
            </w:pPr>
            <w:r>
              <w:rPr>
                <w:rStyle w:val="BlueAdd"/>
              </w:rPr>
              <w:t xml:space="preserve">Strategic Change</w:t>
            </w:r>
          </w:p>
        </w:tc>
        <w:tc>
          <w:tcPr/>
          <w:p>
            <w:pPr>
              <w:pStyle w:val="Compact"/>
              <w:jc w:val="left"/>
            </w:pPr>
            <w:r>
              <w:rPr>
                <w:rStyle w:val="BlueAdd"/>
              </w:rPr>
              <w:t xml:space="preserve">Journal</w:t>
            </w:r>
          </w:p>
        </w:tc>
        <w:tc>
          <w:tcPr/>
          <w:p>
            <w:pPr>
              <w:pStyle w:val="Compact"/>
              <w:jc w:val="left"/>
            </w:pPr>
            <w:r>
              <w:rPr>
                <w:rStyle w:val="BlueAdd"/>
              </w:rPr>
              <w:t xml:space="preserve">S5</w:t>
            </w:r>
          </w:p>
        </w:tc>
      </w:tr>
      <w:tr>
        <w:trPr>
          <w:cantSplit/>
        </w:trPr>
        <w:tc>
          <w:tcPr/>
          <w:p>
            <w:pPr>
              <w:pStyle w:val="Compact"/>
              <w:jc w:val="left"/>
            </w:pPr>
            <w:r>
              <w:rPr>
                <w:rStyle w:val="BlueAdd"/>
              </w:rPr>
              <w:t xml:space="preserve">24</w:t>
            </w:r>
          </w:p>
        </w:tc>
        <w:tc>
          <w:tcPr/>
          <w:p>
            <w:pPr>
              <w:pStyle w:val="Compact"/>
              <w:jc w:val="left"/>
            </w:pPr>
            <w:r>
              <w:rPr>
                <w:rStyle w:val="BlueAdd"/>
              </w:rPr>
              <w:t xml:space="preserve">European Journal of Health Law</w:t>
            </w:r>
          </w:p>
        </w:tc>
        <w:tc>
          <w:tcPr/>
          <w:p>
            <w:pPr>
              <w:pStyle w:val="Compact"/>
              <w:jc w:val="left"/>
            </w:pPr>
            <w:r>
              <w:rPr>
                <w:rStyle w:val="BlueAdd"/>
              </w:rPr>
              <w:t xml:space="preserve">Journal</w:t>
            </w:r>
          </w:p>
        </w:tc>
        <w:tc>
          <w:tcPr/>
          <w:p>
            <w:pPr>
              <w:pStyle w:val="Compact"/>
              <w:jc w:val="left"/>
            </w:pPr>
            <w:r>
              <w:rPr>
                <w:rStyle w:val="BlueAdd"/>
              </w:rPr>
              <w:t xml:space="preserve">S6</w:t>
            </w:r>
          </w:p>
        </w:tc>
      </w:tr>
      <w:tr>
        <w:trPr>
          <w:cantSplit/>
        </w:trPr>
        <w:tc>
          <w:tcPr/>
          <w:p>
            <w:pPr>
              <w:pStyle w:val="Compact"/>
              <w:jc w:val="left"/>
            </w:pPr>
            <w:r>
              <w:rPr>
                <w:rStyle w:val="BlueAdd"/>
              </w:rPr>
              <w:t xml:space="preserve">25</w:t>
            </w:r>
          </w:p>
        </w:tc>
        <w:tc>
          <w:tcPr/>
          <w:p>
            <w:pPr>
              <w:pStyle w:val="Compact"/>
              <w:jc w:val="left"/>
            </w:pPr>
            <w:r>
              <w:rPr>
                <w:rStyle w:val="BlueAdd"/>
              </w:rPr>
              <w:t xml:space="preserve">Pediatrics</w:t>
            </w:r>
          </w:p>
        </w:tc>
        <w:tc>
          <w:tcPr/>
          <w:p>
            <w:pPr>
              <w:pStyle w:val="Compact"/>
              <w:jc w:val="left"/>
            </w:pPr>
            <w:r>
              <w:rPr>
                <w:rStyle w:val="BlueAdd"/>
              </w:rPr>
              <w:t xml:space="preserve">Journal</w:t>
            </w:r>
          </w:p>
        </w:tc>
        <w:tc>
          <w:tcPr/>
          <w:p>
            <w:pPr>
              <w:pStyle w:val="Compact"/>
              <w:jc w:val="left"/>
            </w:pPr>
            <w:r>
              <w:rPr>
                <w:rStyle w:val="BlueAdd"/>
              </w:rPr>
              <w:t xml:space="preserve">S8</w:t>
            </w:r>
          </w:p>
        </w:tc>
      </w:tr>
      <w:tr>
        <w:trPr>
          <w:cantSplit/>
        </w:trPr>
        <w:tc>
          <w:tcPr/>
          <w:p>
            <w:pPr>
              <w:pStyle w:val="Compact"/>
              <w:jc w:val="left"/>
            </w:pPr>
            <w:r>
              <w:rPr>
                <w:rStyle w:val="BlueAdd"/>
              </w:rPr>
              <w:t xml:space="preserve">26</w:t>
            </w:r>
          </w:p>
        </w:tc>
        <w:tc>
          <w:tcPr/>
          <w:p>
            <w:pPr>
              <w:pStyle w:val="Compact"/>
              <w:jc w:val="left"/>
            </w:pPr>
            <w:r>
              <w:rPr>
                <w:rStyle w:val="BlueAdd"/>
              </w:rPr>
              <w:t xml:space="preserve">npj Digital Medicine</w:t>
            </w:r>
          </w:p>
        </w:tc>
        <w:tc>
          <w:tcPr/>
          <w:p>
            <w:pPr>
              <w:pStyle w:val="Compact"/>
              <w:jc w:val="left"/>
            </w:pPr>
            <w:r>
              <w:rPr>
                <w:rStyle w:val="BlueAdd"/>
              </w:rPr>
              <w:t xml:space="preserve">Journal</w:t>
            </w:r>
          </w:p>
        </w:tc>
        <w:tc>
          <w:tcPr/>
          <w:p>
            <w:pPr>
              <w:pStyle w:val="Compact"/>
              <w:jc w:val="left"/>
            </w:pPr>
            <w:r>
              <w:rPr>
                <w:rStyle w:val="BlueAdd"/>
              </w:rPr>
              <w:t xml:space="preserve">S10</w:t>
            </w:r>
          </w:p>
        </w:tc>
      </w:tr>
      <w:tr>
        <w:trPr>
          <w:cantSplit/>
        </w:trPr>
        <w:tc>
          <w:tcPr/>
          <w:p>
            <w:pPr>
              <w:pStyle w:val="Compact"/>
              <w:jc w:val="left"/>
            </w:pPr>
            <w:r>
              <w:rPr>
                <w:rStyle w:val="BlueAdd"/>
              </w:rPr>
              <w:t xml:space="preserve">27</w:t>
            </w:r>
          </w:p>
        </w:tc>
        <w:tc>
          <w:tcPr/>
          <w:p>
            <w:pPr>
              <w:pStyle w:val="Compact"/>
              <w:jc w:val="left"/>
            </w:pPr>
            <w:r>
              <w:rPr>
                <w:rStyle w:val="BlueAdd"/>
              </w:rPr>
              <w:t xml:space="preserve">Heliyon</w:t>
            </w:r>
          </w:p>
        </w:tc>
        <w:tc>
          <w:tcPr/>
          <w:p>
            <w:pPr>
              <w:pStyle w:val="Compact"/>
              <w:jc w:val="left"/>
            </w:pPr>
            <w:r>
              <w:rPr>
                <w:rStyle w:val="BlueAdd"/>
              </w:rPr>
              <w:t xml:space="preserve">Journal</w:t>
            </w:r>
          </w:p>
        </w:tc>
        <w:tc>
          <w:tcPr/>
          <w:p>
            <w:pPr>
              <w:pStyle w:val="Compact"/>
              <w:jc w:val="left"/>
            </w:pPr>
            <w:r>
              <w:rPr>
                <w:rStyle w:val="BlueAdd"/>
              </w:rPr>
              <w:t xml:space="preserve">S31</w:t>
            </w:r>
          </w:p>
        </w:tc>
      </w:tr>
      <w:tr>
        <w:trPr>
          <w:cantSplit/>
        </w:trPr>
        <w:tc>
          <w:tcPr/>
          <w:p>
            <w:pPr>
              <w:pStyle w:val="Compact"/>
              <w:jc w:val="left"/>
            </w:pPr>
            <w:r>
              <w:rPr>
                <w:rStyle w:val="BlueAdd"/>
              </w:rPr>
              <w:t xml:space="preserve">28</w:t>
            </w:r>
          </w:p>
        </w:tc>
        <w:tc>
          <w:tcPr/>
          <w:p>
            <w:pPr>
              <w:pStyle w:val="Compact"/>
              <w:jc w:val="left"/>
            </w:pPr>
            <w:r>
              <w:rPr>
                <w:rStyle w:val="BlueAdd"/>
              </w:rPr>
              <w:t xml:space="preserve">PeerJ Computer Science</w:t>
            </w:r>
          </w:p>
        </w:tc>
        <w:tc>
          <w:tcPr/>
          <w:p>
            <w:pPr>
              <w:pStyle w:val="Compact"/>
              <w:jc w:val="left"/>
            </w:pPr>
            <w:r>
              <w:rPr>
                <w:rStyle w:val="BlueAdd"/>
              </w:rPr>
              <w:t xml:space="preserve">Journal</w:t>
            </w:r>
          </w:p>
        </w:tc>
        <w:tc>
          <w:tcPr/>
          <w:p>
            <w:pPr>
              <w:pStyle w:val="Compact"/>
              <w:jc w:val="left"/>
            </w:pPr>
            <w:r>
              <w:rPr>
                <w:rStyle w:val="BlueAdd"/>
              </w:rPr>
              <w:t xml:space="preserve">S32</w:t>
            </w:r>
          </w:p>
        </w:tc>
      </w:tr>
      <w:tr>
        <w:trPr>
          <w:cantSplit/>
        </w:trPr>
        <w:tc>
          <w:tcPr/>
          <w:p>
            <w:pPr>
              <w:pStyle w:val="Compact"/>
              <w:jc w:val="left"/>
            </w:pPr>
            <w:r>
              <w:rPr>
                <w:rStyle w:val="BlueAdd"/>
              </w:rPr>
              <w:t xml:space="preserve">29</w:t>
            </w:r>
          </w:p>
        </w:tc>
        <w:tc>
          <w:tcPr/>
          <w:p>
            <w:pPr>
              <w:pStyle w:val="Compact"/>
              <w:jc w:val="left"/>
            </w:pPr>
            <w:r>
              <w:rPr>
                <w:rStyle w:val="BlueAdd"/>
              </w:rPr>
              <w:t xml:space="preserve">Wireless Networks</w:t>
            </w:r>
          </w:p>
        </w:tc>
        <w:tc>
          <w:tcPr/>
          <w:p>
            <w:pPr>
              <w:pStyle w:val="Compact"/>
              <w:jc w:val="left"/>
            </w:pPr>
            <w:r>
              <w:rPr>
                <w:rStyle w:val="BlueAdd"/>
              </w:rPr>
              <w:t xml:space="preserve">Journal</w:t>
            </w:r>
          </w:p>
        </w:tc>
        <w:tc>
          <w:tcPr/>
          <w:p>
            <w:pPr>
              <w:pStyle w:val="Compact"/>
              <w:jc w:val="left"/>
            </w:pPr>
            <w:r>
              <w:rPr>
                <w:rStyle w:val="BlueAdd"/>
              </w:rPr>
              <w:t xml:space="preserve">S26</w:t>
            </w:r>
          </w:p>
        </w:tc>
      </w:tr>
      <w:tr>
        <w:trPr>
          <w:cantSplit/>
        </w:trPr>
        <w:tc>
          <w:tcPr/>
          <w:p>
            <w:pPr>
              <w:pStyle w:val="Compact"/>
              <w:jc w:val="left"/>
            </w:pPr>
            <w:r>
              <w:rPr>
                <w:rStyle w:val="BlueAdd"/>
              </w:rPr>
              <w:t xml:space="preserve">30</w:t>
            </w:r>
          </w:p>
        </w:tc>
        <w:tc>
          <w:tcPr/>
          <w:p>
            <w:pPr>
              <w:pStyle w:val="Compact"/>
              <w:jc w:val="left"/>
            </w:pPr>
            <w:r>
              <w:rPr>
                <w:rStyle w:val="BlueAdd"/>
              </w:rPr>
              <w:t xml:space="preserve">IFIP International Conference on Distributed Applications and Interoperable Systems (DAIS)</w:t>
            </w:r>
          </w:p>
        </w:tc>
        <w:tc>
          <w:tcPr/>
          <w:p>
            <w:pPr>
              <w:pStyle w:val="Compact"/>
              <w:jc w:val="left"/>
            </w:pPr>
            <w:r>
              <w:rPr>
                <w:rStyle w:val="BlueAdd"/>
              </w:rPr>
              <w:t xml:space="preserve">Conference</w:t>
            </w:r>
          </w:p>
        </w:tc>
        <w:tc>
          <w:tcPr/>
          <w:p>
            <w:pPr>
              <w:pStyle w:val="Compact"/>
              <w:jc w:val="left"/>
            </w:pPr>
            <w:r>
              <w:rPr>
                <w:rStyle w:val="BlueAdd"/>
              </w:rPr>
              <w:t xml:space="preserve">S33</w:t>
            </w:r>
          </w:p>
        </w:tc>
      </w:tr>
    </w:tbl>
    <w:p>
      <w:pPr>
        <w:pStyle w:val="ReviewerNotePara"/>
      </w:pPr>
      <w:r>
        <w:rPr>
          <w:rStyle w:val="ReviewerNote"/>
        </w:rPr>
        <w:t xml:space="preserve">Section 2.2.4 (Search Period and Search Execution) has been merged into Step 1, as in the supervisor’s structure. The search day was filled as 15 August 2026 (an assumed value); correct it if your final search was run on another day.</w:t>
      </w:r>
    </w:p>
    <w:bookmarkEnd w:id="21"/>
    <w:bookmarkStart w:id="22" w:name="X87f2157b1356acc42089dadf522cb794d6b8b71"/>
    <w:p>
      <w:pPr>
        <w:pStyle w:val="Heading3"/>
      </w:pPr>
      <w:r>
        <w:rPr>
          <w:rStyle w:val="GreenDelete"/>
        </w:rPr>
        <w:t xml:space="preserve">2.2.5</w:t>
      </w:r>
      <w:r>
        <w:t xml:space="preserve"> </w:t>
      </w:r>
      <w:r>
        <w:rPr>
          <w:rStyle w:val="GreenFix"/>
        </w:rPr>
        <w:t xml:space="preserve">2.3.4</w:t>
      </w:r>
      <w:r>
        <w:t xml:space="preserve"> </w:t>
      </w:r>
      <w:r>
        <w:rPr>
          <w:rStyle w:val="GreenDelete"/>
        </w:rPr>
        <w:t xml:space="preserve">Eligibility Criteria</w:t>
      </w:r>
      <w:r>
        <w:t xml:space="preserve"> </w:t>
      </w:r>
      <w:r>
        <w:rPr>
          <w:rStyle w:val="GreenFix"/>
        </w:rPr>
        <w:t xml:space="preserve">Step 2: Inclusion and Exclusion Criteria</w:t>
      </w:r>
    </w:p>
    <w:p>
      <w:pPr>
        <w:pStyle w:val="FirstParagraph"/>
      </w:pPr>
      <w:r>
        <w:t xml:space="preserve">The eligibility criteria were defined before the screening process to ensure consistency in the selection of studies. The criteria were designed to identify research that was directly relevant to the objectives of the SLR.</w:t>
      </w:r>
    </w:p>
    <w:p>
      <w:pPr>
        <w:pStyle w:val="BodyText"/>
      </w:pPr>
      <w:r>
        <w:t xml:space="preserve">A study was included if it satisfied the following criteria:</w:t>
      </w:r>
    </w:p>
    <w:p>
      <w:pPr>
        <w:numPr>
          <w:ilvl w:val="0"/>
          <w:numId w:val="1002"/>
        </w:numPr>
      </w:pPr>
      <w:r>
        <w:t xml:space="preserve">The study was published as a peer-reviewed journal article, conference paper, or systematic review relevant to the research questions.</w:t>
      </w:r>
    </w:p>
    <w:p>
      <w:pPr>
        <w:numPr>
          <w:ilvl w:val="0"/>
          <w:numId w:val="1002"/>
        </w:numPr>
      </w:pPr>
      <w:r>
        <w:t xml:space="preserve">The study addressed healthcare data sharing, electronic health records, patient consent, healthcare access control, decentralised identity, privacy preservation, or a closely related topic.</w:t>
      </w:r>
    </w:p>
    <w:p>
      <w:pPr>
        <w:numPr>
          <w:ilvl w:val="0"/>
          <w:numId w:val="1002"/>
        </w:numPr>
      </w:pPr>
      <w:r>
        <w:t xml:space="preserve">The study proposed, implemented, evaluated, or critically reviewed a technical, architectural, conceptual, or governance-oriented approach relevant to the research questions.</w:t>
      </w:r>
    </w:p>
    <w:p>
      <w:pPr>
        <w:numPr>
          <w:ilvl w:val="0"/>
          <w:numId w:val="1002"/>
        </w:numPr>
      </w:pPr>
      <w:r>
        <w:t xml:space="preserve">The study provided sufficient methodological or conceptual information to support the extraction of relevant findings.</w:t>
      </w:r>
    </w:p>
    <w:p>
      <w:pPr>
        <w:numPr>
          <w:ilvl w:val="0"/>
          <w:numId w:val="1002"/>
        </w:numPr>
      </w:pPr>
      <w:r>
        <w:t xml:space="preserve">The full text was available for inspection.</w:t>
      </w:r>
    </w:p>
    <w:p>
      <w:pPr>
        <w:numPr>
          <w:ilvl w:val="0"/>
          <w:numId w:val="1002"/>
        </w:numPr>
      </w:pPr>
      <w:r>
        <w:t xml:space="preserve">The publication language was English.</w:t>
      </w:r>
    </w:p>
    <w:p>
      <w:pPr>
        <w:pStyle w:val="FirstParagraph"/>
      </w:pPr>
      <w:r>
        <w:t xml:space="preserve">Studies were excluded if they satisfied one or more of the following conditions:</w:t>
      </w:r>
    </w:p>
    <w:p>
      <w:pPr>
        <w:numPr>
          <w:ilvl w:val="0"/>
          <w:numId w:val="1003"/>
        </w:numPr>
      </w:pPr>
      <w:r>
        <w:t xml:space="preserve">The study was unrelated to healthcare data sharing, patient consent, identity management, access control, privacy, or auditability.</w:t>
      </w:r>
    </w:p>
    <w:p>
      <w:pPr>
        <w:numPr>
          <w:ilvl w:val="0"/>
          <w:numId w:val="1003"/>
        </w:numPr>
      </w:pPr>
      <w:r>
        <w:t xml:space="preserve">The study was a duplicate of another retrieved record.</w:t>
      </w:r>
    </w:p>
    <w:p>
      <w:pPr>
        <w:numPr>
          <w:ilvl w:val="0"/>
          <w:numId w:val="1003"/>
        </w:numPr>
      </w:pPr>
      <w:r>
        <w:t xml:space="preserve">The study was a short abstract, editorial, opinion article, thesis, book chapter, or non-peer-reviewed publication without sufficient methodological detail, unless it provided a necessary foundational contribution.</w:t>
      </w:r>
    </w:p>
    <w:p>
      <w:pPr>
        <w:numPr>
          <w:ilvl w:val="0"/>
          <w:numId w:val="1003"/>
        </w:numPr>
      </w:pPr>
      <w:r>
        <w:t xml:space="preserve">The study did not provide sufficient information to evaluate its contribution to the research questions.</w:t>
      </w:r>
    </w:p>
    <w:p>
      <w:pPr>
        <w:numPr>
          <w:ilvl w:val="0"/>
          <w:numId w:val="1003"/>
        </w:numPr>
      </w:pPr>
      <w:r>
        <w:t xml:space="preserve">The full text was unavailable.</w:t>
      </w:r>
    </w:p>
    <w:p>
      <w:pPr>
        <w:numPr>
          <w:ilvl w:val="0"/>
          <w:numId w:val="1003"/>
        </w:numPr>
      </w:pPr>
      <w:r>
        <w:t xml:space="preserve">The study focused exclusively on a technical problem that was outside the scope of healthcare data management and did not provide transferable insights relevant to the review.</w:t>
      </w:r>
    </w:p>
    <w:p>
      <w:pPr>
        <w:pStyle w:val="FirstParagraph"/>
      </w:pPr>
      <w:r>
        <w:rPr>
          <w:rStyle w:val="GreenDelete"/>
        </w:rPr>
        <w:t xml:space="preserve">Consistent with exclusion criterion 6, five studies from outside the healthcare domain were retained because they contribute mechanisms that transfer directly to healthcare authorisation: decentralised trust in multi-stakeholder data sharing [6], blockchain-based archival integrity for sensitive documentation [8], TEE-supported trust and Byzantine-resilient consensus [17], DID/VC-based privacy-preserving authentication [27], and blockchain-based data sharing across organisational boundaries [30].</w:t>
      </w:r>
      <w:r>
        <w:rPr>
          <w:rStyle w:val="GreenFix"/>
        </w:rPr>
        <w:t xml:space="preserve">Consistent with exclusion criterion 6, four studies from outside the healthcare domain were retained because the mechanism they contribute transfers directly to healthcare authorisation: decentralised trust in multi-stakeholder data sharing [6], DID/VC-based privacy-preserving authentication [27], and decentralised identity and access control for constrained devices [15, 16]. Studies whose subject matter lies outside healthcare data sharing, consent, identity or access control were excluded at the full-text stage as scope mismatches (Figure 2.2).</w:t>
      </w:r>
      <w:r>
        <w:t xml:space="preserve"> </w:t>
      </w:r>
      <w:r>
        <w:t xml:space="preserve">One book chapter [16] was retained under the exception to exclusion criterion 3 because it provides a foundational overview of decentralised identity, and one earlier policy statement [31] (2019) was retained as a foundational healthcare source on guardian and proxy access to electronic health records,</w:t>
      </w:r>
      <w:r>
        <w:t xml:space="preserve"> </w:t>
      </w:r>
      <w:r>
        <w:rPr>
          <w:rStyle w:val="GreenDelete"/>
        </w:rPr>
        <w:t xml:space="preserve">as permitted in Section 2.2.4.</w:t>
      </w:r>
      <w:r>
        <w:rPr>
          <w:rStyle w:val="GreenFix"/>
        </w:rPr>
        <w:t xml:space="preserve">as permitted in Section 2.3.3.</w:t>
      </w:r>
    </w:p>
    <w:p>
      <w:pPr>
        <w:pStyle w:val="BodyText"/>
      </w:pPr>
      <w:r>
        <w:t xml:space="preserve">The inclusion and exclusion criteria were applied consistently throughout the screening process. Where a study addressed multiple topics, its eligibility was determined according to the relevance of its contribution to the research questions rather than by the presence of a single keyword.</w:t>
      </w:r>
    </w:p>
    <w:p>
      <w:pPr>
        <w:pStyle w:val="BlueAddPara"/>
      </w:pPr>
      <w:r>
        <w:rPr>
          <w:rStyle w:val="BlueAdd"/>
        </w:rPr>
        <w:t xml:space="preserve">The stages of evaluating and selecting the relevant papers for the SLR are summarised in Table 2.2.</w:t>
      </w:r>
    </w:p>
    <w:p>
      <w:pPr>
        <w:pStyle w:val="TableCaption"/>
      </w:pPr>
      <w:r>
        <w:rPr>
          <w:rStyle w:val="BlueAdd"/>
        </w:rPr>
        <w:t xml:space="preserve">Table 2.2: Summary of the stages of evaluating and selecting the relevant papers for the SLR</w:t>
      </w:r>
    </w:p>
    <w:tbl>
      <w:tblPr>
        <w:tblStyle w:val="Table"/>
        <w:tblW w:type="pct" w:w="5000"/>
        <w:tblLayout w:type="fixed"/>
        <w:tblLook w:firstRow="1" w:lastRow="0" w:firstColumn="0" w:lastColumn="0" w:noHBand="0" w:noVBand="0" w:val="0020"/>
        <w:tblCaption w:val="Table 2.2: Summary of the stages of evaluating and selecting the relevant papers for the SLR"/>
      </w:tblPr>
      <w:tblGrid>
        <w:gridCol w:w="371"/>
        <w:gridCol w:w="2598"/>
        <w:gridCol w:w="3836"/>
        <w:gridCol w:w="1113"/>
      </w:tblGrid>
      <w:tr>
        <w:trPr>
          <w:cantSplit/>
          <w:tblHeader w:val="on"/>
        </w:trPr>
        <w:tc>
          <w:tcPr>
            <w:tcBorders>
              <w:bottom w:val="single" w:sz="8" w:space="0" w:color="000000"/>
            </w:tcBorders>
            <w:shd w:val="clear" w:color="auto" w:fill="E7E6E6"/>
            <w:vAlign w:val="center"/>
          </w:tcPr>
          <w:p>
            <w:pPr>
              <w:pStyle w:val="Compact"/>
              <w:jc w:val="left"/>
            </w:pPr>
            <w:r>
              <w:rPr>
                <w:rStyle w:val="BlueAdd"/>
                <w:b/>
                <w:bCs/>
              </w:rPr>
              <w:t xml:space="preserve">Stage</w:t>
            </w:r>
          </w:p>
        </w:tc>
        <w:tc>
          <w:tcPr>
            <w:tcBorders>
              <w:bottom w:val="single" w:sz="8" w:space="0" w:color="000000"/>
            </w:tcBorders>
            <w:shd w:val="clear" w:color="auto" w:fill="E7E6E6"/>
            <w:vAlign w:val="center"/>
          </w:tcPr>
          <w:p>
            <w:pPr>
              <w:pStyle w:val="Compact"/>
              <w:jc w:val="left"/>
            </w:pPr>
            <w:r>
              <w:rPr>
                <w:rStyle w:val="BlueAdd"/>
                <w:b/>
                <w:bCs/>
              </w:rPr>
              <w:t xml:space="preserve">Method</w:t>
            </w:r>
          </w:p>
        </w:tc>
        <w:tc>
          <w:tcPr>
            <w:tcBorders>
              <w:bottom w:val="single" w:sz="8" w:space="0" w:color="000000"/>
            </w:tcBorders>
            <w:shd w:val="clear" w:color="auto" w:fill="E7E6E6"/>
            <w:vAlign w:val="center"/>
          </w:tcPr>
          <w:p>
            <w:pPr>
              <w:pStyle w:val="Compact"/>
              <w:jc w:val="left"/>
            </w:pPr>
            <w:r>
              <w:rPr>
                <w:rStyle w:val="BlueAdd"/>
                <w:b/>
                <w:bCs/>
              </w:rPr>
              <w:t xml:space="preserve">Assessment criterion</w:t>
            </w:r>
          </w:p>
        </w:tc>
        <w:tc>
          <w:tcPr>
            <w:tcBorders>
              <w:bottom w:val="single" w:sz="8" w:space="0" w:color="000000"/>
            </w:tcBorders>
            <w:shd w:val="clear" w:color="auto" w:fill="E7E6E6"/>
            <w:vAlign w:val="center"/>
          </w:tcPr>
          <w:p>
            <w:pPr>
              <w:pStyle w:val="Compact"/>
              <w:jc w:val="left"/>
            </w:pPr>
            <w:r>
              <w:rPr>
                <w:rStyle w:val="BlueAdd"/>
                <w:b/>
                <w:bCs/>
              </w:rPr>
              <w:t xml:space="preserve">Records</w:t>
            </w:r>
          </w:p>
        </w:tc>
      </w:tr>
      <w:tr>
        <w:trPr>
          <w:cantSplit/>
        </w:trPr>
        <w:tc>
          <w:tcPr/>
          <w:p>
            <w:pPr>
              <w:pStyle w:val="Compact"/>
              <w:jc w:val="left"/>
            </w:pPr>
            <w:r>
              <w:rPr>
                <w:rStyle w:val="BlueAdd"/>
              </w:rPr>
              <w:t xml:space="preserve">1st</w:t>
            </w:r>
          </w:p>
        </w:tc>
        <w:tc>
          <w:tcPr/>
          <w:p>
            <w:pPr>
              <w:pStyle w:val="Compact"/>
              <w:jc w:val="left"/>
            </w:pPr>
            <w:r>
              <w:rPr>
                <w:rStyle w:val="BlueAdd"/>
              </w:rPr>
              <w:t xml:space="preserve">Identify the related records in the seven databases</w:t>
            </w:r>
          </w:p>
        </w:tc>
        <w:tc>
          <w:tcPr/>
          <w:p>
            <w:pPr>
              <w:pStyle w:val="Compact"/>
              <w:jc w:val="left"/>
            </w:pPr>
            <w:r>
              <w:rPr>
                <w:rStyle w:val="BlueAdd"/>
              </w:rPr>
              <w:t xml:space="preserve">Search string of Figure 2.1; publication year 2022–2026; English</w:t>
            </w:r>
          </w:p>
        </w:tc>
        <w:tc>
          <w:tcPr/>
          <w:p>
            <w:pPr>
              <w:pStyle w:val="Compact"/>
              <w:jc w:val="left"/>
            </w:pPr>
            <w:r>
              <w:rPr>
                <w:rStyle w:val="BlueAdd"/>
              </w:rPr>
              <w:t xml:space="preserve">125 identified</w:t>
            </w:r>
          </w:p>
        </w:tc>
      </w:tr>
      <w:tr>
        <w:trPr>
          <w:cantSplit/>
        </w:trPr>
        <w:tc>
          <w:tcPr/>
          <w:p>
            <w:pPr>
              <w:pStyle w:val="Compact"/>
              <w:jc w:val="left"/>
            </w:pPr>
            <w:r>
              <w:rPr>
                <w:rStyle w:val="BlueAdd"/>
              </w:rPr>
              <w:t xml:space="preserve">2nd</w:t>
            </w:r>
          </w:p>
        </w:tc>
        <w:tc>
          <w:tcPr/>
          <w:p>
            <w:pPr>
              <w:pStyle w:val="Compact"/>
              <w:jc w:val="left"/>
            </w:pPr>
            <w:r>
              <w:rPr>
                <w:rStyle w:val="BlueAdd"/>
              </w:rPr>
              <w:t xml:space="preserve">Remove duplicates and records flagged by automation tools</w:t>
            </w:r>
          </w:p>
        </w:tc>
        <w:tc>
          <w:tcPr/>
          <w:p>
            <w:pPr>
              <w:pStyle w:val="Compact"/>
              <w:jc w:val="left"/>
            </w:pPr>
            <w:r>
              <w:rPr>
                <w:rStyle w:val="BlueAdd"/>
              </w:rPr>
              <w:t xml:space="preserve">Same DOI, title and authors; automation tools mark the record ineligible</w:t>
            </w:r>
          </w:p>
        </w:tc>
        <w:tc>
          <w:tcPr/>
          <w:p>
            <w:pPr>
              <w:pStyle w:val="Compact"/>
              <w:jc w:val="left"/>
            </w:pPr>
            <w:r>
              <w:rPr>
                <w:rStyle w:val="BlueAdd"/>
              </w:rPr>
              <w:t xml:space="preserve">42 removed; 83 screened</w:t>
            </w:r>
          </w:p>
        </w:tc>
      </w:tr>
      <w:tr>
        <w:trPr>
          <w:cantSplit/>
        </w:trPr>
        <w:tc>
          <w:tcPr/>
          <w:p>
            <w:pPr>
              <w:pStyle w:val="Compact"/>
              <w:jc w:val="left"/>
            </w:pPr>
            <w:r>
              <w:rPr>
                <w:rStyle w:val="BlueAdd"/>
              </w:rPr>
              <w:t xml:space="preserve">3rd</w:t>
            </w:r>
          </w:p>
        </w:tc>
        <w:tc>
          <w:tcPr/>
          <w:p>
            <w:pPr>
              <w:pStyle w:val="Compact"/>
              <w:jc w:val="left"/>
            </w:pPr>
            <w:r>
              <w:rPr>
                <w:rStyle w:val="BlueAdd"/>
              </w:rPr>
              <w:t xml:space="preserve">Screen titles and abstracts</w:t>
            </w:r>
          </w:p>
        </w:tc>
        <w:tc>
          <w:tcPr/>
          <w:p>
            <w:pPr>
              <w:pStyle w:val="Compact"/>
              <w:jc w:val="left"/>
            </w:pPr>
            <w:r>
              <w:rPr>
                <w:rStyle w:val="BlueAdd"/>
              </w:rPr>
              <w:t xml:space="preserve">Exclude if unrelated to healthcare data sharing, consent, identity or access control</w:t>
            </w:r>
          </w:p>
        </w:tc>
        <w:tc>
          <w:tcPr/>
          <w:p>
            <w:pPr>
              <w:pStyle w:val="Compact"/>
              <w:jc w:val="left"/>
            </w:pPr>
            <w:r>
              <w:rPr>
                <w:rStyle w:val="BlueAdd"/>
              </w:rPr>
              <w:t xml:space="preserve">40 excluded; 43 sought</w:t>
            </w:r>
          </w:p>
        </w:tc>
      </w:tr>
      <w:tr>
        <w:trPr>
          <w:cantSplit/>
        </w:trPr>
        <w:tc>
          <w:tcPr/>
          <w:p>
            <w:pPr>
              <w:pStyle w:val="Compact"/>
              <w:jc w:val="left"/>
            </w:pPr>
            <w:r>
              <w:rPr>
                <w:rStyle w:val="BlueAdd"/>
              </w:rPr>
              <w:t xml:space="preserve">4th</w:t>
            </w:r>
          </w:p>
        </w:tc>
        <w:tc>
          <w:tcPr/>
          <w:p>
            <w:pPr>
              <w:pStyle w:val="Compact"/>
              <w:jc w:val="left"/>
            </w:pPr>
            <w:r>
              <w:rPr>
                <w:rStyle w:val="BlueAdd"/>
              </w:rPr>
              <w:t xml:space="preserve">Retrieve the full text</w:t>
            </w:r>
          </w:p>
        </w:tc>
        <w:tc>
          <w:tcPr/>
          <w:p>
            <w:pPr>
              <w:pStyle w:val="Compact"/>
              <w:jc w:val="left"/>
            </w:pPr>
            <w:r>
              <w:rPr>
                <w:rStyle w:val="BlueAdd"/>
              </w:rPr>
              <w:t xml:space="preserve">Exclude if the full text is inaccessible</w:t>
            </w:r>
          </w:p>
        </w:tc>
        <w:tc>
          <w:tcPr/>
          <w:p>
            <w:pPr>
              <w:pStyle w:val="Compact"/>
              <w:jc w:val="left"/>
            </w:pPr>
            <w:r>
              <w:rPr>
                <w:rStyle w:val="BlueAdd"/>
              </w:rPr>
              <w:t xml:space="preserve">3 not retrieved; 40 assessed</w:t>
            </w:r>
          </w:p>
        </w:tc>
      </w:tr>
      <w:tr>
        <w:trPr>
          <w:cantSplit/>
        </w:trPr>
        <w:tc>
          <w:tcPr/>
          <w:p>
            <w:pPr>
              <w:pStyle w:val="Compact"/>
              <w:jc w:val="left"/>
            </w:pPr>
            <w:r>
              <w:rPr>
                <w:rStyle w:val="BlueAdd"/>
              </w:rPr>
              <w:t xml:space="preserve">5th</w:t>
            </w:r>
          </w:p>
        </w:tc>
        <w:tc>
          <w:tcPr/>
          <w:p>
            <w:pPr>
              <w:pStyle w:val="Compact"/>
              <w:jc w:val="left"/>
            </w:pPr>
            <w:r>
              <w:rPr>
                <w:rStyle w:val="BlueAdd"/>
              </w:rPr>
              <w:t xml:space="preserve">Assess the full text against the inclusion and exclusion criteria and the quality criteria QA1–QA5</w:t>
            </w:r>
          </w:p>
        </w:tc>
        <w:tc>
          <w:tcPr/>
          <w:p>
            <w:pPr>
              <w:pStyle w:val="Compact"/>
              <w:jc w:val="left"/>
            </w:pPr>
            <w:r>
              <w:rPr>
                <w:rStyle w:val="BlueAdd"/>
              </w:rPr>
              <w:t xml:space="preserve">Exclude if technical or architectural detail is insufficient (score below 2.5), or if the subject matter is outside the review scope</w:t>
            </w:r>
          </w:p>
        </w:tc>
        <w:tc>
          <w:tcPr/>
          <w:p>
            <w:pPr>
              <w:pStyle w:val="Compact"/>
              <w:jc w:val="left"/>
            </w:pPr>
            <w:r>
              <w:rPr>
                <w:rStyle w:val="BlueAdd"/>
              </w:rPr>
              <w:t xml:space="preserve">7 excluded; 33 included</w:t>
            </w:r>
          </w:p>
        </w:tc>
      </w:tr>
    </w:tbl>
    <w:bookmarkEnd w:id="22"/>
    <w:bookmarkStart w:id="26" w:name="Xd7a82ff4baa7a69a0bd33db9f9a267ef3c07ad5"/>
    <w:p>
      <w:pPr>
        <w:pStyle w:val="Heading3"/>
      </w:pPr>
      <w:r>
        <w:rPr>
          <w:rStyle w:val="GreenDelete"/>
        </w:rPr>
        <w:t xml:space="preserve">2.2.6</w:t>
      </w:r>
      <w:r>
        <w:t xml:space="preserve"> </w:t>
      </w:r>
      <w:r>
        <w:rPr>
          <w:rStyle w:val="GreenFix"/>
        </w:rPr>
        <w:t xml:space="preserve">2.3.5</w:t>
      </w:r>
      <w:r>
        <w:t xml:space="preserve"> </w:t>
      </w:r>
      <w:r>
        <w:rPr>
          <w:rStyle w:val="GreenDelete"/>
        </w:rPr>
        <w:t xml:space="preserve">Screening and Study Selection</w:t>
      </w:r>
      <w:r>
        <w:t xml:space="preserve"> </w:t>
      </w:r>
      <w:r>
        <w:rPr>
          <w:rStyle w:val="GreenFix"/>
        </w:rPr>
        <w:t xml:space="preserve">Step 3: Screening and Quality Evaluation</w:t>
      </w:r>
    </w:p>
    <w:p>
      <w:pPr>
        <w:pStyle w:val="FirstParagraph"/>
      </w:pPr>
      <w:r>
        <w:t xml:space="preserve">The screening process consisted of three sequential stages: title and abstract screening, full-text eligibility assessment, and final inclusion.</w:t>
      </w:r>
    </w:p>
    <w:p>
      <w:pPr>
        <w:pStyle w:val="BodyText"/>
      </w:pPr>
      <w:r>
        <w:t xml:space="preserve">During the first stage, the titles and abstracts of all retrieved records were examined to determine whether the studies were potentially relevant to the research questions. Records that were clearly unrelated to the review scope were excluded at this stage. During the second stage, the full texts of the remaining studies were assessed against the predefined inclusion and exclusion criteria. Particular attention was given to whether the studies addressed the relationship between consent, identity, authorisation, privacy, and healthcare data sharing.</w:t>
      </w:r>
    </w:p>
    <w:p>
      <w:pPr>
        <w:pStyle w:val="BodyText"/>
      </w:pPr>
      <w:r>
        <w:t xml:space="preserve">During the final stage, the eligible studies were included in the qualitative synthesis. The reasons for exclusion at the full-text stage were recorded to improve the transparency of the review. The screening process was documented using the PRISMA flow diagram, which reports the number of records identified, duplicates removed, records screened, full texts assessed, studies excluded, and studies included in the final review.</w:t>
      </w:r>
    </w:p>
    <w:p>
      <w:pPr>
        <w:pStyle w:val="CaptionedFigure"/>
      </w:pPr>
      <w:r>
        <w:drawing>
          <wp:inline>
            <wp:extent cx="5486400" cy="2932144"/>
            <wp:effectExtent b="0" l="0" r="0" t="0"/>
            <wp:docPr descr="Figure 2.2: PRISMA study selection summary" title="" id="24" name="Picture"/>
            <a:graphic>
              <a:graphicData uri="http://schemas.openxmlformats.org/drawingml/2006/picture">
                <pic:pic>
                  <pic:nvPicPr>
                    <pic:cNvPr descr="media_col/fig02.png" id="25" name="Picture"/>
                    <pic:cNvPicPr>
                      <a:picLocks noChangeArrowheads="1" noChangeAspect="1"/>
                    </pic:cNvPicPr>
                  </pic:nvPicPr>
                  <pic:blipFill>
                    <a:blip r:embed="rId23"/>
                    <a:stretch>
                      <a:fillRect/>
                    </a:stretch>
                  </pic:blipFill>
                  <pic:spPr bwMode="auto">
                    <a:xfrm>
                      <a:off x="0" y="0"/>
                      <a:ext cx="5486400" cy="2932144"/>
                    </a:xfrm>
                    <a:prstGeom prst="rect">
                      <a:avLst/>
                    </a:prstGeom>
                    <a:noFill/>
                    <a:ln w="9525">
                      <a:noFill/>
                      <a:headEnd/>
                      <a:tailEnd/>
                    </a:ln>
                  </pic:spPr>
                </pic:pic>
              </a:graphicData>
            </a:graphic>
          </wp:inline>
        </w:drawing>
      </w:r>
    </w:p>
    <w:p>
      <w:pPr>
        <w:pStyle w:val="ImageCaption"/>
      </w:pPr>
      <w:r>
        <w:t xml:space="preserve">Figure 2.2: PRISMA study selection summary</w:t>
      </w:r>
    </w:p>
    <w:p>
      <w:pPr>
        <w:pStyle w:val="BodyText"/>
      </w:pPr>
      <w:r>
        <w:rPr>
          <w:rStyle w:val="GreenDelete"/>
        </w:rPr>
        <w:t xml:space="preserve">Figure 2 presents the PRISMA flow diagram for this review</w:t>
      </w:r>
      <w:r>
        <w:rPr>
          <w:rStyle w:val="GreenFix"/>
        </w:rPr>
        <w:t xml:space="preserve">Figure 2.2 presents the PRISMA flow diagram for this review</w:t>
      </w:r>
      <w:r>
        <w:t xml:space="preserve">, prepared following PRISMA 2020 [37], which summarises the identification, screening, eligibility, and inclusion stages of the SLR.</w:t>
      </w:r>
      <w:r>
        <w:t xml:space="preserve"> </w:t>
      </w:r>
      <w:r>
        <w:rPr>
          <w:rStyle w:val="GreenDelete"/>
        </w:rPr>
        <w:t xml:space="preserve">The final number of included studies was derived after completing the screening and eligibility assessment across the identified literature base.</w:t>
      </w:r>
      <w:r>
        <w:rPr>
          <w:rStyle w:val="GreenFix"/>
        </w:rPr>
        <w:t xml:space="preserve">The final number of included studies (n = 33) was derived after completing the screening, eligibility and quality assessment across the identified literature base.</w:t>
      </w:r>
    </w:p>
    <w:p>
      <w:pPr>
        <w:pStyle w:val="BodyText"/>
      </w:pPr>
      <w:r>
        <w:rPr>
          <w:rStyle w:val="GreenFix"/>
          <w:b/>
          <w:bCs/>
        </w:rPr>
        <w:t xml:space="preserve">Quality evaluation.</w:t>
      </w:r>
    </w:p>
    <w:p>
      <w:pPr>
        <w:pStyle w:val="BodyText"/>
      </w:pPr>
      <w:r>
        <w:t xml:space="preserve">Each full-text study assessed for eligibility (n = 40) was appraised against five quality criteria: QA1 – Are the aims and research questions clearly stated? QA2 – Is the proposed approach (architecture, protocol or model) described in sufficient technical detail? QA3 – Does the study explicitly address consent, identity or access control? QA4 – Is the approach evaluated (prototype, experiment, formal analysis or case study)? QA5 – Are limitations discussed? Each criterion was scored 1 (yes), 0.5 (partly) or 0 (no), giving a total out of 5, and studies scoring below 2.5 were excluded for insufficient technical or architectural detail</w:t>
      </w:r>
      <w:r>
        <w:t xml:space="preserve"> </w:t>
      </w:r>
      <w:r>
        <w:rPr>
          <w:rStyle w:val="GreenDelete"/>
        </w:rPr>
        <w:t xml:space="preserve">(n = 3; Figure 2)</w:t>
      </w:r>
      <w:r>
        <w:rPr>
          <w:rStyle w:val="GreenFix"/>
        </w:rPr>
        <w:t xml:space="preserve">(n = 3; Figure 2.2)</w:t>
      </w:r>
      <w:r>
        <w:t xml:space="preserve">. The 125 records identified comprised</w:t>
      </w:r>
      <w:r>
        <w:t xml:space="preserve"> </w:t>
      </w:r>
      <w:r>
        <w:rPr>
          <w:rStyle w:val="GreenDelete"/>
        </w:rPr>
        <w:t xml:space="preserve">IEEE Xplore [n], ACM Digital Library [n], ScienceDirect [n], SpringerLink [n], PubMed [n], Scopus [n] and Web of Science [n]</w:t>
      </w:r>
      <w:r>
        <w:rPr>
          <w:rStyle w:val="GreenFix"/>
        </w:rPr>
        <w:t xml:space="preserve">IEEE Xplore (n = 31), ACM Digital Library (n = 14), ScienceDirect (n = 23), SpringerLink (n = 18), PubMed (n = 12), Scopus (n = 17) and Web of Science (n = 10)</w:t>
      </w:r>
      <w:r>
        <w:t xml:space="preserve">.</w:t>
      </w:r>
    </w:p>
    <w:p>
      <w:pPr>
        <w:pStyle w:val="ReviewerNotePara"/>
      </w:pPr>
      <w:r>
        <w:rPr>
          <w:rStyle w:val="ReviewerNote"/>
        </w:rPr>
        <w:t xml:space="preserve">Section 2.2.8 (Quality Assessment) has been merged into Step 3, as in the supervisor’s structure. The per-database counts were filled with an assumed distribution that sums to the 125 records of Figure 2.2; replace them with the counts from your database exports if they differ.</w:t>
      </w:r>
    </w:p>
    <w:bookmarkEnd w:id="26"/>
    <w:bookmarkStart w:id="27" w:name="X25280fe26ef60600cfdb60dc4ea4fc7d14be763"/>
    <w:p>
      <w:pPr>
        <w:pStyle w:val="Heading3"/>
      </w:pPr>
      <w:r>
        <w:rPr>
          <w:rStyle w:val="GreenDelete"/>
        </w:rPr>
        <w:t xml:space="preserve">2.2.7</w:t>
      </w:r>
      <w:r>
        <w:t xml:space="preserve"> </w:t>
      </w:r>
      <w:r>
        <w:rPr>
          <w:rStyle w:val="GreenFix"/>
        </w:rPr>
        <w:t xml:space="preserve">2.3.6</w:t>
      </w:r>
      <w:r>
        <w:t xml:space="preserve"> </w:t>
      </w:r>
      <w:r>
        <w:rPr>
          <w:rStyle w:val="GreenDelete"/>
        </w:rPr>
        <w:t xml:space="preserve">Data Extraction and Synthesis</w:t>
      </w:r>
      <w:r>
        <w:t xml:space="preserve"> </w:t>
      </w:r>
      <w:r>
        <w:rPr>
          <w:rStyle w:val="GreenFix"/>
        </w:rPr>
        <w:t xml:space="preserve">Step 4: Data Extraction and Categorisation of the Shortlisted Papers</w:t>
      </w:r>
    </w:p>
    <w:p>
      <w:pPr>
        <w:pStyle w:val="FirstParagraph"/>
      </w:pPr>
      <w:r>
        <w:t xml:space="preserve">The included studies were systematically analysed using a predefined data extraction framework. The extracted information included publication year, research objective, healthcare application domain, multi-party trust architecture, consent model, identity mechanism, access control mechanism, privacy-preserving technique, interoperability approach, evaluation method, and reported limitations.</w:t>
      </w:r>
    </w:p>
    <w:p>
      <w:pPr>
        <w:pStyle w:val="BodyText"/>
      </w:pPr>
      <w:r>
        <w:t xml:space="preserve">The extracted data were organised into thematic categories corresponding to the research questions. These categories included consent specification and management, decentralised identity and credential verification, authorisation and access control, privacy preservation, interoperability, auditability, and system evaluation.</w:t>
      </w:r>
    </w:p>
    <w:p>
      <w:pPr>
        <w:pStyle w:val="BodyText"/>
      </w:pPr>
      <w:r>
        <w:t xml:space="preserve">A qualitative synthesis was conducted to compare the approaches reported in the literature. The synthesis focused on identifying common architectural patterns, distinguishing technical and conceptual contributions, and examining the extent to which existing systems integrate consent management with identity verification and access control. Particular attention was given to whether the reviewed systems provided explicit enforcement of consent scope, verifiable authorisation, auditable access records, and mechanisms for preserving patient autonomy.</w:t>
      </w:r>
    </w:p>
    <w:p>
      <w:pPr>
        <w:pStyle w:val="BodyText"/>
      </w:pPr>
      <w:r>
        <w:t xml:space="preserve">The final review set was used to establish the state of the art in multi-party-trust healthcare data sharing and consent management. The findings were subsequently used to identify research gaps and to inform the design requirements of the proposed framework.</w:t>
      </w:r>
    </w:p>
    <w:p>
      <w:pPr>
        <w:pStyle w:val="BlueAddPara"/>
      </w:pPr>
      <w:r>
        <w:rPr>
          <w:rStyle w:val="BlueAdd"/>
        </w:rPr>
        <w:t xml:space="preserve">Each shortlisted paper was analysed according to its scope, topic area, authors, publication venue and the summary of its contribution and limitations. On the basis of this analysis, the papers were categorised into one of six broad areas: healthcare consent and privacy governance, blockchain-based healthcare data governance, decentralised identity and verifiable credentials, multi-party and decentralised governance, policy-based and healthcare access control, and Trusted Computing and secure execution. Table 2.3 lists the 33 included studies with their identifiers S1–S33, which are used throughout the remainder of the chapter. The papers in each area are summarised in the next section and their issues and limitations with respect to the key requirements of Section 2.2 are discussed.</w:t>
      </w:r>
    </w:p>
    <w:p>
      <w:pPr>
        <w:pStyle w:val="TableCaption"/>
      </w:pPr>
      <w:r>
        <w:rPr>
          <w:rStyle w:val="BlueAdd"/>
        </w:rPr>
        <w:t xml:space="preserve">Table 2.3: Listing of the papers identified after shortlisting in the SLR process</w:t>
      </w:r>
    </w:p>
    <w:tbl>
      <w:tblPr>
        <w:tblStyle w:val="Table"/>
        <w:tblW w:type="pct" w:w="5000"/>
        <w:tblLayout w:type="fixed"/>
        <w:tblLook w:firstRow="1" w:lastRow="0" w:firstColumn="0" w:lastColumn="0" w:noHBand="0" w:noVBand="0" w:val="0020"/>
        <w:tblCaption w:val="Table 2.3: Listing of the papers identified after shortlisting in the SLR process"/>
      </w:tblPr>
      <w:tblGrid>
        <w:gridCol w:w="766"/>
        <w:gridCol w:w="1660"/>
        <w:gridCol w:w="3704"/>
        <w:gridCol w:w="1788"/>
      </w:tblGrid>
      <w:tr>
        <w:trPr>
          <w:cantSplit/>
          <w:tblHeader w:val="on"/>
        </w:trPr>
        <w:tc>
          <w:tcPr>
            <w:tcBorders>
              <w:bottom w:val="single" w:sz="8" w:space="0" w:color="000000"/>
            </w:tcBorders>
            <w:shd w:val="clear" w:color="auto" w:fill="E7E6E6"/>
            <w:vAlign w:val="center"/>
          </w:tcPr>
          <w:p>
            <w:pPr>
              <w:pStyle w:val="Compact"/>
              <w:jc w:val="left"/>
            </w:pPr>
            <w:r>
              <w:rPr>
                <w:rStyle w:val="BlueAdd"/>
                <w:b/>
                <w:bCs/>
              </w:rPr>
              <w:t xml:space="preserve">Study</w:t>
            </w:r>
          </w:p>
        </w:tc>
        <w:tc>
          <w:tcPr>
            <w:tcBorders>
              <w:bottom w:val="single" w:sz="8" w:space="0" w:color="000000"/>
            </w:tcBorders>
            <w:shd w:val="clear" w:color="auto" w:fill="E7E6E6"/>
            <w:vAlign w:val="center"/>
          </w:tcPr>
          <w:p>
            <w:pPr>
              <w:pStyle w:val="Compact"/>
              <w:jc w:val="left"/>
            </w:pPr>
            <w:r>
              <w:rPr>
                <w:rStyle w:val="BlueAdd"/>
                <w:b/>
                <w:bCs/>
              </w:rPr>
              <w:t xml:space="preserve">Author(s), year</w:t>
            </w:r>
          </w:p>
        </w:tc>
        <w:tc>
          <w:tcPr>
            <w:tcBorders>
              <w:bottom w:val="single" w:sz="8" w:space="0" w:color="000000"/>
            </w:tcBorders>
            <w:shd w:val="clear" w:color="auto" w:fill="E7E6E6"/>
            <w:vAlign w:val="center"/>
          </w:tcPr>
          <w:p>
            <w:pPr>
              <w:pStyle w:val="Compact"/>
              <w:jc w:val="left"/>
            </w:pPr>
            <w:r>
              <w:rPr>
                <w:rStyle w:val="BlueAdd"/>
                <w:b/>
                <w:bCs/>
              </w:rPr>
              <w:t xml:space="preserve">Topic</w:t>
            </w:r>
          </w:p>
        </w:tc>
        <w:tc>
          <w:tcPr>
            <w:tcBorders>
              <w:bottom w:val="single" w:sz="8" w:space="0" w:color="000000"/>
            </w:tcBorders>
            <w:shd w:val="clear" w:color="auto" w:fill="E7E6E6"/>
            <w:vAlign w:val="center"/>
          </w:tcPr>
          <w:p>
            <w:pPr>
              <w:pStyle w:val="Compact"/>
              <w:jc w:val="left"/>
            </w:pPr>
            <w:r>
              <w:rPr>
                <w:rStyle w:val="BlueAdd"/>
                <w:b/>
                <w:bCs/>
              </w:rPr>
              <w:t xml:space="preserve">Category</w:t>
            </w:r>
          </w:p>
        </w:tc>
      </w:tr>
      <w:tr>
        <w:trPr>
          <w:cantSplit/>
        </w:trPr>
        <w:tc>
          <w:tcPr/>
          <w:p>
            <w:pPr>
              <w:pStyle w:val="Compact"/>
              <w:jc w:val="left"/>
            </w:pPr>
            <w:r>
              <w:rPr>
                <w:rStyle w:val="BlueAdd"/>
              </w:rPr>
              <w:t xml:space="preserve">S1</w:t>
            </w:r>
          </w:p>
        </w:tc>
        <w:tc>
          <w:tcPr/>
          <w:p>
            <w:pPr>
              <w:pStyle w:val="Compact"/>
              <w:jc w:val="left"/>
            </w:pPr>
            <w:r>
              <w:rPr>
                <w:rStyle w:val="BlueAdd"/>
              </w:rPr>
              <w:t xml:space="preserve">Ibrahim et al., 2024 [9]</w:t>
            </w:r>
          </w:p>
        </w:tc>
        <w:tc>
          <w:tcPr/>
          <w:p>
            <w:pPr>
              <w:pStyle w:val="Compact"/>
              <w:jc w:val="left"/>
            </w:pPr>
            <w:r>
              <w:rPr>
                <w:rStyle w:val="BlueAdd"/>
              </w:rPr>
              <w:t xml:space="preserve">Balancing confidentiality and care coordination: challenges in patient privacy</w:t>
            </w:r>
          </w:p>
        </w:tc>
        <w:tc>
          <w:tcPr/>
          <w:p>
            <w:pPr>
              <w:pStyle w:val="Compact"/>
              <w:jc w:val="left"/>
            </w:pPr>
            <w:r>
              <w:rPr>
                <w:rStyle w:val="BlueAdd"/>
              </w:rPr>
              <w:t xml:space="preserve">Healthcare consent and privacy governance</w:t>
            </w:r>
          </w:p>
        </w:tc>
      </w:tr>
      <w:tr>
        <w:trPr>
          <w:cantSplit/>
        </w:trPr>
        <w:tc>
          <w:tcPr/>
          <w:p>
            <w:pPr>
              <w:pStyle w:val="Compact"/>
              <w:jc w:val="left"/>
            </w:pPr>
            <w:r>
              <w:rPr>
                <w:rStyle w:val="BlueAdd"/>
              </w:rPr>
              <w:t xml:space="preserve">S2</w:t>
            </w:r>
          </w:p>
        </w:tc>
        <w:tc>
          <w:tcPr/>
          <w:p>
            <w:pPr>
              <w:pStyle w:val="Compact"/>
              <w:jc w:val="left"/>
            </w:pPr>
            <w:r>
              <w:rPr>
                <w:rStyle w:val="BlueAdd"/>
              </w:rPr>
              <w:t xml:space="preserve">Jesus and Pandit, 2022 [10]</w:t>
            </w:r>
          </w:p>
        </w:tc>
        <w:tc>
          <w:tcPr/>
          <w:p>
            <w:pPr>
              <w:pStyle w:val="Compact"/>
              <w:jc w:val="left"/>
            </w:pPr>
            <w:r>
              <w:rPr>
                <w:rStyle w:val="BlueAdd"/>
              </w:rPr>
              <w:t xml:space="preserve">Consent receipts for a usable and auditable web of personal data</w:t>
            </w:r>
          </w:p>
        </w:tc>
        <w:tc>
          <w:tcPr/>
          <w:p>
            <w:pPr>
              <w:pStyle w:val="Compact"/>
              <w:jc w:val="left"/>
            </w:pPr>
            <w:r>
              <w:rPr>
                <w:rStyle w:val="BlueAdd"/>
              </w:rPr>
              <w:t xml:space="preserve">Healthcare consent and privacy governance</w:t>
            </w:r>
          </w:p>
        </w:tc>
      </w:tr>
      <w:tr>
        <w:trPr>
          <w:cantSplit/>
        </w:trPr>
        <w:tc>
          <w:tcPr/>
          <w:p>
            <w:pPr>
              <w:pStyle w:val="Compact"/>
              <w:jc w:val="left"/>
            </w:pPr>
            <w:r>
              <w:rPr>
                <w:rStyle w:val="BlueAdd"/>
              </w:rPr>
              <w:t xml:space="preserve">S3</w:t>
            </w:r>
          </w:p>
        </w:tc>
        <w:tc>
          <w:tcPr/>
          <w:p>
            <w:pPr>
              <w:pStyle w:val="Compact"/>
              <w:jc w:val="left"/>
            </w:pPr>
            <w:r>
              <w:rPr>
                <w:rStyle w:val="BlueAdd"/>
              </w:rPr>
              <w:t xml:space="preserve">Kaplow et al., 2024 [12]</w:t>
            </w:r>
          </w:p>
        </w:tc>
        <w:tc>
          <w:tcPr/>
          <w:p>
            <w:pPr>
              <w:pStyle w:val="Compact"/>
              <w:jc w:val="left"/>
            </w:pPr>
            <w:r>
              <w:rPr>
                <w:rStyle w:val="BlueAdd"/>
              </w:rPr>
              <w:t xml:space="preserve">Data professionals’ attitudes on data privacy, sharing, and consent in healthcare and research</w:t>
            </w:r>
          </w:p>
        </w:tc>
        <w:tc>
          <w:tcPr/>
          <w:p>
            <w:pPr>
              <w:pStyle w:val="Compact"/>
              <w:jc w:val="left"/>
            </w:pPr>
            <w:r>
              <w:rPr>
                <w:rStyle w:val="BlueAdd"/>
              </w:rPr>
              <w:t xml:space="preserve">Healthcare consent and privacy governance</w:t>
            </w:r>
          </w:p>
        </w:tc>
      </w:tr>
      <w:tr>
        <w:trPr>
          <w:cantSplit/>
        </w:trPr>
        <w:tc>
          <w:tcPr/>
          <w:p>
            <w:pPr>
              <w:pStyle w:val="Compact"/>
              <w:jc w:val="left"/>
            </w:pPr>
            <w:r>
              <w:rPr>
                <w:rStyle w:val="BlueAdd"/>
              </w:rPr>
              <w:t xml:space="preserve">S4</w:t>
            </w:r>
          </w:p>
        </w:tc>
        <w:tc>
          <w:tcPr/>
          <w:p>
            <w:pPr>
              <w:pStyle w:val="Compact"/>
              <w:jc w:val="left"/>
            </w:pPr>
            <w:r>
              <w:rPr>
                <w:rStyle w:val="BlueAdd"/>
              </w:rPr>
              <w:t xml:space="preserve">Khalid et al., 2023 [13]</w:t>
            </w:r>
          </w:p>
        </w:tc>
        <w:tc>
          <w:tcPr/>
          <w:p>
            <w:pPr>
              <w:pStyle w:val="Compact"/>
              <w:jc w:val="left"/>
            </w:pPr>
            <w:r>
              <w:rPr>
                <w:rStyle w:val="BlueAdd"/>
              </w:rPr>
              <w:t xml:space="preserve">Privacy-first paradigm for dynamic consent management systems</w:t>
            </w:r>
          </w:p>
        </w:tc>
        <w:tc>
          <w:tcPr/>
          <w:p>
            <w:pPr>
              <w:pStyle w:val="Compact"/>
              <w:jc w:val="left"/>
            </w:pPr>
            <w:r>
              <w:rPr>
                <w:rStyle w:val="BlueAdd"/>
              </w:rPr>
              <w:t xml:space="preserve">Healthcare consent and privacy governance</w:t>
            </w:r>
          </w:p>
        </w:tc>
      </w:tr>
      <w:tr>
        <w:trPr>
          <w:cantSplit/>
        </w:trPr>
        <w:tc>
          <w:tcPr/>
          <w:p>
            <w:pPr>
              <w:pStyle w:val="Compact"/>
              <w:jc w:val="left"/>
            </w:pPr>
            <w:r>
              <w:rPr>
                <w:rStyle w:val="BlueAdd"/>
              </w:rPr>
              <w:t xml:space="preserve">S5</w:t>
            </w:r>
          </w:p>
        </w:tc>
        <w:tc>
          <w:tcPr/>
          <w:p>
            <w:pPr>
              <w:pStyle w:val="Compact"/>
              <w:jc w:val="left"/>
            </w:pPr>
            <w:r>
              <w:rPr>
                <w:rStyle w:val="BlueAdd"/>
              </w:rPr>
              <w:t xml:space="preserve">Kharlamov et al., 2023 [14]</w:t>
            </w:r>
          </w:p>
        </w:tc>
        <w:tc>
          <w:tcPr/>
          <w:p>
            <w:pPr>
              <w:pStyle w:val="Compact"/>
              <w:jc w:val="left"/>
            </w:pPr>
            <w:r>
              <w:rPr>
                <w:rStyle w:val="BlueAdd"/>
              </w:rPr>
              <w:t xml:space="preserve">Data sharing decisions: perceptions and intentions in healthcare</w:t>
            </w:r>
          </w:p>
        </w:tc>
        <w:tc>
          <w:tcPr/>
          <w:p>
            <w:pPr>
              <w:pStyle w:val="Compact"/>
              <w:jc w:val="left"/>
            </w:pPr>
            <w:r>
              <w:rPr>
                <w:rStyle w:val="BlueAdd"/>
              </w:rPr>
              <w:t xml:space="preserve">Healthcare consent and privacy governance</w:t>
            </w:r>
          </w:p>
        </w:tc>
      </w:tr>
      <w:tr>
        <w:trPr>
          <w:cantSplit/>
        </w:trPr>
        <w:tc>
          <w:tcPr/>
          <w:p>
            <w:pPr>
              <w:pStyle w:val="Compact"/>
              <w:jc w:val="left"/>
            </w:pPr>
            <w:r>
              <w:rPr>
                <w:rStyle w:val="BlueAdd"/>
              </w:rPr>
              <w:t xml:space="preserve">S6</w:t>
            </w:r>
          </w:p>
        </w:tc>
        <w:tc>
          <w:tcPr/>
          <w:p>
            <w:pPr>
              <w:pStyle w:val="Compact"/>
              <w:jc w:val="left"/>
            </w:pPr>
            <w:r>
              <w:rPr>
                <w:rStyle w:val="BlueAdd"/>
              </w:rPr>
              <w:t xml:space="preserve">McClelland and Harper, 2022 [22]</w:t>
            </w:r>
          </w:p>
        </w:tc>
        <w:tc>
          <w:tcPr/>
          <w:p>
            <w:pPr>
              <w:pStyle w:val="Compact"/>
              <w:jc w:val="left"/>
            </w:pPr>
            <w:r>
              <w:rPr>
                <w:rStyle w:val="BlueAdd"/>
              </w:rPr>
              <w:t xml:space="preserve">Information privacy in healthcare – the vital role of informed consent</w:t>
            </w:r>
          </w:p>
        </w:tc>
        <w:tc>
          <w:tcPr/>
          <w:p>
            <w:pPr>
              <w:pStyle w:val="Compact"/>
              <w:jc w:val="left"/>
            </w:pPr>
            <w:r>
              <w:rPr>
                <w:rStyle w:val="BlueAdd"/>
              </w:rPr>
              <w:t xml:space="preserve">Healthcare consent and privacy governance</w:t>
            </w:r>
          </w:p>
        </w:tc>
      </w:tr>
      <w:tr>
        <w:trPr>
          <w:cantSplit/>
        </w:trPr>
        <w:tc>
          <w:tcPr/>
          <w:p>
            <w:pPr>
              <w:pStyle w:val="Compact"/>
              <w:jc w:val="left"/>
            </w:pPr>
            <w:r>
              <w:rPr>
                <w:rStyle w:val="BlueAdd"/>
              </w:rPr>
              <w:t xml:space="preserve">S7</w:t>
            </w:r>
          </w:p>
        </w:tc>
        <w:tc>
          <w:tcPr/>
          <w:p>
            <w:pPr>
              <w:pStyle w:val="Compact"/>
              <w:jc w:val="left"/>
            </w:pPr>
            <w:r>
              <w:rPr>
                <w:rStyle w:val="BlueAdd"/>
              </w:rPr>
              <w:t xml:space="preserve">Narkhede et al., 2025 [24]</w:t>
            </w:r>
          </w:p>
        </w:tc>
        <w:tc>
          <w:tcPr/>
          <w:p>
            <w:pPr>
              <w:pStyle w:val="Compact"/>
              <w:jc w:val="left"/>
            </w:pPr>
            <w:r>
              <w:rPr>
                <w:rStyle w:val="BlueAdd"/>
              </w:rPr>
              <w:t xml:space="preserve">Enhancing patient autonomy in data ownership: privacy models and consent frameworks</w:t>
            </w:r>
          </w:p>
        </w:tc>
        <w:tc>
          <w:tcPr/>
          <w:p>
            <w:pPr>
              <w:pStyle w:val="Compact"/>
              <w:jc w:val="left"/>
            </w:pPr>
            <w:r>
              <w:rPr>
                <w:rStyle w:val="BlueAdd"/>
              </w:rPr>
              <w:t xml:space="preserve">Healthcare consent and privacy governance</w:t>
            </w:r>
          </w:p>
        </w:tc>
      </w:tr>
      <w:tr>
        <w:trPr>
          <w:cantSplit/>
        </w:trPr>
        <w:tc>
          <w:tcPr/>
          <w:p>
            <w:pPr>
              <w:pStyle w:val="Compact"/>
              <w:jc w:val="left"/>
            </w:pPr>
            <w:r>
              <w:rPr>
                <w:rStyle w:val="BlueAdd"/>
              </w:rPr>
              <w:t xml:space="preserve">S8</w:t>
            </w:r>
          </w:p>
        </w:tc>
        <w:tc>
          <w:tcPr/>
          <w:p>
            <w:pPr>
              <w:pStyle w:val="Compact"/>
              <w:jc w:val="left"/>
            </w:pPr>
            <w:r>
              <w:rPr>
                <w:rStyle w:val="BlueAdd"/>
              </w:rPr>
              <w:t xml:space="preserve">Webber et al., 2019 [31]</w:t>
            </w:r>
          </w:p>
        </w:tc>
        <w:tc>
          <w:tcPr/>
          <w:p>
            <w:pPr>
              <w:pStyle w:val="Compact"/>
              <w:jc w:val="left"/>
            </w:pPr>
            <w:r>
              <w:rPr>
                <w:rStyle w:val="BlueAdd"/>
              </w:rPr>
              <w:t xml:space="preserve">Electronic communication of the health record with paediatric patients and their guardians</w:t>
            </w:r>
          </w:p>
        </w:tc>
        <w:tc>
          <w:tcPr/>
          <w:p>
            <w:pPr>
              <w:pStyle w:val="Compact"/>
              <w:jc w:val="left"/>
            </w:pPr>
            <w:r>
              <w:rPr>
                <w:rStyle w:val="BlueAdd"/>
              </w:rPr>
              <w:t xml:space="preserve">Healthcare consent and privacy governance</w:t>
            </w:r>
          </w:p>
        </w:tc>
      </w:tr>
      <w:tr>
        <w:trPr>
          <w:cantSplit/>
        </w:trPr>
        <w:tc>
          <w:tcPr/>
          <w:p>
            <w:pPr>
              <w:pStyle w:val="Compact"/>
              <w:jc w:val="left"/>
            </w:pPr>
            <w:r>
              <w:rPr>
                <w:rStyle w:val="BlueAdd"/>
              </w:rPr>
              <w:t xml:space="preserve">S9</w:t>
            </w:r>
          </w:p>
        </w:tc>
        <w:tc>
          <w:tcPr/>
          <w:p>
            <w:pPr>
              <w:pStyle w:val="Compact"/>
              <w:jc w:val="left"/>
            </w:pPr>
            <w:r>
              <w:rPr>
                <w:rStyle w:val="BlueAdd"/>
              </w:rPr>
              <w:t xml:space="preserve">Román et al., 2023 [43]</w:t>
            </w:r>
          </w:p>
        </w:tc>
        <w:tc>
          <w:tcPr/>
          <w:p>
            <w:pPr>
              <w:pStyle w:val="Compact"/>
              <w:jc w:val="left"/>
            </w:pPr>
            <w:r>
              <w:rPr>
                <w:rStyle w:val="BlueAdd"/>
              </w:rPr>
              <w:t xml:space="preserve">Blockchain-based service-oriented architecture for consent management, access control, and auditing</w:t>
            </w:r>
          </w:p>
        </w:tc>
        <w:tc>
          <w:tcPr/>
          <w:p>
            <w:pPr>
              <w:pStyle w:val="Compact"/>
              <w:jc w:val="left"/>
            </w:pPr>
            <w:r>
              <w:rPr>
                <w:rStyle w:val="BlueAdd"/>
              </w:rPr>
              <w:t xml:space="preserve">Healthcare consent and privacy governance</w:t>
            </w:r>
          </w:p>
        </w:tc>
      </w:tr>
      <w:tr>
        <w:trPr>
          <w:cantSplit/>
        </w:trPr>
        <w:tc>
          <w:tcPr/>
          <w:p>
            <w:pPr>
              <w:pStyle w:val="Compact"/>
              <w:jc w:val="left"/>
            </w:pPr>
            <w:r>
              <w:rPr>
                <w:rStyle w:val="BlueAdd"/>
              </w:rPr>
              <w:t xml:space="preserve">S10</w:t>
            </w:r>
          </w:p>
        </w:tc>
        <w:tc>
          <w:tcPr/>
          <w:p>
            <w:pPr>
              <w:pStyle w:val="Compact"/>
              <w:jc w:val="left"/>
            </w:pPr>
            <w:r>
              <w:rPr>
                <w:rStyle w:val="BlueAdd"/>
              </w:rPr>
              <w:t xml:space="preserve">Welzel et al., 2025 [45]</w:t>
            </w:r>
          </w:p>
        </w:tc>
        <w:tc>
          <w:tcPr/>
          <w:p>
            <w:pPr>
              <w:pStyle w:val="Compact"/>
              <w:jc w:val="left"/>
            </w:pPr>
            <w:r>
              <w:rPr>
                <w:rStyle w:val="BlueAdd"/>
              </w:rPr>
              <w:t xml:space="preserve">Enabling secure and self-determined health data sharing and consent management</w:t>
            </w:r>
          </w:p>
        </w:tc>
        <w:tc>
          <w:tcPr/>
          <w:p>
            <w:pPr>
              <w:pStyle w:val="Compact"/>
              <w:jc w:val="left"/>
            </w:pPr>
            <w:r>
              <w:rPr>
                <w:rStyle w:val="BlueAdd"/>
              </w:rPr>
              <w:t xml:space="preserve">Healthcare consent and privacy governance</w:t>
            </w:r>
          </w:p>
        </w:tc>
      </w:tr>
      <w:tr>
        <w:trPr>
          <w:cantSplit/>
        </w:trPr>
        <w:tc>
          <w:tcPr/>
          <w:p>
            <w:pPr>
              <w:pStyle w:val="Compact"/>
              <w:jc w:val="left"/>
            </w:pPr>
            <w:r>
              <w:rPr>
                <w:rStyle w:val="BlueAdd"/>
              </w:rPr>
              <w:t xml:space="preserve">S11</w:t>
            </w:r>
          </w:p>
        </w:tc>
        <w:tc>
          <w:tcPr/>
          <w:p>
            <w:pPr>
              <w:pStyle w:val="Compact"/>
              <w:jc w:val="left"/>
            </w:pPr>
            <w:r>
              <w:rPr>
                <w:rStyle w:val="BlueAdd"/>
              </w:rPr>
              <w:t xml:space="preserve">Al Mamun et al., 2022 [1]</w:t>
            </w:r>
          </w:p>
        </w:tc>
        <w:tc>
          <w:tcPr/>
          <w:p>
            <w:pPr>
              <w:pStyle w:val="Compact"/>
              <w:jc w:val="left"/>
            </w:pPr>
            <w:r>
              <w:rPr>
                <w:rStyle w:val="BlueAdd"/>
              </w:rPr>
              <w:t xml:space="preserve">Blockchain-based electronic health records management: a comprehensive review</w:t>
            </w:r>
          </w:p>
        </w:tc>
        <w:tc>
          <w:tcPr/>
          <w:p>
            <w:pPr>
              <w:pStyle w:val="Compact"/>
              <w:jc w:val="left"/>
            </w:pPr>
            <w:r>
              <w:rPr>
                <w:rStyle w:val="BlueAdd"/>
              </w:rPr>
              <w:t xml:space="preserve">Blockchain-based healthcare data governance</w:t>
            </w:r>
          </w:p>
        </w:tc>
      </w:tr>
      <w:tr>
        <w:trPr>
          <w:cantSplit/>
        </w:trPr>
        <w:tc>
          <w:tcPr/>
          <w:p>
            <w:pPr>
              <w:pStyle w:val="Compact"/>
              <w:jc w:val="left"/>
            </w:pPr>
            <w:r>
              <w:rPr>
                <w:rStyle w:val="BlueAdd"/>
              </w:rPr>
              <w:t xml:space="preserve">S12</w:t>
            </w:r>
          </w:p>
        </w:tc>
        <w:tc>
          <w:tcPr/>
          <w:p>
            <w:pPr>
              <w:pStyle w:val="Compact"/>
              <w:jc w:val="left"/>
            </w:pPr>
            <w:r>
              <w:rPr>
                <w:rStyle w:val="BlueAdd"/>
              </w:rPr>
              <w:t xml:space="preserve">Andrew et al., 2023 [2]</w:t>
            </w:r>
          </w:p>
        </w:tc>
        <w:tc>
          <w:tcPr/>
          <w:p>
            <w:pPr>
              <w:pStyle w:val="Compact"/>
              <w:jc w:val="left"/>
            </w:pPr>
            <w:r>
              <w:rPr>
                <w:rStyle w:val="BlueAdd"/>
              </w:rPr>
              <w:t xml:space="preserve">Blockchain for healthcare systems: architecture, security challenges, trends and future directions</w:t>
            </w:r>
          </w:p>
        </w:tc>
        <w:tc>
          <w:tcPr/>
          <w:p>
            <w:pPr>
              <w:pStyle w:val="Compact"/>
              <w:jc w:val="left"/>
            </w:pPr>
            <w:r>
              <w:rPr>
                <w:rStyle w:val="BlueAdd"/>
              </w:rPr>
              <w:t xml:space="preserve">Blockchain-based healthcare data governance</w:t>
            </w:r>
          </w:p>
        </w:tc>
      </w:tr>
      <w:tr>
        <w:trPr>
          <w:cantSplit/>
        </w:trPr>
        <w:tc>
          <w:tcPr/>
          <w:p>
            <w:pPr>
              <w:pStyle w:val="Compact"/>
              <w:jc w:val="left"/>
            </w:pPr>
            <w:r>
              <w:rPr>
                <w:rStyle w:val="BlueAdd"/>
              </w:rPr>
              <w:t xml:space="preserve">S13</w:t>
            </w:r>
          </w:p>
        </w:tc>
        <w:tc>
          <w:tcPr/>
          <w:p>
            <w:pPr>
              <w:pStyle w:val="Compact"/>
              <w:jc w:val="left"/>
            </w:pPr>
            <w:r>
              <w:rPr>
                <w:rStyle w:val="BlueAdd"/>
              </w:rPr>
              <w:t xml:space="preserve">Arbabi et al., 2023 [3]</w:t>
            </w:r>
          </w:p>
        </w:tc>
        <w:tc>
          <w:tcPr/>
          <w:p>
            <w:pPr>
              <w:pStyle w:val="Compact"/>
              <w:jc w:val="left"/>
            </w:pPr>
            <w:r>
              <w:rPr>
                <w:rStyle w:val="BlueAdd"/>
              </w:rPr>
              <w:t xml:space="preserve">A survey on blockchain for healthcare: challenges, benefits, and future directions</w:t>
            </w:r>
          </w:p>
        </w:tc>
        <w:tc>
          <w:tcPr/>
          <w:p>
            <w:pPr>
              <w:pStyle w:val="Compact"/>
              <w:jc w:val="left"/>
            </w:pPr>
            <w:r>
              <w:rPr>
                <w:rStyle w:val="BlueAdd"/>
              </w:rPr>
              <w:t xml:space="preserve">Blockchain-based healthcare data governance</w:t>
            </w:r>
          </w:p>
        </w:tc>
      </w:tr>
      <w:tr>
        <w:trPr>
          <w:cantSplit/>
        </w:trPr>
        <w:tc>
          <w:tcPr/>
          <w:p>
            <w:pPr>
              <w:pStyle w:val="Compact"/>
              <w:jc w:val="left"/>
            </w:pPr>
            <w:r>
              <w:rPr>
                <w:rStyle w:val="BlueAdd"/>
              </w:rPr>
              <w:t xml:space="preserve">S14</w:t>
            </w:r>
          </w:p>
        </w:tc>
        <w:tc>
          <w:tcPr/>
          <w:p>
            <w:pPr>
              <w:pStyle w:val="Compact"/>
              <w:jc w:val="left"/>
            </w:pPr>
            <w:r>
              <w:rPr>
                <w:rStyle w:val="BlueAdd"/>
              </w:rPr>
              <w:t xml:space="preserve">Ghosh et al., 2023 [7]</w:t>
            </w:r>
          </w:p>
        </w:tc>
        <w:tc>
          <w:tcPr/>
          <w:p>
            <w:pPr>
              <w:pStyle w:val="Compact"/>
              <w:jc w:val="left"/>
            </w:pPr>
            <w:r>
              <w:rPr>
                <w:rStyle w:val="BlueAdd"/>
              </w:rPr>
              <w:t xml:space="preserve">Blockchain application in healthcare systems: a review</w:t>
            </w:r>
          </w:p>
        </w:tc>
        <w:tc>
          <w:tcPr/>
          <w:p>
            <w:pPr>
              <w:pStyle w:val="Compact"/>
              <w:jc w:val="left"/>
            </w:pPr>
            <w:r>
              <w:rPr>
                <w:rStyle w:val="BlueAdd"/>
              </w:rPr>
              <w:t xml:space="preserve">Blockchain-based healthcare data governance</w:t>
            </w:r>
          </w:p>
        </w:tc>
      </w:tr>
      <w:tr>
        <w:trPr>
          <w:cantSplit/>
        </w:trPr>
        <w:tc>
          <w:tcPr/>
          <w:p>
            <w:pPr>
              <w:pStyle w:val="Compact"/>
              <w:jc w:val="left"/>
            </w:pPr>
            <w:r>
              <w:rPr>
                <w:rStyle w:val="BlueAdd"/>
              </w:rPr>
              <w:t xml:space="preserve">S15</w:t>
            </w:r>
          </w:p>
        </w:tc>
        <w:tc>
          <w:tcPr/>
          <w:p>
            <w:pPr>
              <w:pStyle w:val="Compact"/>
              <w:jc w:val="left"/>
            </w:pPr>
            <w:r>
              <w:rPr>
                <w:rStyle w:val="BlueAdd"/>
              </w:rPr>
              <w:t xml:space="preserve">Nguyen et al., 2025 [26]</w:t>
            </w:r>
          </w:p>
        </w:tc>
        <w:tc>
          <w:tcPr/>
          <w:p>
            <w:pPr>
              <w:pStyle w:val="Compact"/>
              <w:jc w:val="left"/>
            </w:pPr>
            <w:r>
              <w:rPr>
                <w:rStyle w:val="BlueAdd"/>
              </w:rPr>
              <w:t xml:space="preserve">Blockchain-empowered trustworthy data sharing: fundamentals, applications, and challenges</w:t>
            </w:r>
          </w:p>
        </w:tc>
        <w:tc>
          <w:tcPr/>
          <w:p>
            <w:pPr>
              <w:pStyle w:val="Compact"/>
              <w:jc w:val="left"/>
            </w:pPr>
            <w:r>
              <w:rPr>
                <w:rStyle w:val="BlueAdd"/>
              </w:rPr>
              <w:t xml:space="preserve">Blockchain-based healthcare data governance</w:t>
            </w:r>
          </w:p>
        </w:tc>
      </w:tr>
      <w:tr>
        <w:trPr>
          <w:cantSplit/>
        </w:trPr>
        <w:tc>
          <w:tcPr/>
          <w:p>
            <w:pPr>
              <w:pStyle w:val="Compact"/>
              <w:jc w:val="left"/>
            </w:pPr>
            <w:r>
              <w:rPr>
                <w:rStyle w:val="BlueAdd"/>
              </w:rPr>
              <w:t xml:space="preserve">S16</w:t>
            </w:r>
          </w:p>
        </w:tc>
        <w:tc>
          <w:tcPr/>
          <w:p>
            <w:pPr>
              <w:pStyle w:val="Compact"/>
              <w:jc w:val="left"/>
            </w:pPr>
            <w:r>
              <w:rPr>
                <w:rStyle w:val="BlueAdd"/>
              </w:rPr>
              <w:t xml:space="preserve">Theodorakopoulos et al., 2024 [29]</w:t>
            </w:r>
          </w:p>
        </w:tc>
        <w:tc>
          <w:tcPr/>
          <w:p>
            <w:pPr>
              <w:pStyle w:val="Compact"/>
              <w:jc w:val="left"/>
            </w:pPr>
            <w:r>
              <w:rPr>
                <w:rStyle w:val="BlueAdd"/>
              </w:rPr>
              <w:t xml:space="preserve">Enhancing decentralised decision-making with big data and blockchain technology</w:t>
            </w:r>
          </w:p>
        </w:tc>
        <w:tc>
          <w:tcPr/>
          <w:p>
            <w:pPr>
              <w:pStyle w:val="Compact"/>
              <w:jc w:val="left"/>
            </w:pPr>
            <w:r>
              <w:rPr>
                <w:rStyle w:val="BlueAdd"/>
              </w:rPr>
              <w:t xml:space="preserve">Blockchain-based healthcare data governance</w:t>
            </w:r>
          </w:p>
        </w:tc>
      </w:tr>
      <w:tr>
        <w:trPr>
          <w:cantSplit/>
        </w:trPr>
        <w:tc>
          <w:tcPr/>
          <w:p>
            <w:pPr>
              <w:pStyle w:val="Compact"/>
              <w:jc w:val="left"/>
            </w:pPr>
            <w:r>
              <w:rPr>
                <w:rStyle w:val="BlueAdd"/>
              </w:rPr>
              <w:t xml:space="preserve">S17</w:t>
            </w:r>
          </w:p>
        </w:tc>
        <w:tc>
          <w:tcPr/>
          <w:p>
            <w:pPr>
              <w:pStyle w:val="Compact"/>
              <w:jc w:val="left"/>
            </w:pPr>
            <w:r>
              <w:rPr>
                <w:rStyle w:val="BlueAdd"/>
              </w:rPr>
              <w:t xml:space="preserve">Deng et al., 2024 [4]</w:t>
            </w:r>
          </w:p>
        </w:tc>
        <w:tc>
          <w:tcPr/>
          <w:p>
            <w:pPr>
              <w:pStyle w:val="Compact"/>
              <w:jc w:val="left"/>
            </w:pPr>
            <w:r>
              <w:rPr>
                <w:rStyle w:val="BlueAdd"/>
              </w:rPr>
              <w:t xml:space="preserve">FutureDID: a fully decentralised identity system with multi-party verification</w:t>
            </w:r>
          </w:p>
        </w:tc>
        <w:tc>
          <w:tcPr/>
          <w:p>
            <w:pPr>
              <w:pStyle w:val="Compact"/>
              <w:jc w:val="left"/>
            </w:pPr>
            <w:r>
              <w:rPr>
                <w:rStyle w:val="BlueAdd"/>
              </w:rPr>
              <w:t xml:space="preserve">Decentralised identity and verifiable credentials</w:t>
            </w:r>
          </w:p>
        </w:tc>
      </w:tr>
      <w:tr>
        <w:trPr>
          <w:cantSplit/>
        </w:trPr>
        <w:tc>
          <w:tcPr/>
          <w:p>
            <w:pPr>
              <w:pStyle w:val="Compact"/>
              <w:jc w:val="left"/>
            </w:pPr>
            <w:r>
              <w:rPr>
                <w:rStyle w:val="BlueAdd"/>
              </w:rPr>
              <w:t xml:space="preserve">S18</w:t>
            </w:r>
          </w:p>
        </w:tc>
        <w:tc>
          <w:tcPr/>
          <w:p>
            <w:pPr>
              <w:pStyle w:val="Compact"/>
              <w:jc w:val="left"/>
            </w:pPr>
            <w:r>
              <w:rPr>
                <w:rStyle w:val="BlueAdd"/>
              </w:rPr>
              <w:t xml:space="preserve">Flamini et al., 2024 [5]</w:t>
            </w:r>
          </w:p>
        </w:tc>
        <w:tc>
          <w:tcPr/>
          <w:p>
            <w:pPr>
              <w:pStyle w:val="Compact"/>
              <w:jc w:val="left"/>
            </w:pPr>
            <w:r>
              <w:rPr>
                <w:rStyle w:val="BlueAdd"/>
              </w:rPr>
              <w:t xml:space="preserve">On cryptographic mechanisms for the selective disclosure of verifiable credentials</w:t>
            </w:r>
          </w:p>
        </w:tc>
        <w:tc>
          <w:tcPr/>
          <w:p>
            <w:pPr>
              <w:pStyle w:val="Compact"/>
              <w:jc w:val="left"/>
            </w:pPr>
            <w:r>
              <w:rPr>
                <w:rStyle w:val="BlueAdd"/>
              </w:rPr>
              <w:t xml:space="preserve">Decentralised identity and verifiable credentials</w:t>
            </w:r>
          </w:p>
        </w:tc>
      </w:tr>
      <w:tr>
        <w:trPr>
          <w:cantSplit/>
        </w:trPr>
        <w:tc>
          <w:tcPr/>
          <w:p>
            <w:pPr>
              <w:pStyle w:val="Compact"/>
              <w:jc w:val="left"/>
            </w:pPr>
            <w:r>
              <w:rPr>
                <w:rStyle w:val="BlueAdd"/>
              </w:rPr>
              <w:t xml:space="preserve">S19</w:t>
            </w:r>
          </w:p>
        </w:tc>
        <w:tc>
          <w:tcPr/>
          <w:p>
            <w:pPr>
              <w:pStyle w:val="Compact"/>
              <w:jc w:val="left"/>
            </w:pPr>
            <w:r>
              <w:rPr>
                <w:rStyle w:val="BlueAdd"/>
              </w:rPr>
              <w:t xml:space="preserve">Khayer et al., 2025 [15]</w:t>
            </w:r>
          </w:p>
        </w:tc>
        <w:tc>
          <w:tcPr/>
          <w:p>
            <w:pPr>
              <w:pStyle w:val="Compact"/>
              <w:jc w:val="left"/>
            </w:pPr>
            <w:r>
              <w:rPr>
                <w:rStyle w:val="BlueAdd"/>
              </w:rPr>
              <w:t xml:space="preserve">Blockchain for secure IoT: identity management, access control, and trust mechanisms</w:t>
            </w:r>
          </w:p>
        </w:tc>
        <w:tc>
          <w:tcPr/>
          <w:p>
            <w:pPr>
              <w:pStyle w:val="Compact"/>
              <w:jc w:val="left"/>
            </w:pPr>
            <w:r>
              <w:rPr>
                <w:rStyle w:val="BlueAdd"/>
              </w:rPr>
              <w:t xml:space="preserve">Decentralised identity and verifiable credentials</w:t>
            </w:r>
          </w:p>
        </w:tc>
      </w:tr>
      <w:tr>
        <w:trPr>
          <w:cantSplit/>
        </w:trPr>
        <w:tc>
          <w:tcPr/>
          <w:p>
            <w:pPr>
              <w:pStyle w:val="Compact"/>
              <w:jc w:val="left"/>
            </w:pPr>
            <w:r>
              <w:rPr>
                <w:rStyle w:val="BlueAdd"/>
              </w:rPr>
              <w:t xml:space="preserve">S20</w:t>
            </w:r>
          </w:p>
        </w:tc>
        <w:tc>
          <w:tcPr/>
          <w:p>
            <w:pPr>
              <w:pStyle w:val="Compact"/>
              <w:jc w:val="left"/>
            </w:pPr>
            <w:r>
              <w:rPr>
                <w:rStyle w:val="BlueAdd"/>
              </w:rPr>
              <w:t xml:space="preserve">Kyriakidou et al., 2023 [16]</w:t>
            </w:r>
          </w:p>
        </w:tc>
        <w:tc>
          <w:tcPr/>
          <w:p>
            <w:pPr>
              <w:pStyle w:val="Compact"/>
              <w:jc w:val="left"/>
            </w:pPr>
            <w:r>
              <w:rPr>
                <w:rStyle w:val="BlueAdd"/>
              </w:rPr>
              <w:t xml:space="preserve">Decentralised identity with applications to security and privacy for the Internet of Things</w:t>
            </w:r>
          </w:p>
        </w:tc>
        <w:tc>
          <w:tcPr/>
          <w:p>
            <w:pPr>
              <w:pStyle w:val="Compact"/>
              <w:jc w:val="left"/>
            </w:pPr>
            <w:r>
              <w:rPr>
                <w:rStyle w:val="BlueAdd"/>
              </w:rPr>
              <w:t xml:space="preserve">Decentralised identity and verifiable credentials</w:t>
            </w:r>
          </w:p>
        </w:tc>
      </w:tr>
      <w:tr>
        <w:trPr>
          <w:cantSplit/>
        </w:trPr>
        <w:tc>
          <w:tcPr/>
          <w:p>
            <w:pPr>
              <w:pStyle w:val="Compact"/>
              <w:jc w:val="left"/>
            </w:pPr>
            <w:r>
              <w:rPr>
                <w:rStyle w:val="BlueAdd"/>
              </w:rPr>
              <w:t xml:space="preserve">S21</w:t>
            </w:r>
          </w:p>
        </w:tc>
        <w:tc>
          <w:tcPr/>
          <w:p>
            <w:pPr>
              <w:pStyle w:val="Compact"/>
              <w:jc w:val="left"/>
            </w:pPr>
            <w:r>
              <w:rPr>
                <w:rStyle w:val="BlueAdd"/>
              </w:rPr>
              <w:t xml:space="preserve">Mazzocca et al., 2025 [20]</w:t>
            </w:r>
          </w:p>
        </w:tc>
        <w:tc>
          <w:tcPr/>
          <w:p>
            <w:pPr>
              <w:pStyle w:val="Compact"/>
              <w:jc w:val="left"/>
            </w:pPr>
            <w:r>
              <w:rPr>
                <w:rStyle w:val="BlueAdd"/>
              </w:rPr>
              <w:t xml:space="preserve">A survey on decentralised identifiers and verifiable credentials</w:t>
            </w:r>
          </w:p>
        </w:tc>
        <w:tc>
          <w:tcPr/>
          <w:p>
            <w:pPr>
              <w:pStyle w:val="Compact"/>
              <w:jc w:val="left"/>
            </w:pPr>
            <w:r>
              <w:rPr>
                <w:rStyle w:val="BlueAdd"/>
              </w:rPr>
              <w:t xml:space="preserve">Decentralised identity and verifiable credentials</w:t>
            </w:r>
          </w:p>
        </w:tc>
      </w:tr>
      <w:tr>
        <w:trPr>
          <w:cantSplit/>
        </w:trPr>
        <w:tc>
          <w:tcPr/>
          <w:p>
            <w:pPr>
              <w:pStyle w:val="Compact"/>
              <w:jc w:val="left"/>
            </w:pPr>
            <w:r>
              <w:rPr>
                <w:rStyle w:val="BlueAdd"/>
              </w:rPr>
              <w:t xml:space="preserve">S22</w:t>
            </w:r>
          </w:p>
        </w:tc>
        <w:tc>
          <w:tcPr/>
          <w:p>
            <w:pPr>
              <w:pStyle w:val="Compact"/>
              <w:jc w:val="left"/>
            </w:pPr>
            <w:r>
              <w:rPr>
                <w:rStyle w:val="BlueAdd"/>
              </w:rPr>
              <w:t xml:space="preserve">Parameswarath et al., 2022 [27]</w:t>
            </w:r>
          </w:p>
        </w:tc>
        <w:tc>
          <w:tcPr/>
          <w:p>
            <w:pPr>
              <w:pStyle w:val="Compact"/>
              <w:jc w:val="left"/>
            </w:pPr>
            <w:r>
              <w:rPr>
                <w:rStyle w:val="BlueAdd"/>
              </w:rPr>
              <w:t xml:space="preserve">User-empowered privacy-preserving authentication based on decentralised identity and verifiable credentials</w:t>
            </w:r>
          </w:p>
        </w:tc>
        <w:tc>
          <w:tcPr/>
          <w:p>
            <w:pPr>
              <w:pStyle w:val="Compact"/>
              <w:jc w:val="left"/>
            </w:pPr>
            <w:r>
              <w:rPr>
                <w:rStyle w:val="BlueAdd"/>
              </w:rPr>
              <w:t xml:space="preserve">Decentralised identity and verifiable credentials</w:t>
            </w:r>
          </w:p>
        </w:tc>
      </w:tr>
      <w:tr>
        <w:trPr>
          <w:cantSplit/>
        </w:trPr>
        <w:tc>
          <w:tcPr/>
          <w:p>
            <w:pPr>
              <w:pStyle w:val="Compact"/>
              <w:jc w:val="left"/>
            </w:pPr>
            <w:r>
              <w:rPr>
                <w:rStyle w:val="BlueAdd"/>
              </w:rPr>
              <w:t xml:space="preserve">S23</w:t>
            </w:r>
          </w:p>
        </w:tc>
        <w:tc>
          <w:tcPr/>
          <w:p>
            <w:pPr>
              <w:pStyle w:val="Compact"/>
              <w:jc w:val="left"/>
            </w:pPr>
            <w:r>
              <w:rPr>
                <w:rStyle w:val="BlueAdd"/>
              </w:rPr>
              <w:t xml:space="preserve">Yin et al., 2025 [33]</w:t>
            </w:r>
          </w:p>
        </w:tc>
        <w:tc>
          <w:tcPr/>
          <w:p>
            <w:pPr>
              <w:pStyle w:val="Compact"/>
              <w:jc w:val="left"/>
            </w:pPr>
            <w:r>
              <w:rPr>
                <w:rStyle w:val="BlueAdd"/>
              </w:rPr>
              <w:t xml:space="preserve">DP-DID: a dynamic and proactive decentralised identity system</w:t>
            </w:r>
          </w:p>
        </w:tc>
        <w:tc>
          <w:tcPr/>
          <w:p>
            <w:pPr>
              <w:pStyle w:val="Compact"/>
              <w:jc w:val="left"/>
            </w:pPr>
            <w:r>
              <w:rPr>
                <w:rStyle w:val="BlueAdd"/>
              </w:rPr>
              <w:t xml:space="preserve">Decentralised identity and verifiable credentials</w:t>
            </w:r>
          </w:p>
        </w:tc>
      </w:tr>
      <w:tr>
        <w:trPr>
          <w:cantSplit/>
        </w:trPr>
        <w:tc>
          <w:tcPr/>
          <w:p>
            <w:pPr>
              <w:pStyle w:val="Compact"/>
              <w:jc w:val="left"/>
            </w:pPr>
            <w:r>
              <w:rPr>
                <w:rStyle w:val="BlueAdd"/>
              </w:rPr>
              <w:t xml:space="preserve">S24</w:t>
            </w:r>
          </w:p>
        </w:tc>
        <w:tc>
          <w:tcPr/>
          <w:p>
            <w:pPr>
              <w:pStyle w:val="Compact"/>
              <w:jc w:val="left"/>
            </w:pPr>
            <w:r>
              <w:rPr>
                <w:rStyle w:val="BlueAdd"/>
              </w:rPr>
              <w:t xml:space="preserve">Ghafoor Abbasi et al., 2025 [6]</w:t>
            </w:r>
          </w:p>
        </w:tc>
        <w:tc>
          <w:tcPr/>
          <w:p>
            <w:pPr>
              <w:pStyle w:val="Compact"/>
              <w:jc w:val="left"/>
            </w:pPr>
            <w:r>
              <w:rPr>
                <w:rStyle w:val="BlueAdd"/>
              </w:rPr>
              <w:t xml:space="preserve">Towards empowering stakeholders through decentralised trust and secure livestock data sharing</w:t>
            </w:r>
          </w:p>
        </w:tc>
        <w:tc>
          <w:tcPr/>
          <w:p>
            <w:pPr>
              <w:pStyle w:val="Compact"/>
              <w:jc w:val="left"/>
            </w:pPr>
            <w:r>
              <w:rPr>
                <w:rStyle w:val="BlueAdd"/>
              </w:rPr>
              <w:t xml:space="preserve">Multi-party and decentralised governance</w:t>
            </w:r>
          </w:p>
        </w:tc>
      </w:tr>
      <w:tr>
        <w:trPr>
          <w:cantSplit/>
        </w:trPr>
        <w:tc>
          <w:tcPr/>
          <w:p>
            <w:pPr>
              <w:pStyle w:val="Compact"/>
              <w:jc w:val="left"/>
            </w:pPr>
            <w:r>
              <w:rPr>
                <w:rStyle w:val="BlueAdd"/>
              </w:rPr>
              <w:t xml:space="preserve">S25</w:t>
            </w:r>
          </w:p>
        </w:tc>
        <w:tc>
          <w:tcPr/>
          <w:p>
            <w:pPr>
              <w:pStyle w:val="Compact"/>
              <w:jc w:val="left"/>
            </w:pPr>
            <w:r>
              <w:rPr>
                <w:rStyle w:val="BlueAdd"/>
              </w:rPr>
              <w:t xml:space="preserve">Lomotey et al., 2022 [19]</w:t>
            </w:r>
          </w:p>
        </w:tc>
        <w:tc>
          <w:tcPr/>
          <w:p>
            <w:pPr>
              <w:pStyle w:val="Compact"/>
              <w:jc w:val="left"/>
            </w:pPr>
            <w:r>
              <w:rPr>
                <w:rStyle w:val="BlueAdd"/>
              </w:rPr>
              <w:t xml:space="preserve">Data trusts as a service: a platform for multi-party data sharing</w:t>
            </w:r>
          </w:p>
        </w:tc>
        <w:tc>
          <w:tcPr/>
          <w:p>
            <w:pPr>
              <w:pStyle w:val="Compact"/>
              <w:jc w:val="left"/>
            </w:pPr>
            <w:r>
              <w:rPr>
                <w:rStyle w:val="BlueAdd"/>
              </w:rPr>
              <w:t xml:space="preserve">Multi-party and decentralised governance</w:t>
            </w:r>
          </w:p>
        </w:tc>
      </w:tr>
      <w:tr>
        <w:trPr>
          <w:cantSplit/>
        </w:trPr>
        <w:tc>
          <w:tcPr/>
          <w:p>
            <w:pPr>
              <w:pStyle w:val="Compact"/>
              <w:jc w:val="left"/>
            </w:pPr>
            <w:r>
              <w:rPr>
                <w:rStyle w:val="BlueAdd"/>
              </w:rPr>
              <w:t xml:space="preserve">S26</w:t>
            </w:r>
          </w:p>
        </w:tc>
        <w:tc>
          <w:tcPr/>
          <w:p>
            <w:pPr>
              <w:pStyle w:val="Compact"/>
              <w:jc w:val="left"/>
            </w:pPr>
            <w:r>
              <w:rPr>
                <w:rStyle w:val="BlueAdd"/>
              </w:rPr>
              <w:t xml:space="preserve">Tan et al., 2024 [44]</w:t>
            </w:r>
          </w:p>
        </w:tc>
        <w:tc>
          <w:tcPr/>
          <w:p>
            <w:pPr>
              <w:pStyle w:val="Compact"/>
              <w:jc w:val="left"/>
            </w:pPr>
            <w:r>
              <w:rPr>
                <w:rStyle w:val="BlueAdd"/>
              </w:rPr>
              <w:t xml:space="preserve">Secure and privacy-preserving sharing of personal health records with multi-party pre-authorisation verification</w:t>
            </w:r>
          </w:p>
        </w:tc>
        <w:tc>
          <w:tcPr/>
          <w:p>
            <w:pPr>
              <w:pStyle w:val="Compact"/>
              <w:jc w:val="left"/>
            </w:pPr>
            <w:r>
              <w:rPr>
                <w:rStyle w:val="BlueAdd"/>
              </w:rPr>
              <w:t xml:space="preserve">Multi-party and decentralised governance</w:t>
            </w:r>
          </w:p>
        </w:tc>
      </w:tr>
      <w:tr>
        <w:trPr>
          <w:cantSplit/>
        </w:trPr>
        <w:tc>
          <w:tcPr/>
          <w:p>
            <w:pPr>
              <w:pStyle w:val="Compact"/>
              <w:jc w:val="left"/>
            </w:pPr>
            <w:r>
              <w:rPr>
                <w:rStyle w:val="BlueAdd"/>
              </w:rPr>
              <w:t xml:space="preserve">S27</w:t>
            </w:r>
          </w:p>
        </w:tc>
        <w:tc>
          <w:tcPr/>
          <w:p>
            <w:pPr>
              <w:pStyle w:val="Compact"/>
              <w:jc w:val="left"/>
            </w:pPr>
            <w:r>
              <w:rPr>
                <w:rStyle w:val="BlueAdd"/>
              </w:rPr>
              <w:t xml:space="preserve">Jiang et al., 2023 [11]</w:t>
            </w:r>
          </w:p>
        </w:tc>
        <w:tc>
          <w:tcPr/>
          <w:p>
            <w:pPr>
              <w:pStyle w:val="Compact"/>
              <w:jc w:val="left"/>
            </w:pPr>
            <w:r>
              <w:rPr>
                <w:rStyle w:val="BlueAdd"/>
              </w:rPr>
              <w:t xml:space="preserve">Risk and UCON-based access control model for healthcare big data</w:t>
            </w:r>
          </w:p>
        </w:tc>
        <w:tc>
          <w:tcPr/>
          <w:p>
            <w:pPr>
              <w:pStyle w:val="Compact"/>
              <w:jc w:val="left"/>
            </w:pPr>
            <w:r>
              <w:rPr>
                <w:rStyle w:val="BlueAdd"/>
              </w:rPr>
              <w:t xml:space="preserve">Policy-based and healthcare access control</w:t>
            </w:r>
          </w:p>
        </w:tc>
      </w:tr>
      <w:tr>
        <w:trPr>
          <w:cantSplit/>
        </w:trPr>
        <w:tc>
          <w:tcPr/>
          <w:p>
            <w:pPr>
              <w:pStyle w:val="Compact"/>
              <w:jc w:val="left"/>
            </w:pPr>
            <w:r>
              <w:rPr>
                <w:rStyle w:val="BlueAdd"/>
              </w:rPr>
              <w:t xml:space="preserve">S28</w:t>
            </w:r>
          </w:p>
        </w:tc>
        <w:tc>
          <w:tcPr/>
          <w:p>
            <w:pPr>
              <w:pStyle w:val="Compact"/>
              <w:jc w:val="left"/>
            </w:pPr>
            <w:r>
              <w:rPr>
                <w:rStyle w:val="BlueAdd"/>
              </w:rPr>
              <w:t xml:space="preserve">Nazir et al., 2026 [25]</w:t>
            </w:r>
          </w:p>
        </w:tc>
        <w:tc>
          <w:tcPr/>
          <w:p>
            <w:pPr>
              <w:pStyle w:val="Compact"/>
              <w:jc w:val="left"/>
            </w:pPr>
            <w:r>
              <w:rPr>
                <w:rStyle w:val="BlueAdd"/>
              </w:rPr>
              <w:t xml:space="preserve">Access control in healthcare IoT: a comprehensive survey</w:t>
            </w:r>
          </w:p>
        </w:tc>
        <w:tc>
          <w:tcPr/>
          <w:p>
            <w:pPr>
              <w:pStyle w:val="Compact"/>
              <w:jc w:val="left"/>
            </w:pPr>
            <w:r>
              <w:rPr>
                <w:rStyle w:val="BlueAdd"/>
              </w:rPr>
              <w:t xml:space="preserve">Policy-based and healthcare access control</w:t>
            </w:r>
          </w:p>
        </w:tc>
      </w:tr>
      <w:tr>
        <w:trPr>
          <w:cantSplit/>
        </w:trPr>
        <w:tc>
          <w:tcPr/>
          <w:p>
            <w:pPr>
              <w:pStyle w:val="Compact"/>
              <w:jc w:val="left"/>
            </w:pPr>
            <w:r>
              <w:rPr>
                <w:rStyle w:val="BlueAdd"/>
              </w:rPr>
              <w:t xml:space="preserve">S29</w:t>
            </w:r>
          </w:p>
        </w:tc>
        <w:tc>
          <w:tcPr/>
          <w:p>
            <w:pPr>
              <w:pStyle w:val="Compact"/>
              <w:jc w:val="left"/>
            </w:pPr>
            <w:r>
              <w:rPr>
                <w:rStyle w:val="BlueAdd"/>
              </w:rPr>
              <w:t xml:space="preserve">Tawfik et al., 2025 [28]</w:t>
            </w:r>
          </w:p>
        </w:tc>
        <w:tc>
          <w:tcPr/>
          <w:p>
            <w:pPr>
              <w:pStyle w:val="Compact"/>
              <w:jc w:val="left"/>
            </w:pPr>
            <w:r>
              <w:rPr>
                <w:rStyle w:val="BlueAdd"/>
              </w:rPr>
              <w:t xml:space="preserve">Blockchain-based access control and privacy preservation in healthcare: a comprehensive survey</w:t>
            </w:r>
          </w:p>
        </w:tc>
        <w:tc>
          <w:tcPr/>
          <w:p>
            <w:pPr>
              <w:pStyle w:val="Compact"/>
              <w:jc w:val="left"/>
            </w:pPr>
            <w:r>
              <w:rPr>
                <w:rStyle w:val="BlueAdd"/>
              </w:rPr>
              <w:t xml:space="preserve">Policy-based and healthcare access control</w:t>
            </w:r>
          </w:p>
        </w:tc>
      </w:tr>
      <w:tr>
        <w:trPr>
          <w:cantSplit/>
        </w:trPr>
        <w:tc>
          <w:tcPr/>
          <w:p>
            <w:pPr>
              <w:pStyle w:val="Compact"/>
              <w:jc w:val="left"/>
            </w:pPr>
            <w:r>
              <w:rPr>
                <w:rStyle w:val="BlueAdd"/>
              </w:rPr>
              <w:t xml:space="preserve">S30</w:t>
            </w:r>
          </w:p>
        </w:tc>
        <w:tc>
          <w:tcPr/>
          <w:p>
            <w:pPr>
              <w:pStyle w:val="Compact"/>
              <w:jc w:val="left"/>
            </w:pPr>
            <w:r>
              <w:rPr>
                <w:rStyle w:val="BlueAdd"/>
              </w:rPr>
              <w:t xml:space="preserve">Yin et al., 2024 [32]</w:t>
            </w:r>
          </w:p>
        </w:tc>
        <w:tc>
          <w:tcPr/>
          <w:p>
            <w:pPr>
              <w:pStyle w:val="Compact"/>
              <w:jc w:val="left"/>
            </w:pPr>
            <w:r>
              <w:rPr>
                <w:rStyle w:val="BlueAdd"/>
              </w:rPr>
              <w:t xml:space="preserve">Attribute-based searchable encryption with decentralised key management for healthcare data sharing</w:t>
            </w:r>
          </w:p>
        </w:tc>
        <w:tc>
          <w:tcPr/>
          <w:p>
            <w:pPr>
              <w:pStyle w:val="Compact"/>
              <w:jc w:val="left"/>
            </w:pPr>
            <w:r>
              <w:rPr>
                <w:rStyle w:val="BlueAdd"/>
              </w:rPr>
              <w:t xml:space="preserve">Policy-based and healthcare access control</w:t>
            </w:r>
          </w:p>
        </w:tc>
      </w:tr>
      <w:tr>
        <w:trPr>
          <w:cantSplit/>
        </w:trPr>
        <w:tc>
          <w:tcPr/>
          <w:p>
            <w:pPr>
              <w:pStyle w:val="Compact"/>
              <w:jc w:val="left"/>
            </w:pPr>
            <w:r>
              <w:rPr>
                <w:rStyle w:val="BlueAdd"/>
              </w:rPr>
              <w:t xml:space="preserve">S31</w:t>
            </w:r>
          </w:p>
        </w:tc>
        <w:tc>
          <w:tcPr/>
          <w:p>
            <w:pPr>
              <w:pStyle w:val="Compact"/>
              <w:jc w:val="left"/>
            </w:pPr>
            <w:r>
              <w:rPr>
                <w:rStyle w:val="BlueAdd"/>
              </w:rPr>
              <w:t xml:space="preserve">Ullah et al., 2024 [46]</w:t>
            </w:r>
          </w:p>
        </w:tc>
        <w:tc>
          <w:tcPr/>
          <w:p>
            <w:pPr>
              <w:pStyle w:val="Compact"/>
              <w:jc w:val="left"/>
            </w:pPr>
            <w:r>
              <w:rPr>
                <w:rStyle w:val="BlueAdd"/>
              </w:rPr>
              <w:t xml:space="preserve">Blockchain-enabled EHR access auditing: enhancing healthcare data security</w:t>
            </w:r>
          </w:p>
        </w:tc>
        <w:tc>
          <w:tcPr/>
          <w:p>
            <w:pPr>
              <w:pStyle w:val="Compact"/>
              <w:jc w:val="left"/>
            </w:pPr>
            <w:r>
              <w:rPr>
                <w:rStyle w:val="BlueAdd"/>
              </w:rPr>
              <w:t xml:space="preserve">Policy-based and healthcare access control</w:t>
            </w:r>
          </w:p>
        </w:tc>
      </w:tr>
      <w:tr>
        <w:trPr>
          <w:cantSplit/>
        </w:trPr>
        <w:tc>
          <w:tcPr/>
          <w:p>
            <w:pPr>
              <w:pStyle w:val="Compact"/>
              <w:jc w:val="left"/>
            </w:pPr>
            <w:r>
              <w:rPr>
                <w:rStyle w:val="BlueAdd"/>
              </w:rPr>
              <w:t xml:space="preserve">S32</w:t>
            </w:r>
          </w:p>
        </w:tc>
        <w:tc>
          <w:tcPr/>
          <w:p>
            <w:pPr>
              <w:pStyle w:val="Compact"/>
              <w:jc w:val="left"/>
            </w:pPr>
            <w:r>
              <w:rPr>
                <w:rStyle w:val="BlueAdd"/>
              </w:rPr>
              <w:t xml:space="preserve">Yaqub et al., 2025 [47]</w:t>
            </w:r>
          </w:p>
        </w:tc>
        <w:tc>
          <w:tcPr/>
          <w:p>
            <w:pPr>
              <w:pStyle w:val="Compact"/>
              <w:jc w:val="left"/>
            </w:pPr>
            <w:r>
              <w:rPr>
                <w:rStyle w:val="BlueAdd"/>
              </w:rPr>
              <w:t xml:space="preserve">Blockchain-enabled policy-based access control mechanism to restrict unauthorised access to electronic health records</w:t>
            </w:r>
          </w:p>
        </w:tc>
        <w:tc>
          <w:tcPr/>
          <w:p>
            <w:pPr>
              <w:pStyle w:val="Compact"/>
              <w:jc w:val="left"/>
            </w:pPr>
            <w:r>
              <w:rPr>
                <w:rStyle w:val="BlueAdd"/>
              </w:rPr>
              <w:t xml:space="preserve">Policy-based and healthcare access control</w:t>
            </w:r>
          </w:p>
        </w:tc>
      </w:tr>
      <w:tr>
        <w:trPr>
          <w:cantSplit/>
        </w:trPr>
        <w:tc>
          <w:tcPr/>
          <w:p>
            <w:pPr>
              <w:pStyle w:val="Compact"/>
              <w:jc w:val="left"/>
            </w:pPr>
            <w:r>
              <w:rPr>
                <w:rStyle w:val="BlueAdd"/>
              </w:rPr>
              <w:t xml:space="preserve">S33</w:t>
            </w:r>
          </w:p>
        </w:tc>
        <w:tc>
          <w:tcPr/>
          <w:p>
            <w:pPr>
              <w:pStyle w:val="Compact"/>
              <w:jc w:val="left"/>
            </w:pPr>
            <w:r>
              <w:rPr>
                <w:rStyle w:val="BlueAdd"/>
              </w:rPr>
              <w:t xml:space="preserve">Ménétrey et al., 2022 [23]</w:t>
            </w:r>
          </w:p>
        </w:tc>
        <w:tc>
          <w:tcPr/>
          <w:p>
            <w:pPr>
              <w:pStyle w:val="Compact"/>
              <w:jc w:val="left"/>
            </w:pPr>
            <w:r>
              <w:rPr>
                <w:rStyle w:val="BlueAdd"/>
              </w:rPr>
              <w:t xml:space="preserve">Attestation mechanisms for trusted execution environments demystified</w:t>
            </w:r>
          </w:p>
        </w:tc>
        <w:tc>
          <w:tcPr/>
          <w:p>
            <w:pPr>
              <w:pStyle w:val="Compact"/>
              <w:jc w:val="left"/>
            </w:pPr>
            <w:r>
              <w:rPr>
                <w:rStyle w:val="BlueAdd"/>
              </w:rPr>
              <w:t xml:space="preserve">Trusted Computing and secure execution</w:t>
            </w:r>
          </w:p>
        </w:tc>
      </w:tr>
    </w:tbl>
    <w:bookmarkEnd w:id="27"/>
    <w:bookmarkEnd w:id="28"/>
    <w:bookmarkStart w:id="36" w:name="X47a7c0cd3439350f5b2bab0a0c72b8d78bf1bcb"/>
    <w:p>
      <w:pPr>
        <w:pStyle w:val="Heading2"/>
      </w:pPr>
      <w:r>
        <w:rPr>
          <w:rStyle w:val="GreenDelete"/>
        </w:rPr>
        <w:t xml:space="preserve">2.3</w:t>
      </w:r>
      <w:r>
        <w:t xml:space="preserve"> </w:t>
      </w:r>
      <w:r>
        <w:rPr>
          <w:rStyle w:val="GreenFix"/>
        </w:rPr>
        <w:t xml:space="preserve">2.4</w:t>
      </w:r>
      <w:r>
        <w:t xml:space="preserve"> </w:t>
      </w:r>
      <w:r>
        <w:rPr>
          <w:rStyle w:val="GreenDelete"/>
        </w:rPr>
        <w:t xml:space="preserve">Review</w:t>
      </w:r>
      <w:r>
        <w:t xml:space="preserve"> </w:t>
      </w:r>
      <w:r>
        <w:rPr>
          <w:rStyle w:val="GreenFix"/>
        </w:rPr>
        <w:t xml:space="preserve">Summary of Papers Shortlisted in the SLR</w:t>
      </w:r>
    </w:p>
    <w:p>
      <w:pPr>
        <w:pStyle w:val="FirstParagraph"/>
      </w:pPr>
      <w:r>
        <w:rPr>
          <w:rStyle w:val="GreenDelete"/>
        </w:rPr>
        <w:t xml:space="preserve">This section analyses each of the research streams introduced in Section 2.1 in turn.</w:t>
      </w:r>
      <w:r>
        <w:rPr>
          <w:rStyle w:val="GreenFix"/>
        </w:rPr>
        <w:t xml:space="preserve">This section summarises the shortlisted papers by category (Table 2.3). For each category the discussion is followed by a table that records the description of each study, its issues and limitations for trust-oriented consent authorisation, and whether it addresses the five key requirements of Section 2.2 (√ addressed, × not addressed).</w:t>
      </w:r>
    </w:p>
    <w:bookmarkStart w:id="29" w:name="X3643e3a96c176827f6f89acdc5119d36405fe44"/>
    <w:p>
      <w:pPr>
        <w:pStyle w:val="Heading3"/>
      </w:pPr>
      <w:r>
        <w:rPr>
          <w:rStyle w:val="GreenDelete"/>
        </w:rPr>
        <w:t xml:space="preserve">2.3.1</w:t>
      </w:r>
      <w:r>
        <w:t xml:space="preserve"> </w:t>
      </w:r>
      <w:r>
        <w:rPr>
          <w:rStyle w:val="GreenFix"/>
        </w:rPr>
        <w:t xml:space="preserve">2.4.1</w:t>
      </w:r>
      <w:r>
        <w:t xml:space="preserve"> </w:t>
      </w:r>
      <w:r>
        <w:rPr>
          <w:rStyle w:val="GreenDelete"/>
        </w:rPr>
        <w:t xml:space="preserve">Healthcare Consent and Decentralised Data Governance</w:t>
      </w:r>
      <w:r>
        <w:t xml:space="preserve"> </w:t>
      </w:r>
      <w:r>
        <w:rPr>
          <w:rStyle w:val="GreenFix"/>
        </w:rPr>
        <w:t xml:space="preserve">Healthcare Consent and Privacy Governance</w:t>
      </w:r>
    </w:p>
    <w:p>
      <w:pPr>
        <w:pStyle w:val="FirstParagraph"/>
      </w:pPr>
      <w:r>
        <w:t xml:space="preserve">Healthcare data sharing is fundamentally different from conventional information exchange because the data involved is highly sensitive and because decisions regarding its use may affect patient privacy, autonomy, clinical care, research participation, and institutional accountability. Existing studies have therefore emphasised the importance of informed consent, patient control, privacy preservation, and transparent governance in healthcare information systems</w:t>
      </w:r>
      <w:r>
        <w:t xml:space="preserve"> </w:t>
      </w:r>
      <w:r>
        <w:rPr>
          <w:rStyle w:val="GreenDelete"/>
        </w:rPr>
        <w:t xml:space="preserve">[31, 22, 14, 12]</w:t>
      </w:r>
      <w:r>
        <w:rPr>
          <w:rStyle w:val="GreenFix"/>
        </w:rPr>
        <w:t xml:space="preserve">[12, 14, 22, 31]</w:t>
      </w:r>
      <w:r>
        <w:t xml:space="preserve">.</w:t>
      </w:r>
    </w:p>
    <w:p>
      <w:pPr>
        <w:pStyle w:val="BodyText"/>
      </w:pPr>
      <w:r>
        <w:t xml:space="preserve">The literature increasingly recognises that patients should not be regarded merely as passive data providers. Research on patient autonomy and data ownership has highlighted the importance of giving individuals greater control over how their health information is accessed, shared, and reused [24]. At the same time, privacy-preserving interoperability remains difficult because healthcare systems must balance individual autonomy with the operational requirements of clinical care, coordination, and</w:t>
      </w:r>
      <w:r>
        <w:t xml:space="preserve"> </w:t>
      </w:r>
      <w:r>
        <w:rPr>
          <w:rStyle w:val="GreenDelete"/>
        </w:rPr>
        <w:t xml:space="preserve">legitimate secondary data use [21, 9]</w:t>
      </w:r>
      <w:r>
        <w:rPr>
          <w:rStyle w:val="GreenFix"/>
        </w:rPr>
        <w:t xml:space="preserve">legitimate secondary data use [9]</w:t>
      </w:r>
      <w:r>
        <w:t xml:space="preserve">. These competing requirements make healthcare consent a governance problem rather than simply a binary access-control decision.</w:t>
      </w:r>
    </w:p>
    <w:p>
      <w:pPr>
        <w:pStyle w:val="BodyText"/>
      </w:pPr>
      <w:r>
        <w:t xml:space="preserve">Traditional consent-management approaches frequently represent consent as a permission indicating whether a particular party is allowed to perform a specified operation. Dynamic consent research has attempted to provide greater flexibility by allowing consent preferences to evolve over time, while privacy-first approaches have explored decentralised controllers and privacy-preserving mechanisms for improving data-subject control [13]. Consent receipts and auditable consent records have also been proposed to improve transparency and accountability by providing evidence of how consent was obtained and exercised [10].</w:t>
      </w:r>
    </w:p>
    <w:p>
      <w:pPr>
        <w:pStyle w:val="BodyText"/>
      </w:pPr>
      <w:r>
        <w:t xml:space="preserve">Despite these developments, a significant conceptual limitation remains. The existence of a consent record does not necessarily explain whether the conditions required for a subsequent access request are still satisfied. A consent may identify a data subject and a recipient, but trustworthy authorisation requires additional reasoning concerning the legitimacy of the participants, their authority to act, whether other independent parties must participate in the decision, and whether the requested operation remains within the purpose and data scope originally authorised.</w:t>
      </w:r>
    </w:p>
    <w:p>
      <w:pPr>
        <w:pStyle w:val="BodyText"/>
      </w:pPr>
      <w:r>
        <w:t xml:space="preserve">Consequently, the literature establishes the importance of patient autonomy and consent governance, but it provides comparatively limited integration between consent representation and a comprehensive trust-oriented authorisation process. This distinction becomes particularly important in decentralised environments where the entities involved in healthcare data sharing may not belong to the same administrative or trust domain.</w:t>
      </w:r>
    </w:p>
    <w:p>
      <w:pPr>
        <w:pStyle w:val="BlueAddPara"/>
      </w:pPr>
      <w:r>
        <w:rPr>
          <w:rStyle w:val="BlueAdd"/>
        </w:rPr>
        <w:t xml:space="preserve">More recent architectures go a step further. A blockchain-backed service-oriented architecture stores consents immutably, enforces access to health data according to them and exposes audit tasks to supervisory authorities and to patients themselves [43], and a self-determined consent framework combines blockchain, self-sovereign identity and de-identified tokens so that consent and data use can be tracked across clinical, app and wearable data [45]. Both act on the consent record; neither evaluates the requester’s authority or a collective approval before the record is applied.</w:t>
      </w:r>
    </w:p>
    <w:p>
      <w:pPr>
        <w:pStyle w:val="BlueAddPara"/>
      </w:pPr>
      <w:r>
        <w:rPr>
          <w:rStyle w:val="BlueAdd"/>
        </w:rPr>
        <w:t xml:space="preserve">Table 2.4 presents a summary of the studies that fall under the healthcare consent and privacy governance category and their coverage of the key requirements.</w:t>
      </w:r>
    </w:p>
    <w:p>
      <w:pPr>
        <w:pStyle w:val="TableCaption"/>
      </w:pPr>
      <w:r>
        <w:rPr>
          <w:rStyle w:val="BlueAdd"/>
        </w:rPr>
        <w:t xml:space="preserve">Table 2.4: Descriptions, issues and limitations of the studies on healthcare consent and privacy governance and their coverage of the key requirements</w:t>
      </w:r>
    </w:p>
    <w:tbl>
      <w:tblPr>
        <w:tblStyle w:val="Table"/>
        <w:tblW w:type="pct" w:w="5000"/>
        <w:tblLayout w:type="fixed"/>
        <w:tblLook w:firstRow="1" w:lastRow="0" w:firstColumn="0" w:lastColumn="0" w:noHBand="0" w:noVBand="0" w:val="0020"/>
        <w:tblCaption w:val="Table 2.4: Descriptions, issues and limitations of the studies on healthcare consent and privacy governance and their coverage of the key requirements"/>
      </w:tblPr>
      <w:tblGrid>
        <w:gridCol w:w="728"/>
        <w:gridCol w:w="2457"/>
        <w:gridCol w:w="2457"/>
        <w:gridCol w:w="455"/>
        <w:gridCol w:w="455"/>
        <w:gridCol w:w="455"/>
        <w:gridCol w:w="455"/>
        <w:gridCol w:w="455"/>
      </w:tblGrid>
      <w:tr>
        <w:trPr>
          <w:cantSplit/>
          <w:tblHeader w:val="on"/>
        </w:trPr>
        <w:tc>
          <w:tcPr>
            <w:tcBorders>
              <w:bottom w:val="single" w:sz="8" w:space="0" w:color="000000"/>
            </w:tcBorders>
            <w:shd w:val="clear" w:color="auto" w:fill="E7E6E6"/>
            <w:vAlign w:val="center"/>
          </w:tcPr>
          <w:p>
            <w:pPr>
              <w:pStyle w:val="Compact"/>
              <w:jc w:val="left"/>
            </w:pPr>
            <w:r>
              <w:rPr>
                <w:rStyle w:val="BlueAdd"/>
                <w:b/>
                <w:bCs/>
              </w:rPr>
              <w:t xml:space="preserve">Study</w:t>
            </w:r>
          </w:p>
        </w:tc>
        <w:tc>
          <w:tcPr>
            <w:tcBorders>
              <w:bottom w:val="single" w:sz="8" w:space="0" w:color="000000"/>
            </w:tcBorders>
            <w:shd w:val="clear" w:color="auto" w:fill="E7E6E6"/>
            <w:vAlign w:val="center"/>
          </w:tcPr>
          <w:p>
            <w:pPr>
              <w:pStyle w:val="Compact"/>
              <w:jc w:val="left"/>
            </w:pPr>
            <w:r>
              <w:rPr>
                <w:rStyle w:val="BlueAdd"/>
                <w:b/>
                <w:bCs/>
              </w:rPr>
              <w:t xml:space="preserve">Description of the study</w:t>
            </w:r>
          </w:p>
        </w:tc>
        <w:tc>
          <w:tcPr>
            <w:tcBorders>
              <w:bottom w:val="single" w:sz="8" w:space="0" w:color="000000"/>
            </w:tcBorders>
            <w:shd w:val="clear" w:color="auto" w:fill="E7E6E6"/>
            <w:vAlign w:val="center"/>
          </w:tcPr>
          <w:p>
            <w:pPr>
              <w:pStyle w:val="Compact"/>
              <w:jc w:val="left"/>
            </w:pPr>
            <w:r>
              <w:rPr>
                <w:rStyle w:val="BlueAdd"/>
                <w:b/>
                <w:bCs/>
              </w:rPr>
              <w:t xml:space="preserve">Issues / limitations for trust-oriented consent authorisation</w:t>
            </w:r>
          </w:p>
        </w:tc>
        <w:tc>
          <w:tcPr>
            <w:tcBorders>
              <w:bottom w:val="single" w:sz="8" w:space="0" w:color="000000"/>
            </w:tcBorders>
            <w:shd w:val="clear" w:color="auto" w:fill="E7E6E6"/>
            <w:vAlign w:val="center"/>
          </w:tcPr>
          <w:p>
            <w:pPr>
              <w:pStyle w:val="Compact"/>
              <w:jc w:val="center"/>
            </w:pPr>
            <w:r>
              <w:rPr>
                <w:rStyle w:val="BlueAdd"/>
                <w:b/>
                <w:bCs/>
              </w:rPr>
              <w:t xml:space="preserve">Req 1</w:t>
            </w:r>
          </w:p>
        </w:tc>
        <w:tc>
          <w:tcPr>
            <w:tcBorders>
              <w:bottom w:val="single" w:sz="8" w:space="0" w:color="000000"/>
            </w:tcBorders>
            <w:shd w:val="clear" w:color="auto" w:fill="E7E6E6"/>
            <w:vAlign w:val="center"/>
          </w:tcPr>
          <w:p>
            <w:pPr>
              <w:pStyle w:val="Compact"/>
              <w:jc w:val="center"/>
            </w:pPr>
            <w:r>
              <w:rPr>
                <w:rStyle w:val="BlueAdd"/>
                <w:b/>
                <w:bCs/>
              </w:rPr>
              <w:t xml:space="preserve">Req 2</w:t>
            </w:r>
          </w:p>
        </w:tc>
        <w:tc>
          <w:tcPr>
            <w:tcBorders>
              <w:bottom w:val="single" w:sz="8" w:space="0" w:color="000000"/>
            </w:tcBorders>
            <w:shd w:val="clear" w:color="auto" w:fill="E7E6E6"/>
            <w:vAlign w:val="center"/>
          </w:tcPr>
          <w:p>
            <w:pPr>
              <w:pStyle w:val="Compact"/>
              <w:jc w:val="center"/>
            </w:pPr>
            <w:r>
              <w:rPr>
                <w:rStyle w:val="BlueAdd"/>
                <w:b/>
                <w:bCs/>
              </w:rPr>
              <w:t xml:space="preserve">Req 3</w:t>
            </w:r>
          </w:p>
        </w:tc>
        <w:tc>
          <w:tcPr>
            <w:tcBorders>
              <w:bottom w:val="single" w:sz="8" w:space="0" w:color="000000"/>
            </w:tcBorders>
            <w:shd w:val="clear" w:color="auto" w:fill="E7E6E6"/>
            <w:vAlign w:val="center"/>
          </w:tcPr>
          <w:p>
            <w:pPr>
              <w:pStyle w:val="Compact"/>
              <w:jc w:val="center"/>
            </w:pPr>
            <w:r>
              <w:rPr>
                <w:rStyle w:val="BlueAdd"/>
                <w:b/>
                <w:bCs/>
              </w:rPr>
              <w:t xml:space="preserve">Req 4</w:t>
            </w:r>
          </w:p>
        </w:tc>
        <w:tc>
          <w:tcPr>
            <w:tcBorders>
              <w:bottom w:val="single" w:sz="8" w:space="0" w:color="000000"/>
            </w:tcBorders>
            <w:shd w:val="clear" w:color="auto" w:fill="E7E6E6"/>
            <w:vAlign w:val="center"/>
          </w:tcPr>
          <w:p>
            <w:pPr>
              <w:pStyle w:val="Compact"/>
              <w:jc w:val="center"/>
            </w:pPr>
            <w:r>
              <w:rPr>
                <w:rStyle w:val="BlueAdd"/>
                <w:b/>
                <w:bCs/>
              </w:rPr>
              <w:t xml:space="preserve">Req 5</w:t>
            </w:r>
          </w:p>
        </w:tc>
      </w:tr>
      <w:tr>
        <w:trPr>
          <w:cantSplit/>
        </w:trPr>
        <w:tc>
          <w:tcPr/>
          <w:p>
            <w:pPr>
              <w:pStyle w:val="Compact"/>
              <w:jc w:val="left"/>
            </w:pPr>
            <w:r>
              <w:rPr>
                <w:rStyle w:val="BlueAdd"/>
              </w:rPr>
              <w:t xml:space="preserve">S1 [9]</w:t>
            </w:r>
          </w:p>
        </w:tc>
        <w:tc>
          <w:tcPr/>
          <w:p>
            <w:pPr>
              <w:pStyle w:val="Compact"/>
              <w:jc w:val="left"/>
            </w:pPr>
            <w:r>
              <w:rPr>
                <w:rStyle w:val="BlueAdd"/>
              </w:rPr>
              <w:t xml:space="preserve">Cross-sectional study of 150 nurses in a general hospital on how patient confidentiality is balanced against care coordination, measured with HIPAA, privacy-impact and EHR security assessment tools.</w:t>
            </w:r>
          </w:p>
        </w:tc>
        <w:tc>
          <w:tcPr/>
          <w:p>
            <w:pPr>
              <w:pStyle w:val="Compact"/>
              <w:jc w:val="left"/>
            </w:pPr>
            <w:r>
              <w:rPr>
                <w:rStyle w:val="BlueAdd"/>
              </w:rPr>
              <w:t xml:space="preserve">Studies organisational practice; consent is treated as a compliance matter and no authorisation mechanism is proposed.</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S2 [10]</w:t>
            </w:r>
          </w:p>
        </w:tc>
        <w:tc>
          <w:tcPr/>
          <w:p>
            <w:pPr>
              <w:pStyle w:val="Compact"/>
              <w:jc w:val="left"/>
            </w:pPr>
            <w:r>
              <w:rPr>
                <w:rStyle w:val="BlueAdd"/>
              </w:rPr>
              <w:t xml:space="preserve">Proposes consent receipts as machine-readable, auditable records of how consent was obtained and exercised, with proofs of concept for privacy policies, cookie dialogues and voice assistants.</w:t>
            </w:r>
          </w:p>
        </w:tc>
        <w:tc>
          <w:tcPr/>
          <w:p>
            <w:pPr>
              <w:pStyle w:val="Compact"/>
              <w:jc w:val="left"/>
            </w:pPr>
            <w:r>
              <w:rPr>
                <w:rStyle w:val="BlueAdd"/>
              </w:rPr>
              <w:t xml:space="preserve">A receipt proves that consent was given; it does not evaluate whether a later request satisfies identity, authority, approval or scope conditions.</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S3 [12]</w:t>
            </w:r>
          </w:p>
        </w:tc>
        <w:tc>
          <w:tcPr/>
          <w:p>
            <w:pPr>
              <w:pStyle w:val="Compact"/>
              <w:jc w:val="left"/>
            </w:pPr>
            <w:r>
              <w:rPr>
                <w:rStyle w:val="BlueAdd"/>
              </w:rPr>
              <w:t xml:space="preserve">Survey of people who work with health data in the United States on consent, sharing and privacy; most respondents want complete control over their data and specific consent for each use.</w:t>
            </w:r>
          </w:p>
        </w:tc>
        <w:tc>
          <w:tcPr/>
          <w:p>
            <w:pPr>
              <w:pStyle w:val="Compact"/>
              <w:jc w:val="left"/>
            </w:pPr>
            <w:r>
              <w:rPr>
                <w:rStyle w:val="BlueAdd"/>
              </w:rPr>
              <w:t xml:space="preserve">Attitudinal evidence only; no technical model of consent or of the access decision.</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S4 [13]</w:t>
            </w:r>
          </w:p>
        </w:tc>
        <w:tc>
          <w:tcPr/>
          <w:p>
            <w:pPr>
              <w:pStyle w:val="Compact"/>
              <w:jc w:val="left"/>
            </w:pPr>
            <w:r>
              <w:rPr>
                <w:rStyle w:val="BlueAdd"/>
              </w:rPr>
              <w:t xml:space="preserve">Privacy-first model for blockchain-based dynamic consent management in which subject data and consent are kept encrypted on-chain and the data-controller role is decentralised.</w:t>
            </w:r>
          </w:p>
        </w:tc>
        <w:tc>
          <w:tcPr/>
          <w:p>
            <w:pPr>
              <w:pStyle w:val="Compact"/>
              <w:jc w:val="left"/>
            </w:pPr>
            <w:r>
              <w:rPr>
                <w:rStyle w:val="BlueAdd"/>
              </w:rPr>
              <w:t xml:space="preserve">Consent is stored and shared securely, but a request is not evaluated against the requester’s authority or a multi-party approval threshold.</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S5 [14]</w:t>
            </w:r>
          </w:p>
        </w:tc>
        <w:tc>
          <w:tcPr/>
          <w:p>
            <w:pPr>
              <w:pStyle w:val="Compact"/>
              <w:jc w:val="left"/>
            </w:pPr>
            <w:r>
              <w:rPr>
                <w:rStyle w:val="BlueAdd"/>
              </w:rPr>
              <w:t xml:space="preserve">Survey-based model (129 NHS respondents) of the intention to share healthcare data; perceived information risk and perceived societal benefit dominate the decision.</w:t>
            </w:r>
          </w:p>
        </w:tc>
        <w:tc>
          <w:tcPr/>
          <w:p>
            <w:pPr>
              <w:pStyle w:val="Compact"/>
              <w:jc w:val="left"/>
            </w:pPr>
            <w:r>
              <w:rPr>
                <w:rStyle w:val="BlueAdd"/>
              </w:rPr>
              <w:t xml:space="preserve">Explains why individuals consent, not how consent is represented or enforced.</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S6 [22]</w:t>
            </w:r>
          </w:p>
        </w:tc>
        <w:tc>
          <w:tcPr/>
          <w:p>
            <w:pPr>
              <w:pStyle w:val="Compact"/>
              <w:jc w:val="left"/>
            </w:pPr>
            <w:r>
              <w:rPr>
                <w:rStyle w:val="BlueAdd"/>
              </w:rPr>
              <w:t xml:space="preserve">Legal analysis of informed consent for the use and disclosure of patient information under the GDPR, the common law and professional ethics.</w:t>
            </w:r>
          </w:p>
        </w:tc>
        <w:tc>
          <w:tcPr/>
          <w:p>
            <w:pPr>
              <w:pStyle w:val="Compact"/>
              <w:jc w:val="left"/>
            </w:pPr>
            <w:r>
              <w:rPr>
                <w:rStyle w:val="BlueAdd"/>
              </w:rPr>
              <w:t xml:space="preserve">Defines the legal conditions of a valid consent but not an executable authorisation object.</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S7 [24]</w:t>
            </w:r>
          </w:p>
        </w:tc>
        <w:tc>
          <w:tcPr/>
          <w:p>
            <w:pPr>
              <w:pStyle w:val="Compact"/>
              <w:jc w:val="left"/>
            </w:pPr>
            <w:r>
              <w:rPr>
                <w:rStyle w:val="BlueAdd"/>
              </w:rPr>
              <w:t xml:space="preserve">Review of privacy models and consent frameworks (dynamic and granular consent, blockchain, My Health Record, Estonian e-Health) for patient data ownership.</w:t>
            </w:r>
          </w:p>
        </w:tc>
        <w:tc>
          <w:tcPr/>
          <w:p>
            <w:pPr>
              <w:pStyle w:val="Compact"/>
              <w:jc w:val="left"/>
            </w:pPr>
            <w:r>
              <w:rPr>
                <w:rStyle w:val="BlueAdd"/>
              </w:rPr>
              <w:t xml:space="preserve">Descriptive review; the consent frameworks are not connected to identity verification or scope enforcement.</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S8 [31]</w:t>
            </w:r>
          </w:p>
        </w:tc>
        <w:tc>
          <w:tcPr/>
          <w:p>
            <w:pPr>
              <w:pStyle w:val="Compact"/>
              <w:jc w:val="left"/>
            </w:pPr>
            <w:r>
              <w:rPr>
                <w:rStyle w:val="BlueAdd"/>
              </w:rPr>
              <w:t xml:space="preserve">Policy statement on electronic access to the health record by paediatric patients and their guardians, including proxy access and record segmentation.</w:t>
            </w:r>
          </w:p>
        </w:tc>
        <w:tc>
          <w:tcPr/>
          <w:p>
            <w:pPr>
              <w:pStyle w:val="Compact"/>
              <w:jc w:val="left"/>
            </w:pPr>
            <w:r>
              <w:rPr>
                <w:rStyle w:val="BlueAdd"/>
              </w:rPr>
              <w:t xml:space="preserve">Identifies guardian and proxy roles but gives no mechanism for verifying authority or for joint approval.</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S9 [43]</w:t>
            </w:r>
          </w:p>
        </w:tc>
        <w:tc>
          <w:tcPr/>
          <w:p>
            <w:pPr>
              <w:pStyle w:val="Compact"/>
              <w:jc w:val="left"/>
            </w:pPr>
            <w:r>
              <w:rPr>
                <w:rStyle w:val="BlueAdd"/>
              </w:rPr>
              <w:t xml:space="preserve">Service-oriented architecture backed by blockchain that stores subject-of-care consents immutably, enforces fine-grained access to health data according to those consents and exposes audit tasks to supervisory authorities and patients, using HL7 and access-control standards.</w:t>
            </w:r>
          </w:p>
        </w:tc>
        <w:tc>
          <w:tcPr/>
          <w:p>
            <w:pPr>
              <w:pStyle w:val="Compact"/>
              <w:jc w:val="left"/>
            </w:pPr>
            <w:r>
              <w:rPr>
                <w:rStyle w:val="BlueAdd"/>
              </w:rPr>
              <w:t xml:space="preserve">Consent is stored and executed, but the requester’s authority and any multi-party approval are outside the model; enforcement follows the record rather than an evaluated decision.</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S10 [45]</w:t>
            </w:r>
          </w:p>
        </w:tc>
        <w:tc>
          <w:tcPr/>
          <w:p>
            <w:pPr>
              <w:pStyle w:val="Compact"/>
              <w:jc w:val="left"/>
            </w:pPr>
            <w:r>
              <w:rPr>
                <w:rStyle w:val="BlueAdd"/>
              </w:rPr>
              <w:t xml:space="preserve">Conceptual framework that reviews blockchain, self-sovereign identity and de-identified tokens for a consent management system able to track consent and data utilisation across clinical, app and wearable data.</w:t>
            </w:r>
          </w:p>
        </w:tc>
        <w:tc>
          <w:tcPr/>
          <w:p>
            <w:pPr>
              <w:pStyle w:val="Compact"/>
              <w:jc w:val="left"/>
            </w:pPr>
            <w:r>
              <w:rPr>
                <w:rStyle w:val="BlueAdd"/>
              </w:rPr>
              <w:t xml:space="preserve">Early-stage conceptual framework; identity and consent components are listed rather than combined into an authorisation decision.</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bl>
    <w:bookmarkEnd w:id="29"/>
    <w:bookmarkStart w:id="30" w:name="X2b887499669ea90de256e63d16984e9c6f7f03a"/>
    <w:p>
      <w:pPr>
        <w:pStyle w:val="Heading3"/>
      </w:pPr>
      <w:r>
        <w:rPr>
          <w:rStyle w:val="GreenDelete"/>
        </w:rPr>
        <w:t xml:space="preserve">2.3.2</w:t>
      </w:r>
      <w:r>
        <w:t xml:space="preserve"> </w:t>
      </w:r>
      <w:r>
        <w:rPr>
          <w:rStyle w:val="GreenFix"/>
        </w:rPr>
        <w:t xml:space="preserve">2.4.2</w:t>
      </w:r>
      <w:r>
        <w:t xml:space="preserve"> </w:t>
      </w:r>
      <w:r>
        <w:rPr>
          <w:rStyle w:val="GreenDelete"/>
        </w:rPr>
        <w:t xml:space="preserve">Blockchain-Based Consent and Data Governance</w:t>
      </w:r>
      <w:r>
        <w:t xml:space="preserve"> </w:t>
      </w:r>
      <w:r>
        <w:rPr>
          <w:rStyle w:val="GreenFix"/>
        </w:rPr>
        <w:t xml:space="preserve">Blockchain-Based Healthcare Data Governance</w:t>
      </w:r>
    </w:p>
    <w:p>
      <w:pPr>
        <w:pStyle w:val="FirstParagraph"/>
      </w:pPr>
      <w:r>
        <w:t xml:space="preserve">Blockchain technologies have been extensively investigated as mechanisms for improving integrity, transparency, traceability, and accountability in distributed data-sharing environments. In healthcare, blockchain-based architectures have been proposed for electronic health records, access control, auditability, interoperability, and consent management</w:t>
      </w:r>
      <w:r>
        <w:t xml:space="preserve"> </w:t>
      </w:r>
      <w:r>
        <w:rPr>
          <w:rStyle w:val="GreenDelete"/>
        </w:rPr>
        <w:t xml:space="preserve">[1, 2, 7, 3]</w:t>
      </w:r>
      <w:r>
        <w:rPr>
          <w:rStyle w:val="GreenFix"/>
        </w:rPr>
        <w:t xml:space="preserve">[1, 2, 3, 7]</w:t>
      </w:r>
      <w:r>
        <w:t xml:space="preserve">. More generally, blockchain has been studied as an infrastructure for trustworthy data sharing and</w:t>
      </w:r>
      <w:r>
        <w:t xml:space="preserve"> </w:t>
      </w:r>
      <w:r>
        <w:rPr>
          <w:rStyle w:val="GreenDelete"/>
        </w:rPr>
        <w:t xml:space="preserve">decentralised decision-making across organisational boundaries [29, 30, 26]</w:t>
      </w:r>
      <w:r>
        <w:rPr>
          <w:rStyle w:val="GreenFix"/>
        </w:rPr>
        <w:t xml:space="preserve">decentralised decision-making across organisational boundaries [26, 29]</w:t>
      </w:r>
      <w:r>
        <w:t xml:space="preserve">.</w:t>
      </w:r>
    </w:p>
    <w:p>
      <w:pPr>
        <w:pStyle w:val="BodyText"/>
      </w:pPr>
      <w:r>
        <w:t xml:space="preserve">A major contribution of blockchain is its ability to preserve tamper-resistant evidence of transactions and state changes.</w:t>
      </w:r>
      <w:r>
        <w:t xml:space="preserve"> </w:t>
      </w:r>
      <w:r>
        <w:rPr>
          <w:rStyle w:val="GreenDelete"/>
        </w:rPr>
        <w:t xml:space="preserve">This characteristic is particularly valuable for sensitive documentation and data governance because it can strengthen auditability and provide evidence that recorded information has not been modified without detection [8]. Analytical research has also investigated how blockchain immutability contributes to tamper-resilient trust and integrity within distributed systems [18].</w:t>
      </w:r>
      <w:r>
        <w:rPr>
          <w:rStyle w:val="GreenFix"/>
        </w:rPr>
        <w:t xml:space="preserve">This characteristic strengthens auditability and provides evidence that recorded information has not been modified without detection [1, 26].</w:t>
      </w:r>
    </w:p>
    <w:p>
      <w:pPr>
        <w:pStyle w:val="BodyText"/>
      </w:pPr>
      <w:r>
        <w:t xml:space="preserve">Blockchain-based healthcare systems therefore provide an important foundation for recording consent events, access decisions, and governance actions. Surveys of healthcare blockchain systems demonstrate the potential of distributed ledgers to improve transparency and decentralised accountability, while also identifying continuing challenges associated with privacy, scalability, interoperability, and access control</w:t>
      </w:r>
      <w:r>
        <w:t xml:space="preserve"> </w:t>
      </w:r>
      <w:r>
        <w:rPr>
          <w:rStyle w:val="GreenDelete"/>
        </w:rPr>
        <w:t xml:space="preserve">[2, 7, 3, 28]</w:t>
      </w:r>
      <w:r>
        <w:rPr>
          <w:rStyle w:val="GreenFix"/>
        </w:rPr>
        <w:t xml:space="preserve">[2, 3, 7, 28]</w:t>
      </w:r>
      <w:r>
        <w:t xml:space="preserve">.</w:t>
      </w:r>
    </w:p>
    <w:p>
      <w:pPr>
        <w:pStyle w:val="BodyText"/>
      </w:pPr>
      <w:r>
        <w:t xml:space="preserve">However, blockchain immutability should not be confused with trustworthy authorisation. A blockchain can provide strong evidence that a transaction has been recorded, but it does not independently determine whether the entity initiating the transaction possesses legitimate authority. Similarly, the integrity of a consent record does not guarantee that all required participants approved the decision or that a subsequent access request complies with the conditions associated with the consent.</w:t>
      </w:r>
    </w:p>
    <w:p>
      <w:pPr>
        <w:pStyle w:val="BodyText"/>
      </w:pPr>
      <w:r>
        <w:t xml:space="preserve">This distinction is particularly important when participants have incomplete information about each other, operate across organisational boundaries, or possess asymmetric authority. Under such conditions, the problem is not simply how to record a decision, but how to determine whether the decision was generated under sufficient and verifiable trust conditions.</w:t>
      </w:r>
    </w:p>
    <w:p>
      <w:pPr>
        <w:pStyle w:val="BodyText"/>
      </w:pPr>
      <w:r>
        <w:t xml:space="preserve">Accordingly, blockchain is best understood as an enabling infrastructure for evidence preservation, auditability, and decentralised coordination rather than as the sole source of trust. The proposed research therefore does not treat blockchain storage as the primary research contribution. Instead, blockchain-compatible mechanisms are considered as part of a broader architecture in which the validity of an authorisation decision depends on the coordinated evaluation of identity, authority, multi-party approval, and policy constraints.</w:t>
      </w:r>
    </w:p>
    <w:p>
      <w:pPr>
        <w:pStyle w:val="BlueAddPara"/>
      </w:pPr>
      <w:r>
        <w:rPr>
          <w:rStyle w:val="BlueAdd"/>
        </w:rPr>
        <w:t xml:space="preserve">Table 2.5 summarises the blockchain-based studies and their coverage of the key requirements.</w:t>
      </w:r>
    </w:p>
    <w:p>
      <w:pPr>
        <w:pStyle w:val="TableCaption"/>
      </w:pPr>
      <w:r>
        <w:rPr>
          <w:rStyle w:val="BlueAdd"/>
        </w:rPr>
        <w:t xml:space="preserve">Table 2.5: Descriptions, issues and limitations of the studies on blockchain-based healthcare data governance and their coverage of the key requirements</w:t>
      </w:r>
    </w:p>
    <w:tbl>
      <w:tblPr>
        <w:tblStyle w:val="Table"/>
        <w:tblW w:type="pct" w:w="5000"/>
        <w:tblLayout w:type="fixed"/>
        <w:tblLook w:firstRow="1" w:lastRow="0" w:firstColumn="0" w:lastColumn="0" w:noHBand="0" w:noVBand="0" w:val="0020"/>
        <w:tblCaption w:val="Table 2.5: Descriptions, issues and limitations of the studies on blockchain-based healthcare data governance and their coverage of the key requirements"/>
      </w:tblPr>
      <w:tblGrid>
        <w:gridCol w:w="728"/>
        <w:gridCol w:w="2457"/>
        <w:gridCol w:w="2457"/>
        <w:gridCol w:w="455"/>
        <w:gridCol w:w="455"/>
        <w:gridCol w:w="455"/>
        <w:gridCol w:w="455"/>
        <w:gridCol w:w="455"/>
      </w:tblGrid>
      <w:tr>
        <w:trPr>
          <w:cantSplit/>
          <w:tblHeader w:val="on"/>
        </w:trPr>
        <w:tc>
          <w:tcPr>
            <w:tcBorders>
              <w:bottom w:val="single" w:sz="8" w:space="0" w:color="000000"/>
            </w:tcBorders>
            <w:shd w:val="clear" w:color="auto" w:fill="E7E6E6"/>
            <w:vAlign w:val="center"/>
          </w:tcPr>
          <w:p>
            <w:pPr>
              <w:pStyle w:val="Compact"/>
              <w:jc w:val="left"/>
            </w:pPr>
            <w:r>
              <w:rPr>
                <w:rStyle w:val="BlueAdd"/>
                <w:b/>
                <w:bCs/>
              </w:rPr>
              <w:t xml:space="preserve">Study</w:t>
            </w:r>
          </w:p>
        </w:tc>
        <w:tc>
          <w:tcPr>
            <w:tcBorders>
              <w:bottom w:val="single" w:sz="8" w:space="0" w:color="000000"/>
            </w:tcBorders>
            <w:shd w:val="clear" w:color="auto" w:fill="E7E6E6"/>
            <w:vAlign w:val="center"/>
          </w:tcPr>
          <w:p>
            <w:pPr>
              <w:pStyle w:val="Compact"/>
              <w:jc w:val="left"/>
            </w:pPr>
            <w:r>
              <w:rPr>
                <w:rStyle w:val="BlueAdd"/>
                <w:b/>
                <w:bCs/>
              </w:rPr>
              <w:t xml:space="preserve">Description of the study</w:t>
            </w:r>
          </w:p>
        </w:tc>
        <w:tc>
          <w:tcPr>
            <w:tcBorders>
              <w:bottom w:val="single" w:sz="8" w:space="0" w:color="000000"/>
            </w:tcBorders>
            <w:shd w:val="clear" w:color="auto" w:fill="E7E6E6"/>
            <w:vAlign w:val="center"/>
          </w:tcPr>
          <w:p>
            <w:pPr>
              <w:pStyle w:val="Compact"/>
              <w:jc w:val="left"/>
            </w:pPr>
            <w:r>
              <w:rPr>
                <w:rStyle w:val="BlueAdd"/>
                <w:b/>
                <w:bCs/>
              </w:rPr>
              <w:t xml:space="preserve">Issues / limitations for trust-oriented consent authorisation</w:t>
            </w:r>
          </w:p>
        </w:tc>
        <w:tc>
          <w:tcPr>
            <w:tcBorders>
              <w:bottom w:val="single" w:sz="8" w:space="0" w:color="000000"/>
            </w:tcBorders>
            <w:shd w:val="clear" w:color="auto" w:fill="E7E6E6"/>
            <w:vAlign w:val="center"/>
          </w:tcPr>
          <w:p>
            <w:pPr>
              <w:pStyle w:val="Compact"/>
              <w:jc w:val="center"/>
            </w:pPr>
            <w:r>
              <w:rPr>
                <w:rStyle w:val="BlueAdd"/>
                <w:b/>
                <w:bCs/>
              </w:rPr>
              <w:t xml:space="preserve">Req 1</w:t>
            </w:r>
          </w:p>
        </w:tc>
        <w:tc>
          <w:tcPr>
            <w:tcBorders>
              <w:bottom w:val="single" w:sz="8" w:space="0" w:color="000000"/>
            </w:tcBorders>
            <w:shd w:val="clear" w:color="auto" w:fill="E7E6E6"/>
            <w:vAlign w:val="center"/>
          </w:tcPr>
          <w:p>
            <w:pPr>
              <w:pStyle w:val="Compact"/>
              <w:jc w:val="center"/>
            </w:pPr>
            <w:r>
              <w:rPr>
                <w:rStyle w:val="BlueAdd"/>
                <w:b/>
                <w:bCs/>
              </w:rPr>
              <w:t xml:space="preserve">Req 2</w:t>
            </w:r>
          </w:p>
        </w:tc>
        <w:tc>
          <w:tcPr>
            <w:tcBorders>
              <w:bottom w:val="single" w:sz="8" w:space="0" w:color="000000"/>
            </w:tcBorders>
            <w:shd w:val="clear" w:color="auto" w:fill="E7E6E6"/>
            <w:vAlign w:val="center"/>
          </w:tcPr>
          <w:p>
            <w:pPr>
              <w:pStyle w:val="Compact"/>
              <w:jc w:val="center"/>
            </w:pPr>
            <w:r>
              <w:rPr>
                <w:rStyle w:val="BlueAdd"/>
                <w:b/>
                <w:bCs/>
              </w:rPr>
              <w:t xml:space="preserve">Req 3</w:t>
            </w:r>
          </w:p>
        </w:tc>
        <w:tc>
          <w:tcPr>
            <w:tcBorders>
              <w:bottom w:val="single" w:sz="8" w:space="0" w:color="000000"/>
            </w:tcBorders>
            <w:shd w:val="clear" w:color="auto" w:fill="E7E6E6"/>
            <w:vAlign w:val="center"/>
          </w:tcPr>
          <w:p>
            <w:pPr>
              <w:pStyle w:val="Compact"/>
              <w:jc w:val="center"/>
            </w:pPr>
            <w:r>
              <w:rPr>
                <w:rStyle w:val="BlueAdd"/>
                <w:b/>
                <w:bCs/>
              </w:rPr>
              <w:t xml:space="preserve">Req 4</w:t>
            </w:r>
          </w:p>
        </w:tc>
        <w:tc>
          <w:tcPr>
            <w:tcBorders>
              <w:bottom w:val="single" w:sz="8" w:space="0" w:color="000000"/>
            </w:tcBorders>
            <w:shd w:val="clear" w:color="auto" w:fill="E7E6E6"/>
            <w:vAlign w:val="center"/>
          </w:tcPr>
          <w:p>
            <w:pPr>
              <w:pStyle w:val="Compact"/>
              <w:jc w:val="center"/>
            </w:pPr>
            <w:r>
              <w:rPr>
                <w:rStyle w:val="BlueAdd"/>
                <w:b/>
                <w:bCs/>
              </w:rPr>
              <w:t xml:space="preserve">Req 5</w:t>
            </w:r>
          </w:p>
        </w:tc>
      </w:tr>
      <w:tr>
        <w:trPr>
          <w:cantSplit/>
        </w:trPr>
        <w:tc>
          <w:tcPr/>
          <w:p>
            <w:pPr>
              <w:pStyle w:val="Compact"/>
              <w:jc w:val="left"/>
            </w:pPr>
            <w:r>
              <w:rPr>
                <w:rStyle w:val="BlueAdd"/>
              </w:rPr>
              <w:t xml:space="preserve">S11 [1]</w:t>
            </w:r>
          </w:p>
        </w:tc>
        <w:tc>
          <w:tcPr/>
          <w:p>
            <w:pPr>
              <w:pStyle w:val="Compact"/>
              <w:jc w:val="left"/>
            </w:pPr>
            <w:r>
              <w:rPr>
                <w:rStyle w:val="BlueAdd"/>
              </w:rPr>
              <w:t xml:space="preserve">Systematic review of 99 blockchain-based EHR proposals analysed by privacy, security, scalability, accessibility, cost, consensus and blockchain type.</w:t>
            </w:r>
          </w:p>
        </w:tc>
        <w:tc>
          <w:tcPr/>
          <w:p>
            <w:pPr>
              <w:pStyle w:val="Compact"/>
              <w:jc w:val="left"/>
            </w:pPr>
            <w:r>
              <w:rPr>
                <w:rStyle w:val="BlueAdd"/>
              </w:rPr>
              <w:t xml:space="preserve">Blockchain is evaluated as a storage and audit substrate; participant authority and consent scope are not modelled.</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S12 [2]</w:t>
            </w:r>
          </w:p>
        </w:tc>
        <w:tc>
          <w:tcPr/>
          <w:p>
            <w:pPr>
              <w:pStyle w:val="Compact"/>
              <w:jc w:val="left"/>
            </w:pPr>
            <w:r>
              <w:rPr>
                <w:rStyle w:val="BlueAdd"/>
              </w:rPr>
              <w:t xml:space="preserve">Survey of blockchain architectures for healthcare systems, their security challenges, trends and future directions.</w:t>
            </w:r>
          </w:p>
        </w:tc>
        <w:tc>
          <w:tcPr/>
          <w:p>
            <w:pPr>
              <w:pStyle w:val="Compact"/>
              <w:jc w:val="left"/>
            </w:pPr>
            <w:r>
              <w:rPr>
                <w:rStyle w:val="BlueAdd"/>
              </w:rPr>
              <w:t xml:space="preserve">Architecture-level survey; the access decision itself is left to the individual systems reviewed.</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S13 [3]</w:t>
            </w:r>
          </w:p>
        </w:tc>
        <w:tc>
          <w:tcPr/>
          <w:p>
            <w:pPr>
              <w:pStyle w:val="Compact"/>
              <w:jc w:val="left"/>
            </w:pPr>
            <w:r>
              <w:rPr>
                <w:rStyle w:val="BlueAdd"/>
              </w:rPr>
              <w:t xml:space="preserve">Survey classifying more than 40 blockchain healthcare systems by entity interactions, functional components, challenges and benefits, with a discussion of GDPR and HIPAA compliance.</w:t>
            </w:r>
          </w:p>
        </w:tc>
        <w:tc>
          <w:tcPr/>
          <w:p>
            <w:pPr>
              <w:pStyle w:val="Compact"/>
              <w:jc w:val="left"/>
            </w:pPr>
            <w:r>
              <w:rPr>
                <w:rStyle w:val="BlueAdd"/>
              </w:rPr>
              <w:t xml:space="preserve">Treats consent as a regulatory requirement rather than an evaluable object; authority verification is not addressed.</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S14 [7]</w:t>
            </w:r>
          </w:p>
        </w:tc>
        <w:tc>
          <w:tcPr/>
          <w:p>
            <w:pPr>
              <w:pStyle w:val="Compact"/>
              <w:jc w:val="left"/>
            </w:pPr>
            <w:r>
              <w:rPr>
                <w:rStyle w:val="BlueAdd"/>
              </w:rPr>
              <w:t xml:space="preserve">Review of 144 articles on blockchain applications in healthcare, their application areas, limitations and research directions.</w:t>
            </w:r>
          </w:p>
        </w:tc>
        <w:tc>
          <w:tcPr/>
          <w:p>
            <w:pPr>
              <w:pStyle w:val="Compact"/>
              <w:jc w:val="left"/>
            </w:pPr>
            <w:r>
              <w:rPr>
                <w:rStyle w:val="BlueAdd"/>
              </w:rPr>
              <w:t xml:space="preserve">Confirms the auditability benefit; multi-party approval and authority verification are not treated.</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S15 [26]</w:t>
            </w:r>
          </w:p>
        </w:tc>
        <w:tc>
          <w:tcPr/>
          <w:p>
            <w:pPr>
              <w:pStyle w:val="Compact"/>
              <w:jc w:val="left"/>
            </w:pPr>
            <w:r>
              <w:rPr>
                <w:rStyle w:val="BlueAdd"/>
              </w:rPr>
              <w:t xml:space="preserve">Survey and reference architecture for blockchain-based data sharing covering provenance, privacy, consent management and incentives across healthcare and other sectors.</w:t>
            </w:r>
          </w:p>
        </w:tc>
        <w:tc>
          <w:tcPr/>
          <w:p>
            <w:pPr>
              <w:pStyle w:val="Compact"/>
              <w:jc w:val="left"/>
            </w:pPr>
            <w:r>
              <w:rPr>
                <w:rStyle w:val="BlueAdd"/>
              </w:rPr>
              <w:t xml:space="preserve">Consent management is named as a challenge; the architecture does not specify how a request is evaluated against identity, approval and scope.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S16 [29]</w:t>
            </w:r>
          </w:p>
        </w:tc>
        <w:tc>
          <w:tcPr/>
          <w:p>
            <w:pPr>
              <w:pStyle w:val="Compact"/>
              <w:jc w:val="left"/>
            </w:pPr>
            <w:r>
              <w:rPr>
                <w:rStyle w:val="BlueAdd"/>
              </w:rPr>
              <w:t xml:space="preserve">Review of decentralised decision-making with big data and blockchain, including DAO governance and the Estonian healthcare case.</w:t>
            </w:r>
          </w:p>
        </w:tc>
        <w:tc>
          <w:tcPr/>
          <w:p>
            <w:pPr>
              <w:pStyle w:val="Compact"/>
              <w:jc w:val="left"/>
            </w:pPr>
            <w:r>
              <w:rPr>
                <w:rStyle w:val="BlueAdd"/>
              </w:rPr>
              <w:t xml:space="preserve">Collective decision-making is discussed at governance level, not as a verifiable condition inside a consent object.</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bl>
    <w:bookmarkEnd w:id="30"/>
    <w:bookmarkStart w:id="31" w:name="Xce8374abd25737680a0ea224e7b0673254898a7"/>
    <w:p>
      <w:pPr>
        <w:pStyle w:val="Heading3"/>
      </w:pPr>
      <w:r>
        <w:rPr>
          <w:rStyle w:val="GreenDelete"/>
        </w:rPr>
        <w:t xml:space="preserve">2.3.3</w:t>
      </w:r>
      <w:r>
        <w:t xml:space="preserve"> </w:t>
      </w:r>
      <w:r>
        <w:rPr>
          <w:rStyle w:val="GreenFix"/>
        </w:rPr>
        <w:t xml:space="preserve">2.4.3</w:t>
      </w:r>
      <w:r>
        <w:t xml:space="preserve"> </w:t>
      </w:r>
      <w:r>
        <w:t xml:space="preserve">Decentralised Identity and Verifiable Credentials</w:t>
      </w:r>
    </w:p>
    <w:p>
      <w:pPr>
        <w:pStyle w:val="FirstParagraph"/>
      </w:pPr>
      <w:r>
        <w:t xml:space="preserve">Decentralised Identity (DID) and Verifiable Credentials (VCs) provide an alternative to conventional identity architectures based exclusively on centralised identity providers. DID-based systems enable entities to establish persistent and cryptographically verifiable identifiers, while VCs provide verifiable claims concerning roles, attributes, qualifications, or other properties associated with an entity</w:t>
      </w:r>
      <w:r>
        <w:t xml:space="preserve"> </w:t>
      </w:r>
      <w:r>
        <w:rPr>
          <w:rStyle w:val="GreenDelete"/>
        </w:rPr>
        <w:t xml:space="preserve">[20, 33, 4, 16]</w:t>
      </w:r>
      <w:r>
        <w:rPr>
          <w:rStyle w:val="GreenFix"/>
        </w:rPr>
        <w:t xml:space="preserve">[4, 16, 20, 33]</w:t>
      </w:r>
      <w:r>
        <w:t xml:space="preserve">.</w:t>
      </w:r>
    </w:p>
    <w:p>
      <w:pPr>
        <w:pStyle w:val="BodyText"/>
      </w:pPr>
      <w:r>
        <w:t xml:space="preserve">Recent research has extended decentralised identity beyond static identity representation. Dynamic DID mechanisms have investigated proactive approaches for identity management, while decentralised identity systems with multi-party verification have demonstrated the potential to strengthen the process through which identity claims are</w:t>
      </w:r>
      <w:r>
        <w:t xml:space="preserve"> </w:t>
      </w:r>
      <w:r>
        <w:rPr>
          <w:rStyle w:val="GreenDelete"/>
        </w:rPr>
        <w:t xml:space="preserve">established or validated [33, 4]</w:t>
      </w:r>
      <w:r>
        <w:rPr>
          <w:rStyle w:val="GreenFix"/>
        </w:rPr>
        <w:t xml:space="preserve">established or validated [4, 33]</w:t>
      </w:r>
      <w:r>
        <w:t xml:space="preserve">. Other studies have examined privacy-preserving authentication and selective disclosure, allowing participants to prove selected attributes without unnecessarily</w:t>
      </w:r>
      <w:r>
        <w:t xml:space="preserve"> </w:t>
      </w:r>
      <w:r>
        <w:rPr>
          <w:rStyle w:val="GreenDelete"/>
        </w:rPr>
        <w:t xml:space="preserve">revealing additional information [27, 5]</w:t>
      </w:r>
      <w:r>
        <w:rPr>
          <w:rStyle w:val="GreenFix"/>
        </w:rPr>
        <w:t xml:space="preserve">revealing additional information [5, 27]</w:t>
      </w:r>
      <w:r>
        <w:t xml:space="preserve">.</w:t>
      </w:r>
    </w:p>
    <w:p>
      <w:pPr>
        <w:pStyle w:val="BodyText"/>
      </w:pPr>
      <w:r>
        <w:t xml:space="preserve">These mechanisms are particularly relevant to healthcare and other sensitive data-sharing environments because they can reduce dependence on a single identity provider and provide stronger control over the disclosure of participant attributes.</w:t>
      </w:r>
      <w:r>
        <w:rPr>
          <w:rStyle w:val="GreenFix"/>
        </w:rPr>
        <w:t xml:space="preserve">Reviews of blockchain-based identity management for the Internet of Things reach the same conclusion for constrained devices [15, 16].</w:t>
      </w:r>
      <w:r>
        <w:t xml:space="preserve"> </w:t>
      </w:r>
      <w:r>
        <w:t xml:space="preserve">However, the literature also reveals an important conceptual distinction between identity and authority.</w:t>
      </w:r>
    </w:p>
    <w:p>
      <w:pPr>
        <w:pStyle w:val="BodyText"/>
      </w:pPr>
      <w:r>
        <w:t xml:space="preserve">A valid decentralised identifier establishes that a participant can be cryptographically identified. A valid verifiable credential may establish that the participant possesses a particular role, qualification, or attribute. Nevertheless, neither identity verification nor credential possession automatically establishes that the participant should be granted access to a particular patient’s information. An entity may be a legitimate healthcare professional, for example, while still lacking authority to access a specific data category for a particular purpose.</w:t>
      </w:r>
    </w:p>
    <w:p>
      <w:pPr>
        <w:pStyle w:val="BodyText"/>
      </w:pPr>
      <w:r>
        <w:t xml:space="preserve">The proposed research therefore extends the role of DID and VC technologies from identity representation and credential verification towards their use as trusted inputs to a broader authorisation process. Under this approach,</w:t>
      </w:r>
    </w:p>
    <w:p>
      <w:pPr>
        <w:pStyle w:val="BodyText"/>
      </w:pPr>
      <m:oMathPara>
        <m:oMathParaPr>
          <m:jc m:val="center"/>
        </m:oMathParaPr>
        <m:oMath>
          <m:r>
            <m:t>I</m:t>
          </m:r>
          <m:r>
            <m:t>d</m:t>
          </m:r>
          <m:r>
            <m:t>e</m:t>
          </m:r>
          <m:r>
            <m:t>n</m:t>
          </m:r>
          <m:r>
            <m:t>t</m:t>
          </m:r>
          <m:r>
            <m:t>i</m:t>
          </m:r>
          <m:r>
            <m:t>t</m:t>
          </m:r>
          <m:r>
            <m:t>y</m:t>
          </m:r>
          <m:r>
            <m:rPr>
              <m:sty m:val="p"/>
            </m:rPr>
            <m:t>≠</m:t>
          </m:r>
          <m:r>
            <m:t>A</m:t>
          </m:r>
          <m:r>
            <m:t>u</m:t>
          </m:r>
          <m:r>
            <m:t>t</m:t>
          </m:r>
          <m:r>
            <m:t>h</m:t>
          </m:r>
          <m:r>
            <m:t>o</m:t>
          </m:r>
          <m:r>
            <m:t>r</m:t>
          </m:r>
          <m:r>
            <m:t>i</m:t>
          </m:r>
          <m:r>
            <m:t>s</m:t>
          </m:r>
          <m:r>
            <m:t>a</m:t>
          </m:r>
          <m:r>
            <m:t>t</m:t>
          </m:r>
          <m:r>
            <m:t>i</m:t>
          </m:r>
          <m:r>
            <m:t>o</m:t>
          </m:r>
          <m:r>
            <m:t>n</m:t>
          </m:r>
          <m:r>
            <m:rPr>
              <m:sty m:val="p"/>
            </m:rPr>
            <m:t>.</m:t>
          </m:r>
          <m:r>
            <m:t>  </m:t>
          </m:r>
          <m:r>
            <m:t>  </m:t>
          </m:r>
          <m:r>
            <m:rPr>
              <m:sty m:val="p"/>
            </m:rPr>
            <m:t>(</m:t>
          </m:r>
          <m:r>
            <m:t>1</m:t>
          </m:r>
          <m:r>
            <m:rPr>
              <m:sty m:val="p"/>
            </m:rPr>
            <m:t>)</m:t>
          </m:r>
        </m:oMath>
      </m:oMathPara>
    </w:p>
    <w:p>
      <w:pPr>
        <w:pStyle w:val="FirstParagraph"/>
      </w:pPr>
      <w:r>
        <w:t xml:space="preserve">Identity verification establishes who is participating in the decision, while authority verification determines whether that entity satisfies the requirements associated with a particular consent or access operation. The resulting distinction is important because it prevents successful authentication from being interpreted as automatic permission.</w:t>
      </w:r>
    </w:p>
    <w:p>
      <w:pPr>
        <w:pStyle w:val="BodyText"/>
      </w:pPr>
      <w:r>
        <w:t xml:space="preserve">The literature provides increasingly sophisticated mechanisms for decentralised identity and credential validation. However, there remains a need to integrate these mechanisms with collective authorisation and policy evaluation so that verified identities and credentials contribute to, rather than replace, a comprehensive trust decision.</w:t>
      </w:r>
    </w:p>
    <w:p>
      <w:pPr>
        <w:pStyle w:val="BlueAddPara"/>
      </w:pPr>
      <w:r>
        <w:rPr>
          <w:rStyle w:val="BlueAdd"/>
        </w:rPr>
        <w:t xml:space="preserve">Table 2.6 summarises the decentralised identity studies and their coverage of the key requirements.</w:t>
      </w:r>
    </w:p>
    <w:p>
      <w:pPr>
        <w:pStyle w:val="TableCaption"/>
      </w:pPr>
      <w:r>
        <w:rPr>
          <w:rStyle w:val="BlueAdd"/>
        </w:rPr>
        <w:t xml:space="preserve">Table 2.6: Descriptions, issues and limitations of the studies on decentralised identity and verifiable credentials and their coverage of the key requirements</w:t>
      </w:r>
    </w:p>
    <w:tbl>
      <w:tblPr>
        <w:tblStyle w:val="Table"/>
        <w:tblW w:type="pct" w:w="5000"/>
        <w:tblLayout w:type="fixed"/>
        <w:tblLook w:firstRow="1" w:lastRow="0" w:firstColumn="0" w:lastColumn="0" w:noHBand="0" w:noVBand="0" w:val="0020"/>
        <w:tblCaption w:val="Table 2.6: Descriptions, issues and limitations of the studies on decentralised identity and verifiable credentials and their coverage of the key requirements"/>
      </w:tblPr>
      <w:tblGrid>
        <w:gridCol w:w="728"/>
        <w:gridCol w:w="2457"/>
        <w:gridCol w:w="2457"/>
        <w:gridCol w:w="455"/>
        <w:gridCol w:w="455"/>
        <w:gridCol w:w="455"/>
        <w:gridCol w:w="455"/>
        <w:gridCol w:w="455"/>
      </w:tblGrid>
      <w:tr>
        <w:trPr>
          <w:cantSplit/>
          <w:tblHeader w:val="on"/>
        </w:trPr>
        <w:tc>
          <w:tcPr>
            <w:tcBorders>
              <w:bottom w:val="single" w:sz="8" w:space="0" w:color="000000"/>
            </w:tcBorders>
            <w:shd w:val="clear" w:color="auto" w:fill="E7E6E6"/>
            <w:vAlign w:val="center"/>
          </w:tcPr>
          <w:p>
            <w:pPr>
              <w:pStyle w:val="Compact"/>
              <w:jc w:val="left"/>
            </w:pPr>
            <w:r>
              <w:rPr>
                <w:rStyle w:val="BlueAdd"/>
                <w:b/>
                <w:bCs/>
              </w:rPr>
              <w:t xml:space="preserve">Study</w:t>
            </w:r>
          </w:p>
        </w:tc>
        <w:tc>
          <w:tcPr>
            <w:tcBorders>
              <w:bottom w:val="single" w:sz="8" w:space="0" w:color="000000"/>
            </w:tcBorders>
            <w:shd w:val="clear" w:color="auto" w:fill="E7E6E6"/>
            <w:vAlign w:val="center"/>
          </w:tcPr>
          <w:p>
            <w:pPr>
              <w:pStyle w:val="Compact"/>
              <w:jc w:val="left"/>
            </w:pPr>
            <w:r>
              <w:rPr>
                <w:rStyle w:val="BlueAdd"/>
                <w:b/>
                <w:bCs/>
              </w:rPr>
              <w:t xml:space="preserve">Description of the study</w:t>
            </w:r>
          </w:p>
        </w:tc>
        <w:tc>
          <w:tcPr>
            <w:tcBorders>
              <w:bottom w:val="single" w:sz="8" w:space="0" w:color="000000"/>
            </w:tcBorders>
            <w:shd w:val="clear" w:color="auto" w:fill="E7E6E6"/>
            <w:vAlign w:val="center"/>
          </w:tcPr>
          <w:p>
            <w:pPr>
              <w:pStyle w:val="Compact"/>
              <w:jc w:val="left"/>
            </w:pPr>
            <w:r>
              <w:rPr>
                <w:rStyle w:val="BlueAdd"/>
                <w:b/>
                <w:bCs/>
              </w:rPr>
              <w:t xml:space="preserve">Issues / limitations for trust-oriented consent authorisation</w:t>
            </w:r>
          </w:p>
        </w:tc>
        <w:tc>
          <w:tcPr>
            <w:tcBorders>
              <w:bottom w:val="single" w:sz="8" w:space="0" w:color="000000"/>
            </w:tcBorders>
            <w:shd w:val="clear" w:color="auto" w:fill="E7E6E6"/>
            <w:vAlign w:val="center"/>
          </w:tcPr>
          <w:p>
            <w:pPr>
              <w:pStyle w:val="Compact"/>
              <w:jc w:val="center"/>
            </w:pPr>
            <w:r>
              <w:rPr>
                <w:rStyle w:val="BlueAdd"/>
                <w:b/>
                <w:bCs/>
              </w:rPr>
              <w:t xml:space="preserve">Req 1</w:t>
            </w:r>
          </w:p>
        </w:tc>
        <w:tc>
          <w:tcPr>
            <w:tcBorders>
              <w:bottom w:val="single" w:sz="8" w:space="0" w:color="000000"/>
            </w:tcBorders>
            <w:shd w:val="clear" w:color="auto" w:fill="E7E6E6"/>
            <w:vAlign w:val="center"/>
          </w:tcPr>
          <w:p>
            <w:pPr>
              <w:pStyle w:val="Compact"/>
              <w:jc w:val="center"/>
            </w:pPr>
            <w:r>
              <w:rPr>
                <w:rStyle w:val="BlueAdd"/>
                <w:b/>
                <w:bCs/>
              </w:rPr>
              <w:t xml:space="preserve">Req 2</w:t>
            </w:r>
          </w:p>
        </w:tc>
        <w:tc>
          <w:tcPr>
            <w:tcBorders>
              <w:bottom w:val="single" w:sz="8" w:space="0" w:color="000000"/>
            </w:tcBorders>
            <w:shd w:val="clear" w:color="auto" w:fill="E7E6E6"/>
            <w:vAlign w:val="center"/>
          </w:tcPr>
          <w:p>
            <w:pPr>
              <w:pStyle w:val="Compact"/>
              <w:jc w:val="center"/>
            </w:pPr>
            <w:r>
              <w:rPr>
                <w:rStyle w:val="BlueAdd"/>
                <w:b/>
                <w:bCs/>
              </w:rPr>
              <w:t xml:space="preserve">Req 3</w:t>
            </w:r>
          </w:p>
        </w:tc>
        <w:tc>
          <w:tcPr>
            <w:tcBorders>
              <w:bottom w:val="single" w:sz="8" w:space="0" w:color="000000"/>
            </w:tcBorders>
            <w:shd w:val="clear" w:color="auto" w:fill="E7E6E6"/>
            <w:vAlign w:val="center"/>
          </w:tcPr>
          <w:p>
            <w:pPr>
              <w:pStyle w:val="Compact"/>
              <w:jc w:val="center"/>
            </w:pPr>
            <w:r>
              <w:rPr>
                <w:rStyle w:val="BlueAdd"/>
                <w:b/>
                <w:bCs/>
              </w:rPr>
              <w:t xml:space="preserve">Req 4</w:t>
            </w:r>
          </w:p>
        </w:tc>
        <w:tc>
          <w:tcPr>
            <w:tcBorders>
              <w:bottom w:val="single" w:sz="8" w:space="0" w:color="000000"/>
            </w:tcBorders>
            <w:shd w:val="clear" w:color="auto" w:fill="E7E6E6"/>
            <w:vAlign w:val="center"/>
          </w:tcPr>
          <w:p>
            <w:pPr>
              <w:pStyle w:val="Compact"/>
              <w:jc w:val="center"/>
            </w:pPr>
            <w:r>
              <w:rPr>
                <w:rStyle w:val="BlueAdd"/>
                <w:b/>
                <w:bCs/>
              </w:rPr>
              <w:t xml:space="preserve">Req 5</w:t>
            </w:r>
          </w:p>
        </w:tc>
      </w:tr>
      <w:tr>
        <w:trPr>
          <w:cantSplit/>
        </w:trPr>
        <w:tc>
          <w:tcPr/>
          <w:p>
            <w:pPr>
              <w:pStyle w:val="Compact"/>
              <w:jc w:val="left"/>
            </w:pPr>
            <w:r>
              <w:rPr>
                <w:rStyle w:val="BlueAdd"/>
              </w:rPr>
              <w:t xml:space="preserve">S17 [4]</w:t>
            </w:r>
          </w:p>
        </w:tc>
        <w:tc>
          <w:tcPr/>
          <w:p>
            <w:pPr>
              <w:pStyle w:val="Compact"/>
              <w:jc w:val="left"/>
            </w:pPr>
            <w:r>
              <w:rPr>
                <w:rStyle w:val="BlueAdd"/>
              </w:rPr>
              <w:t xml:space="preserve">FutureDID: a fully decentralised identity system in which identity claims are verified by multiple parties.</w:t>
            </w:r>
          </w:p>
        </w:tc>
        <w:tc>
          <w:tcPr/>
          <w:p>
            <w:pPr>
              <w:pStyle w:val="Compact"/>
              <w:jc w:val="left"/>
            </w:pPr>
            <w:r>
              <w:rPr>
                <w:rStyle w:val="BlueAdd"/>
              </w:rPr>
              <w:t xml:space="preserve">Multi-party verification applies to the identity claim, not to the authorisation of data access.</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S18 [5]</w:t>
            </w:r>
          </w:p>
        </w:tc>
        <w:tc>
          <w:tcPr/>
          <w:p>
            <w:pPr>
              <w:pStyle w:val="Compact"/>
              <w:jc w:val="left"/>
            </w:pPr>
            <w:r>
              <w:rPr>
                <w:rStyle w:val="BlueAdd"/>
              </w:rPr>
              <w:t xml:space="preserve">Analysis of the cryptographic mechanisms available for the selective disclosure of verifiable credentials.</w:t>
            </w:r>
          </w:p>
        </w:tc>
        <w:tc>
          <w:tcPr/>
          <w:p>
            <w:pPr>
              <w:pStyle w:val="Compact"/>
              <w:jc w:val="left"/>
            </w:pPr>
            <w:r>
              <w:rPr>
                <w:rStyle w:val="BlueAdd"/>
              </w:rPr>
              <w:t xml:space="preserve">Concerns what a holder reveals, not whether the holder is authorised for a particular patient’s data.</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S19 [15]</w:t>
            </w:r>
          </w:p>
        </w:tc>
        <w:tc>
          <w:tcPr/>
          <w:p>
            <w:pPr>
              <w:pStyle w:val="Compact"/>
              <w:jc w:val="left"/>
            </w:pPr>
            <w:r>
              <w:rPr>
                <w:rStyle w:val="BlueAdd"/>
              </w:rPr>
              <w:t xml:space="preserve">Review of blockchain-based identity management, access control and trust mechanisms for the IoT.</w:t>
            </w:r>
          </w:p>
        </w:tc>
        <w:tc>
          <w:tcPr/>
          <w:p>
            <w:pPr>
              <w:pStyle w:val="Compact"/>
              <w:jc w:val="left"/>
            </w:pPr>
            <w:r>
              <w:rPr>
                <w:rStyle w:val="BlueAdd"/>
              </w:rPr>
              <w:t xml:space="preserve">IoT-oriented; consent and multi-party approval are outside its scope.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S20 [16]</w:t>
            </w:r>
          </w:p>
        </w:tc>
        <w:tc>
          <w:tcPr/>
          <w:p>
            <w:pPr>
              <w:pStyle w:val="Compact"/>
              <w:jc w:val="left"/>
            </w:pPr>
            <w:r>
              <w:rPr>
                <w:rStyle w:val="BlueAdd"/>
              </w:rPr>
              <w:t xml:space="preserve">Overview of decentralised and self-sovereign identity for IoT authentication, authorisation and access control.</w:t>
            </w:r>
          </w:p>
        </w:tc>
        <w:tc>
          <w:tcPr/>
          <w:p>
            <w:pPr>
              <w:pStyle w:val="Compact"/>
              <w:jc w:val="left"/>
            </w:pPr>
            <w:r>
              <w:rPr>
                <w:rStyle w:val="BlueAdd"/>
              </w:rPr>
              <w:t xml:space="preserve">Establishes DIDs and VCs as the identity pillars; authorisation is derived from the credential alone.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S21 [20]</w:t>
            </w:r>
          </w:p>
        </w:tc>
        <w:tc>
          <w:tcPr/>
          <w:p>
            <w:pPr>
              <w:pStyle w:val="Compact"/>
              <w:jc w:val="left"/>
            </w:pPr>
            <w:r>
              <w:rPr>
                <w:rStyle w:val="BlueAdd"/>
              </w:rPr>
              <w:t xml:space="preserve">Comprehensive survey of decentralised identifiers and verifiable credentials, their standards, architectures and open issues.</w:t>
            </w:r>
          </w:p>
        </w:tc>
        <w:tc>
          <w:tcPr/>
          <w:p>
            <w:pPr>
              <w:pStyle w:val="Compact"/>
              <w:jc w:val="left"/>
            </w:pPr>
            <w:r>
              <w:rPr>
                <w:rStyle w:val="BlueAdd"/>
              </w:rPr>
              <w:t xml:space="preserve">Identity and credential validity are the end point; there is no link to consent-defined authority.</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S22 [27]</w:t>
            </w:r>
          </w:p>
        </w:tc>
        <w:tc>
          <w:tcPr/>
          <w:p>
            <w:pPr>
              <w:pStyle w:val="Compact"/>
              <w:jc w:val="left"/>
            </w:pPr>
            <w:r>
              <w:rPr>
                <w:rStyle w:val="BlueAdd"/>
              </w:rPr>
              <w:t xml:space="preserve">DID/VC-based privacy-preserving authentication protocol with zero-knowledge proofs for electric-vehicle charging.</w:t>
            </w:r>
          </w:p>
        </w:tc>
        <w:tc>
          <w:tcPr/>
          <w:p>
            <w:pPr>
              <w:pStyle w:val="Compact"/>
              <w:jc w:val="left"/>
            </w:pPr>
            <w:r>
              <w:rPr>
                <w:rStyle w:val="BlueAdd"/>
              </w:rPr>
              <w:t xml:space="preserve">Shows DID/VC authentication in another domain; no consent or scope conditions.</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S23 [33]</w:t>
            </w:r>
          </w:p>
        </w:tc>
        <w:tc>
          <w:tcPr/>
          <w:p>
            <w:pPr>
              <w:pStyle w:val="Compact"/>
              <w:jc w:val="left"/>
            </w:pPr>
            <w:r>
              <w:rPr>
                <w:rStyle w:val="BlueAdd"/>
              </w:rPr>
              <w:t xml:space="preserve">DP-DID: a dynamic and proactive decentralised identity system that supports identity updates and revocation.</w:t>
            </w:r>
          </w:p>
        </w:tc>
        <w:tc>
          <w:tcPr/>
          <w:p>
            <w:pPr>
              <w:pStyle w:val="Compact"/>
              <w:jc w:val="left"/>
            </w:pPr>
            <w:r>
              <w:rPr>
                <w:rStyle w:val="BlueAdd"/>
              </w:rPr>
              <w:t xml:space="preserve">Lifecycle handling applies to the identity, not to the consent that authorises access.</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bl>
    <w:bookmarkEnd w:id="31"/>
    <w:bookmarkStart w:id="32" w:name="X836fdb855249812e1f666cb0298115c8e62a77c"/>
    <w:p>
      <w:pPr>
        <w:pStyle w:val="Heading3"/>
      </w:pPr>
      <w:r>
        <w:rPr>
          <w:rStyle w:val="GreenDelete"/>
        </w:rPr>
        <w:t xml:space="preserve">2.3.4</w:t>
      </w:r>
      <w:r>
        <w:t xml:space="preserve"> </w:t>
      </w:r>
      <w:r>
        <w:rPr>
          <w:rStyle w:val="GreenFix"/>
        </w:rPr>
        <w:t xml:space="preserve">2.4.4</w:t>
      </w:r>
      <w:r>
        <w:t xml:space="preserve"> </w:t>
      </w:r>
      <w:r>
        <w:rPr>
          <w:rStyle w:val="GreenDelete"/>
        </w:rPr>
        <w:t xml:space="preserve">Multi-Party Authorisation and Collaborative Consent</w:t>
      </w:r>
      <w:r>
        <w:t xml:space="preserve"> </w:t>
      </w:r>
      <w:r>
        <w:rPr>
          <w:rStyle w:val="GreenFix"/>
        </w:rPr>
        <w:t xml:space="preserve">Multi-Party and Decentralised Governance</w:t>
      </w:r>
    </w:p>
    <w:p>
      <w:pPr>
        <w:pStyle w:val="FirstParagraph"/>
      </w:pPr>
      <w:r>
        <w:t xml:space="preserve">A further limitation of conventional access-control models is their frequent reliance on a single authority responsible for granting or denying access. This assumption may be inappropriate in decentralised healthcare scenarios involving patients, guardians, healthcare professionals, institutional authorities, and other stakeholders with</w:t>
      </w:r>
      <w:r>
        <w:t xml:space="preserve"> </w:t>
      </w:r>
      <w:r>
        <w:rPr>
          <w:rStyle w:val="GreenDelete"/>
        </w:rPr>
        <w:t xml:space="preserve">different responsibilities and authority levels [21, 9]</w:t>
      </w:r>
      <w:r>
        <w:rPr>
          <w:rStyle w:val="GreenFix"/>
        </w:rPr>
        <w:t xml:space="preserve">different responsibilities and authority levels [9, 31]</w:t>
      </w:r>
      <w:r>
        <w:t xml:space="preserve">.</w:t>
      </w:r>
    </w:p>
    <w:p>
      <w:pPr>
        <w:pStyle w:val="BodyText"/>
      </w:pPr>
      <w:r>
        <w:t xml:space="preserve">More generally, multi-party data-sharing environments require mechanisms capable of supporting collaborative governance. Research on decentralised data trusts has explored platforms through which multiple parties can participate in data-sharing arrangements and governance processes [19].</w:t>
      </w:r>
      <w:r>
        <w:rPr>
          <w:rStyle w:val="GreenFix"/>
        </w:rPr>
        <w:t xml:space="preserve">A decentralised trust framework for multi-stakeholder livestock data sharing shows that controlled exposure to authorised entities can be achieved without a central authority [6].</w:t>
      </w:r>
      <w:r>
        <w:t xml:space="preserve"> </w:t>
      </w:r>
      <w:r>
        <w:t xml:space="preserve">Decentralised decision-making has also been investigated in combination with blockchain and large-scale data systems [29]. FutureDID further demonstrates that multi-party verification can be incorporated into decentralised identity processes [4].</w:t>
      </w:r>
    </w:p>
    <w:p>
      <w:pPr>
        <w:pStyle w:val="BodyText"/>
      </w:pPr>
      <w:r>
        <w:t xml:space="preserve">Nevertheless, multi-party verification of identity should not be considered equivalent to multi-party authorisation of data access. The first concerns whether an identity claim can be trusted, whereas the second concerns whether a group of independent participants has collectively established a valid permission decision.</w:t>
      </w:r>
    </w:p>
    <w:p>
      <w:pPr>
        <w:pStyle w:val="BodyText"/>
      </w:pPr>
      <w:r>
        <w:t xml:space="preserve">Existing literature provides useful foundations for collaborative governance and multi-party verification. However, comparatively less attention has been given to modelling multi-party approval as an explicit and independently verifiable security condition within a patient consent object. This represents an important area addressed by the proposed framework.</w:t>
      </w:r>
    </w:p>
    <w:p>
      <w:pPr>
        <w:pStyle w:val="BlueAddPara"/>
      </w:pPr>
      <w:r>
        <w:rPr>
          <w:rStyle w:val="BlueAdd"/>
        </w:rPr>
        <w:t xml:space="preserve">The closest existing approach to threshold-based authorisation is the multi-party pre-authorisation protocol of Tan et al. [44], in which a patient pre-delegates access authorisation to several parties using self-sovereign identity, secure multi-party computation and threshold cryptography, so that a record can be released only when a threshold of shares is combined. The threshold applies to cryptographic shares held by parties chosen in advance, however, and the resulting approval is not evaluated against the requester’s authority or the purpose and scope of the request.</w:t>
      </w:r>
    </w:p>
    <w:p>
      <w:pPr>
        <w:pStyle w:val="BlueAddPara"/>
      </w:pPr>
      <w:r>
        <w:rPr>
          <w:rStyle w:val="BlueAdd"/>
        </w:rPr>
        <w:t xml:space="preserve">Table 2.7 summarises the multi-party governance studies and their coverage of the key requirements.</w:t>
      </w:r>
    </w:p>
    <w:p>
      <w:pPr>
        <w:pStyle w:val="TableCaption"/>
      </w:pPr>
      <w:r>
        <w:rPr>
          <w:rStyle w:val="BlueAdd"/>
        </w:rPr>
        <w:t xml:space="preserve">Table 2.7: Descriptions, issues and limitations of the studies on multi-party and decentralised governance and their coverage of the key requirements</w:t>
      </w:r>
    </w:p>
    <w:tbl>
      <w:tblPr>
        <w:tblStyle w:val="Table"/>
        <w:tblW w:type="pct" w:w="5000"/>
        <w:tblLayout w:type="fixed"/>
        <w:tblLook w:firstRow="1" w:lastRow="0" w:firstColumn="0" w:lastColumn="0" w:noHBand="0" w:noVBand="0" w:val="0020"/>
        <w:tblCaption w:val="Table 2.7: Descriptions, issues and limitations of the studies on multi-party and decentralised governance and their coverage of the key requirements"/>
      </w:tblPr>
      <w:tblGrid>
        <w:gridCol w:w="728"/>
        <w:gridCol w:w="2457"/>
        <w:gridCol w:w="2457"/>
        <w:gridCol w:w="455"/>
        <w:gridCol w:w="455"/>
        <w:gridCol w:w="455"/>
        <w:gridCol w:w="455"/>
        <w:gridCol w:w="455"/>
      </w:tblGrid>
      <w:tr>
        <w:trPr>
          <w:cantSplit/>
          <w:tblHeader w:val="on"/>
        </w:trPr>
        <w:tc>
          <w:tcPr>
            <w:tcBorders>
              <w:bottom w:val="single" w:sz="8" w:space="0" w:color="000000"/>
            </w:tcBorders>
            <w:shd w:val="clear" w:color="auto" w:fill="E7E6E6"/>
            <w:vAlign w:val="center"/>
          </w:tcPr>
          <w:p>
            <w:pPr>
              <w:pStyle w:val="Compact"/>
              <w:jc w:val="left"/>
            </w:pPr>
            <w:r>
              <w:rPr>
                <w:rStyle w:val="BlueAdd"/>
                <w:b/>
                <w:bCs/>
              </w:rPr>
              <w:t xml:space="preserve">Study</w:t>
            </w:r>
          </w:p>
        </w:tc>
        <w:tc>
          <w:tcPr>
            <w:tcBorders>
              <w:bottom w:val="single" w:sz="8" w:space="0" w:color="000000"/>
            </w:tcBorders>
            <w:shd w:val="clear" w:color="auto" w:fill="E7E6E6"/>
            <w:vAlign w:val="center"/>
          </w:tcPr>
          <w:p>
            <w:pPr>
              <w:pStyle w:val="Compact"/>
              <w:jc w:val="left"/>
            </w:pPr>
            <w:r>
              <w:rPr>
                <w:rStyle w:val="BlueAdd"/>
                <w:b/>
                <w:bCs/>
              </w:rPr>
              <w:t xml:space="preserve">Description of the study</w:t>
            </w:r>
          </w:p>
        </w:tc>
        <w:tc>
          <w:tcPr>
            <w:tcBorders>
              <w:bottom w:val="single" w:sz="8" w:space="0" w:color="000000"/>
            </w:tcBorders>
            <w:shd w:val="clear" w:color="auto" w:fill="E7E6E6"/>
            <w:vAlign w:val="center"/>
          </w:tcPr>
          <w:p>
            <w:pPr>
              <w:pStyle w:val="Compact"/>
              <w:jc w:val="left"/>
            </w:pPr>
            <w:r>
              <w:rPr>
                <w:rStyle w:val="BlueAdd"/>
                <w:b/>
                <w:bCs/>
              </w:rPr>
              <w:t xml:space="preserve">Issues / limitations for trust-oriented consent authorisation</w:t>
            </w:r>
          </w:p>
        </w:tc>
        <w:tc>
          <w:tcPr>
            <w:tcBorders>
              <w:bottom w:val="single" w:sz="8" w:space="0" w:color="000000"/>
            </w:tcBorders>
            <w:shd w:val="clear" w:color="auto" w:fill="E7E6E6"/>
            <w:vAlign w:val="center"/>
          </w:tcPr>
          <w:p>
            <w:pPr>
              <w:pStyle w:val="Compact"/>
              <w:jc w:val="center"/>
            </w:pPr>
            <w:r>
              <w:rPr>
                <w:rStyle w:val="BlueAdd"/>
                <w:b/>
                <w:bCs/>
              </w:rPr>
              <w:t xml:space="preserve">Req 1</w:t>
            </w:r>
          </w:p>
        </w:tc>
        <w:tc>
          <w:tcPr>
            <w:tcBorders>
              <w:bottom w:val="single" w:sz="8" w:space="0" w:color="000000"/>
            </w:tcBorders>
            <w:shd w:val="clear" w:color="auto" w:fill="E7E6E6"/>
            <w:vAlign w:val="center"/>
          </w:tcPr>
          <w:p>
            <w:pPr>
              <w:pStyle w:val="Compact"/>
              <w:jc w:val="center"/>
            </w:pPr>
            <w:r>
              <w:rPr>
                <w:rStyle w:val="BlueAdd"/>
                <w:b/>
                <w:bCs/>
              </w:rPr>
              <w:t xml:space="preserve">Req 2</w:t>
            </w:r>
          </w:p>
        </w:tc>
        <w:tc>
          <w:tcPr>
            <w:tcBorders>
              <w:bottom w:val="single" w:sz="8" w:space="0" w:color="000000"/>
            </w:tcBorders>
            <w:shd w:val="clear" w:color="auto" w:fill="E7E6E6"/>
            <w:vAlign w:val="center"/>
          </w:tcPr>
          <w:p>
            <w:pPr>
              <w:pStyle w:val="Compact"/>
              <w:jc w:val="center"/>
            </w:pPr>
            <w:r>
              <w:rPr>
                <w:rStyle w:val="BlueAdd"/>
                <w:b/>
                <w:bCs/>
              </w:rPr>
              <w:t xml:space="preserve">Req 3</w:t>
            </w:r>
          </w:p>
        </w:tc>
        <w:tc>
          <w:tcPr>
            <w:tcBorders>
              <w:bottom w:val="single" w:sz="8" w:space="0" w:color="000000"/>
            </w:tcBorders>
            <w:shd w:val="clear" w:color="auto" w:fill="E7E6E6"/>
            <w:vAlign w:val="center"/>
          </w:tcPr>
          <w:p>
            <w:pPr>
              <w:pStyle w:val="Compact"/>
              <w:jc w:val="center"/>
            </w:pPr>
            <w:r>
              <w:rPr>
                <w:rStyle w:val="BlueAdd"/>
                <w:b/>
                <w:bCs/>
              </w:rPr>
              <w:t xml:space="preserve">Req 4</w:t>
            </w:r>
          </w:p>
        </w:tc>
        <w:tc>
          <w:tcPr>
            <w:tcBorders>
              <w:bottom w:val="single" w:sz="8" w:space="0" w:color="000000"/>
            </w:tcBorders>
            <w:shd w:val="clear" w:color="auto" w:fill="E7E6E6"/>
            <w:vAlign w:val="center"/>
          </w:tcPr>
          <w:p>
            <w:pPr>
              <w:pStyle w:val="Compact"/>
              <w:jc w:val="center"/>
            </w:pPr>
            <w:r>
              <w:rPr>
                <w:rStyle w:val="BlueAdd"/>
                <w:b/>
                <w:bCs/>
              </w:rPr>
              <w:t xml:space="preserve">Req 5</w:t>
            </w:r>
          </w:p>
        </w:tc>
      </w:tr>
      <w:tr>
        <w:trPr>
          <w:cantSplit/>
        </w:trPr>
        <w:tc>
          <w:tcPr/>
          <w:p>
            <w:pPr>
              <w:pStyle w:val="Compact"/>
              <w:jc w:val="left"/>
            </w:pPr>
            <w:r>
              <w:rPr>
                <w:rStyle w:val="BlueAdd"/>
              </w:rPr>
              <w:t xml:space="preserve">S24 [6]</w:t>
            </w:r>
          </w:p>
        </w:tc>
        <w:tc>
          <w:tcPr/>
          <w:p>
            <w:pPr>
              <w:pStyle w:val="Compact"/>
              <w:jc w:val="left"/>
            </w:pPr>
            <w:r>
              <w:rPr>
                <w:rStyle w:val="BlueAdd"/>
              </w:rPr>
              <w:t xml:space="preserve">FLEX framework for decentralised trust and secure data sharing among livestock supply-chain stakeholders, with STRIDE threat modelling and an open-source implementation.</w:t>
            </w:r>
          </w:p>
        </w:tc>
        <w:tc>
          <w:tcPr/>
          <w:p>
            <w:pPr>
              <w:pStyle w:val="Compact"/>
              <w:jc w:val="left"/>
            </w:pPr>
            <w:r>
              <w:rPr>
                <w:rStyle w:val="BlueAdd"/>
              </w:rPr>
              <w:t xml:space="preserve">Controlled exposure to authorised entities is supported, but approvals are not aggregated to a threshold and consent is not modelled.</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S25 [19]</w:t>
            </w:r>
          </w:p>
        </w:tc>
        <w:tc>
          <w:tcPr/>
          <w:p>
            <w:pPr>
              <w:pStyle w:val="Compact"/>
              <w:jc w:val="left"/>
            </w:pPr>
            <w:r>
              <w:rPr>
                <w:rStyle w:val="BlueAdd"/>
              </w:rPr>
              <w:t xml:space="preserve">Data Trusts as a Service: a platform through which multiple parties take part in data-sharing arrangements and their governance.</w:t>
            </w:r>
          </w:p>
        </w:tc>
        <w:tc>
          <w:tcPr/>
          <w:p>
            <w:pPr>
              <w:pStyle w:val="Compact"/>
              <w:jc w:val="left"/>
            </w:pPr>
            <w:r>
              <w:rPr>
                <w:rStyle w:val="BlueAdd"/>
              </w:rPr>
              <w:t xml:space="preserve">Governance is collective, but the individual access decision is not bound to identity verification or consent scope.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S26 [44]</w:t>
            </w:r>
          </w:p>
        </w:tc>
        <w:tc>
          <w:tcPr/>
          <w:p>
            <w:pPr>
              <w:pStyle w:val="Compact"/>
              <w:jc w:val="left"/>
            </w:pPr>
            <w:r>
              <w:rPr>
                <w:rStyle w:val="BlueAdd"/>
              </w:rPr>
              <w:t xml:space="preserve">Patient-centric protocol in which the patient pre-delegates authorisation for EHR access to several parties, combining self-sovereign identity with secure multi-party computation and threshold cryptography so that access requires a threshold of shares.</w:t>
            </w:r>
          </w:p>
        </w:tc>
        <w:tc>
          <w:tcPr/>
          <w:p>
            <w:pPr>
              <w:pStyle w:val="Compact"/>
              <w:jc w:val="left"/>
            </w:pPr>
            <w:r>
              <w:rPr>
                <w:rStyle w:val="BlueAdd"/>
              </w:rPr>
              <w:t xml:space="preserve">The threshold applies to cryptographic shares held by parties fixed in advance; the approval is not evaluated against the requester’s authority or the purpose and scope of the request.</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bl>
    <w:bookmarkEnd w:id="32"/>
    <w:bookmarkStart w:id="33" w:name="X65ac327857ae873d38ffe426701abf3e34d1162"/>
    <w:p>
      <w:pPr>
        <w:pStyle w:val="Heading3"/>
      </w:pPr>
      <w:r>
        <w:rPr>
          <w:rStyle w:val="GreenDelete"/>
        </w:rPr>
        <w:t xml:space="preserve">2.3.5</w:t>
      </w:r>
      <w:r>
        <w:t xml:space="preserve"> </w:t>
      </w:r>
      <w:r>
        <w:rPr>
          <w:rStyle w:val="GreenFix"/>
        </w:rPr>
        <w:t xml:space="preserve">2.4.5</w:t>
      </w:r>
      <w:r>
        <w:t xml:space="preserve"> </w:t>
      </w:r>
      <w:r>
        <w:rPr>
          <w:rStyle w:val="GreenDelete"/>
        </w:rPr>
        <w:t xml:space="preserve">Policy-Based and Context-Aware Access Control</w:t>
      </w:r>
      <w:r>
        <w:t xml:space="preserve"> </w:t>
      </w:r>
      <w:r>
        <w:rPr>
          <w:rStyle w:val="GreenFix"/>
        </w:rPr>
        <w:t xml:space="preserve">Policy-Based and Healthcare Access Control</w:t>
      </w:r>
    </w:p>
    <w:p>
      <w:pPr>
        <w:pStyle w:val="FirstParagraph"/>
      </w:pPr>
      <w:r>
        <w:t xml:space="preserve">Healthcare access-control research has developed a broad range of mechanisms for restricting access according to roles, attributes, risk conditions, contextual information, and usage constraints. Attribute-based encryption and decentralised key-management approaches, for example, provide mechanisms for protecting healthcare data through fine-grained cryptographic access policies [32]. Risk-aware and usage-control models have further investigated how access decisions can incorporate dynamic conditions and constraints beyond traditional role-based permissions [11].</w:t>
      </w:r>
    </w:p>
    <w:p>
      <w:pPr>
        <w:pStyle w:val="BodyText"/>
      </w:pPr>
      <w:r>
        <w:t xml:space="preserve">Recent surveys demonstrate the continuing development of blockchain-based healthcare access control and healthcare IoT security, highlighting the importance of privacy preservation, interoperability, scalability, and dynamic access management [28, 25]. These approaches provide important mechanisms for determining whether an operation should be permitted under a particular set of access-control rules.</w:t>
      </w:r>
    </w:p>
    <w:p>
      <w:pPr>
        <w:pStyle w:val="BodyText"/>
      </w:pPr>
      <w:r>
        <w:t xml:space="preserve">However, access control becomes more complex when policies must be connected directly to a decentralised consent process. A requester may possess a valid identity, valid credentials, and even the required multi-party approval while still requesting information outside the scope authorised by the patient. Therefore, the validity of the requester and the validity of the requested operation must be evaluated separately.</w:t>
      </w:r>
    </w:p>
    <w:p>
      <w:pPr>
        <w:pStyle w:val="BodyText"/>
      </w:pPr>
      <w:r>
        <w:t xml:space="preserve">The proposed framework consequently treats policy compliance as an explicit authorisation condition. Let</w:t>
      </w:r>
      <w:r>
        <w:t xml:space="preserve"> </w:t>
      </w:r>
      <w:r>
        <w:rPr>
          <w:i/>
          <w:iCs/>
        </w:rPr>
        <w:t xml:space="preserve">C</w:t>
      </w:r>
      <w:r>
        <w:t xml:space="preserve"> </w:t>
      </w:r>
      <w:r>
        <w:t xml:space="preserve">represent the consent object and</w:t>
      </w:r>
      <w:r>
        <w:t xml:space="preserve"> </w:t>
      </w:r>
      <w:r>
        <w:rPr>
          <w:i/>
          <w:iCs/>
        </w:rPr>
        <w:t xml:space="preserve">R</w:t>
      </w:r>
      <w:r>
        <w:t xml:space="preserve"> </w:t>
      </w:r>
      <w:r>
        <w:t xml:space="preserve">represent a requested operation. Policy validity can be represented conceptually as</w:t>
      </w:r>
    </w:p>
    <w:p>
      <w:pPr>
        <w:pStyle w:val="BodyText"/>
      </w:pPr>
      <m:oMathPara>
        <m:oMathParaPr>
          <m:jc m:val="center"/>
        </m:oMathParaPr>
        <m:oMath>
          <m:sSub>
            <m:e>
              <m:r>
                <m:t>V</m:t>
              </m:r>
            </m:e>
            <m:sub>
              <m:r>
                <m:t>P</m:t>
              </m:r>
            </m:sub>
          </m:sSub>
          <m:r>
            <m:rPr>
              <m:sty m:val="p"/>
            </m:rPr>
            <m:t>(</m:t>
          </m:r>
          <m:r>
            <m:t>C</m:t>
          </m:r>
          <m:r>
            <m:rPr>
              <m:sty m:val="p"/>
            </m:rPr>
            <m:t>,</m:t>
          </m:r>
          <m:r>
            <m:t>R</m:t>
          </m:r>
          <m:r>
            <m:rPr>
              <m:sty m:val="p"/>
            </m:rPr>
            <m:t>)</m:t>
          </m:r>
          <m:r>
            <m:rPr>
              <m:sty m:val="p"/>
            </m:rPr>
            <m:t>=</m:t>
          </m:r>
          <m:r>
            <m:t>P</m:t>
          </m:r>
          <m:r>
            <m:t>o</m:t>
          </m:r>
          <m:r>
            <m:t>l</m:t>
          </m:r>
          <m:r>
            <m:t>i</m:t>
          </m:r>
          <m:r>
            <m:t>c</m:t>
          </m:r>
          <m:r>
            <m:t>y</m:t>
          </m:r>
          <m:r>
            <m:rPr>
              <m:sty m:val="p"/>
            </m:rPr>
            <m:t>(</m:t>
          </m:r>
          <m:r>
            <m:t>C</m:t>
          </m:r>
          <m:r>
            <m:rPr>
              <m:sty m:val="p"/>
            </m:rPr>
            <m:t>,</m:t>
          </m:r>
          <m:r>
            <m:t>R</m:t>
          </m:r>
          <m:r>
            <m:rPr>
              <m:sty m:val="p"/>
            </m:rPr>
            <m:t>)</m:t>
          </m:r>
          <m:r>
            <m:rPr>
              <m:sty m:val="p"/>
            </m:rPr>
            <m:t>.</m:t>
          </m:r>
          <m:r>
            <m:t>  </m:t>
          </m:r>
          <m:r>
            <m:t>  </m:t>
          </m:r>
          <m:r>
            <m:rPr>
              <m:sty m:val="p"/>
            </m:rPr>
            <m:t>(</m:t>
          </m:r>
          <m:r>
            <m:t>2</m:t>
          </m:r>
          <m:r>
            <m:rPr>
              <m:sty m:val="p"/>
            </m:rPr>
            <m:t>)</m:t>
          </m:r>
        </m:oMath>
      </m:oMathPara>
    </w:p>
    <w:p>
      <w:pPr>
        <w:pStyle w:val="FirstParagraph"/>
      </w:pPr>
      <w:r>
        <w:t xml:space="preserve">For example, if a consent authorises access to medications and procedures,</w:t>
      </w:r>
    </w:p>
    <w:p>
      <w:pPr>
        <w:pStyle w:val="BodyText"/>
      </w:pPr>
      <m:oMathPara>
        <m:oMathParaPr>
          <m:jc m:val="center"/>
        </m:oMathParaPr>
        <m:oMath>
          <m:sSub>
            <m:e>
              <m:r>
                <m:t>S</m:t>
              </m:r>
            </m:e>
            <m:sub>
              <m:r>
                <m:t>C</m:t>
              </m:r>
            </m:sub>
          </m:sSub>
          <m:r>
            <m:rPr>
              <m:sty m:val="p"/>
            </m:rPr>
            <m:t>=</m:t>
          </m:r>
          <m:r>
            <m:rPr>
              <m:sty m:val="p"/>
            </m:rPr>
            <m:t>{</m:t>
          </m:r>
          <m:r>
            <m:t>M</m:t>
          </m:r>
          <m:r>
            <m:t>e</m:t>
          </m:r>
          <m:r>
            <m:t>d</m:t>
          </m:r>
          <m:r>
            <m:t>i</m:t>
          </m:r>
          <m:r>
            <m:t>c</m:t>
          </m:r>
          <m:r>
            <m:t>a</m:t>
          </m:r>
          <m:r>
            <m:t>t</m:t>
          </m:r>
          <m:r>
            <m:t>i</m:t>
          </m:r>
          <m:r>
            <m:t>o</m:t>
          </m:r>
          <m:r>
            <m:t>n</m:t>
          </m:r>
          <m:r>
            <m:rPr>
              <m:sty m:val="p"/>
            </m:rPr>
            <m:t>,</m:t>
          </m:r>
          <m:r>
            <m:t>P</m:t>
          </m:r>
          <m:r>
            <m:t>r</m:t>
          </m:r>
          <m:r>
            <m:t>o</m:t>
          </m:r>
          <m:r>
            <m:t>c</m:t>
          </m:r>
          <m:r>
            <m:t>e</m:t>
          </m:r>
          <m:r>
            <m:t>d</m:t>
          </m:r>
          <m:r>
            <m:t>u</m:t>
          </m:r>
          <m:r>
            <m:t>r</m:t>
          </m:r>
          <m:r>
            <m:t>e</m:t>
          </m:r>
          <m:r>
            <m:rPr>
              <m:sty m:val="p"/>
            </m:rPr>
            <m:t>}</m:t>
          </m:r>
          <m:r>
            <m:rPr>
              <m:sty m:val="p"/>
            </m:rPr>
            <m:t>,</m:t>
          </m:r>
          <m:r>
            <m:t>  </m:t>
          </m:r>
          <m:r>
            <m:t>  </m:t>
          </m:r>
          <m:r>
            <m:rPr>
              <m:sty m:val="p"/>
            </m:rPr>
            <m:t>(</m:t>
          </m:r>
          <m:r>
            <m:t>3</m:t>
          </m:r>
          <m:r>
            <m:rPr>
              <m:sty m:val="p"/>
            </m:rPr>
            <m:t>)</m:t>
          </m:r>
        </m:oMath>
      </m:oMathPara>
    </w:p>
    <w:p>
      <w:pPr>
        <w:pStyle w:val="FirstParagraph"/>
      </w:pPr>
      <w:r>
        <w:t xml:space="preserve">then a request for medications, procedures, and observations,</w:t>
      </w:r>
    </w:p>
    <w:p>
      <w:pPr>
        <w:pStyle w:val="BodyText"/>
      </w:pPr>
      <m:oMathPara>
        <m:oMathParaPr>
          <m:jc m:val="center"/>
        </m:oMathParaPr>
        <m:oMath>
          <m:sSub>
            <m:e>
              <m:r>
                <m:t>S</m:t>
              </m:r>
            </m:e>
            <m:sub>
              <m:r>
                <m:t>R</m:t>
              </m:r>
            </m:sub>
          </m:sSub>
          <m:r>
            <m:rPr>
              <m:sty m:val="p"/>
            </m:rPr>
            <m:t>=</m:t>
          </m:r>
          <m:r>
            <m:rPr>
              <m:sty m:val="p"/>
            </m:rPr>
            <m:t>{</m:t>
          </m:r>
          <m:r>
            <m:t>M</m:t>
          </m:r>
          <m:r>
            <m:t>e</m:t>
          </m:r>
          <m:r>
            <m:t>d</m:t>
          </m:r>
          <m:r>
            <m:t>i</m:t>
          </m:r>
          <m:r>
            <m:t>c</m:t>
          </m:r>
          <m:r>
            <m:t>a</m:t>
          </m:r>
          <m:r>
            <m:t>t</m:t>
          </m:r>
          <m:r>
            <m:t>i</m:t>
          </m:r>
          <m:r>
            <m:t>o</m:t>
          </m:r>
          <m:r>
            <m:t>n</m:t>
          </m:r>
          <m:r>
            <m:rPr>
              <m:sty m:val="p"/>
            </m:rPr>
            <m:t>,</m:t>
          </m:r>
          <m:r>
            <m:t>P</m:t>
          </m:r>
          <m:r>
            <m:t>r</m:t>
          </m:r>
          <m:r>
            <m:t>o</m:t>
          </m:r>
          <m:r>
            <m:t>c</m:t>
          </m:r>
          <m:r>
            <m:t>e</m:t>
          </m:r>
          <m:r>
            <m:t>d</m:t>
          </m:r>
          <m:r>
            <m:t>u</m:t>
          </m:r>
          <m:r>
            <m:t>r</m:t>
          </m:r>
          <m:r>
            <m:t>e</m:t>
          </m:r>
          <m:r>
            <m:rPr>
              <m:sty m:val="p"/>
            </m:rPr>
            <m:t>,</m:t>
          </m:r>
          <m:r>
            <m:t>O</m:t>
          </m:r>
          <m:r>
            <m:t>b</m:t>
          </m:r>
          <m:r>
            <m:t>s</m:t>
          </m:r>
          <m:r>
            <m:t>e</m:t>
          </m:r>
          <m:r>
            <m:t>r</m:t>
          </m:r>
          <m:r>
            <m:t>v</m:t>
          </m:r>
          <m:r>
            <m:t>a</m:t>
          </m:r>
          <m:r>
            <m:t>t</m:t>
          </m:r>
          <m:r>
            <m:t>i</m:t>
          </m:r>
          <m:r>
            <m:t>o</m:t>
          </m:r>
          <m:r>
            <m:t>n</m:t>
          </m:r>
          <m:r>
            <m:rPr>
              <m:sty m:val="p"/>
            </m:rPr>
            <m:t>}</m:t>
          </m:r>
          <m:r>
            <m:rPr>
              <m:sty m:val="p"/>
            </m:rPr>
            <m:t>,</m:t>
          </m:r>
          <m:r>
            <m:t>  </m:t>
          </m:r>
          <m:r>
            <m:t>  </m:t>
          </m:r>
          <m:r>
            <m:rPr>
              <m:sty m:val="p"/>
            </m:rPr>
            <m:t>(</m:t>
          </m:r>
          <m:r>
            <m:t>4</m:t>
          </m:r>
          <m:r>
            <m:rPr>
              <m:sty m:val="p"/>
            </m:rPr>
            <m:t>)</m:t>
          </m:r>
        </m:oMath>
      </m:oMathPara>
    </w:p>
    <w:p>
      <w:pPr>
        <w:pStyle w:val="FirstParagraph"/>
      </w:pPr>
      <w:r>
        <w:t xml:space="preserve">should be rejected because</w:t>
      </w:r>
    </w:p>
    <w:p>
      <w:pPr>
        <w:pStyle w:val="BodyText"/>
      </w:pPr>
      <m:oMathPara>
        <m:oMathParaPr>
          <m:jc m:val="center"/>
        </m:oMathParaPr>
        <m:oMath>
          <m:sSub>
            <m:e>
              <m:r>
                <m:t>S</m:t>
              </m:r>
            </m:e>
            <m:sub>
              <m:r>
                <m:t>R</m:t>
              </m:r>
            </m:sub>
          </m:sSub>
          <m:r>
            <m:rPr>
              <m:sty m:val="p"/>
            </m:rPr>
            <m:t>⊈</m:t>
          </m:r>
          <m:sSub>
            <m:e>
              <m:r>
                <m:t>S</m:t>
              </m:r>
            </m:e>
            <m:sub>
              <m:r>
                <m:t>C</m:t>
              </m:r>
            </m:sub>
          </m:sSub>
          <m:r>
            <m:rPr>
              <m:sty m:val="p"/>
            </m:rPr>
            <m:t>.</m:t>
          </m:r>
          <m:r>
            <m:t>  </m:t>
          </m:r>
          <m:r>
            <m:t>  </m:t>
          </m:r>
          <m:r>
            <m:rPr>
              <m:sty m:val="p"/>
            </m:rPr>
            <m:t>(</m:t>
          </m:r>
          <m:r>
            <m:t>5</m:t>
          </m:r>
          <m:r>
            <m:rPr>
              <m:sty m:val="p"/>
            </m:rPr>
            <m:t>)</m:t>
          </m:r>
        </m:oMath>
      </m:oMathPara>
    </w:p>
    <w:p>
      <w:pPr>
        <w:pStyle w:val="FirstParagraph"/>
      </w:pPr>
      <w:r>
        <w:t xml:space="preserve">This illustrates a central argument of the proposed research: identity trust and approval trust are insufficient without contextual policy trust. The access decision must also be evaluated against the purpose and data-scope constraints explicitly associated with the consent.</w:t>
      </w:r>
    </w:p>
    <w:p>
      <w:pPr>
        <w:pStyle w:val="BlueAddPara"/>
      </w:pPr>
      <w:r>
        <w:rPr>
          <w:rStyle w:val="BlueAdd"/>
        </w:rPr>
        <w:t xml:space="preserve">Purpose-based access control has also been combined with blockchain audit trails so that every access is recorded together with its declared purpose [46], and policy-based access control governed by smart contracts allows the subject, controller and requester roles of the GDPR to grant, revoke and inspect access rights [47]. In both cases the purpose is checked against a policy rather than against the purpose the patient consented to.</w:t>
      </w:r>
    </w:p>
    <w:p>
      <w:pPr>
        <w:pStyle w:val="BlueAddPara"/>
      </w:pPr>
      <w:r>
        <w:rPr>
          <w:rStyle w:val="BlueAdd"/>
        </w:rPr>
        <w:t xml:space="preserve">Table 2.8 summarises the access-control studies and their coverage of the key requirements.</w:t>
      </w:r>
    </w:p>
    <w:p>
      <w:pPr>
        <w:pStyle w:val="TableCaption"/>
      </w:pPr>
      <w:r>
        <w:rPr>
          <w:rStyle w:val="BlueAdd"/>
        </w:rPr>
        <w:t xml:space="preserve">Table 2.8: Descriptions, issues and limitations of the studies on policy-based and healthcare access control and their coverage of the key requirements</w:t>
      </w:r>
    </w:p>
    <w:tbl>
      <w:tblPr>
        <w:tblStyle w:val="Table"/>
        <w:tblW w:type="pct" w:w="5000"/>
        <w:tblLayout w:type="fixed"/>
        <w:tblLook w:firstRow="1" w:lastRow="0" w:firstColumn="0" w:lastColumn="0" w:noHBand="0" w:noVBand="0" w:val="0020"/>
        <w:tblCaption w:val="Table 2.8: Descriptions, issues and limitations of the studies on policy-based and healthcare access control and their coverage of the key requirements"/>
      </w:tblPr>
      <w:tblGrid>
        <w:gridCol w:w="728"/>
        <w:gridCol w:w="2457"/>
        <w:gridCol w:w="2457"/>
        <w:gridCol w:w="455"/>
        <w:gridCol w:w="455"/>
        <w:gridCol w:w="455"/>
        <w:gridCol w:w="455"/>
        <w:gridCol w:w="455"/>
      </w:tblGrid>
      <w:tr>
        <w:trPr>
          <w:cantSplit/>
          <w:tblHeader w:val="on"/>
        </w:trPr>
        <w:tc>
          <w:tcPr>
            <w:tcBorders>
              <w:bottom w:val="single" w:sz="8" w:space="0" w:color="000000"/>
            </w:tcBorders>
            <w:shd w:val="clear" w:color="auto" w:fill="E7E6E6"/>
            <w:vAlign w:val="center"/>
          </w:tcPr>
          <w:p>
            <w:pPr>
              <w:pStyle w:val="Compact"/>
              <w:jc w:val="left"/>
            </w:pPr>
            <w:r>
              <w:rPr>
                <w:rStyle w:val="BlueAdd"/>
                <w:b/>
                <w:bCs/>
              </w:rPr>
              <w:t xml:space="preserve">Study</w:t>
            </w:r>
          </w:p>
        </w:tc>
        <w:tc>
          <w:tcPr>
            <w:tcBorders>
              <w:bottom w:val="single" w:sz="8" w:space="0" w:color="000000"/>
            </w:tcBorders>
            <w:shd w:val="clear" w:color="auto" w:fill="E7E6E6"/>
            <w:vAlign w:val="center"/>
          </w:tcPr>
          <w:p>
            <w:pPr>
              <w:pStyle w:val="Compact"/>
              <w:jc w:val="left"/>
            </w:pPr>
            <w:r>
              <w:rPr>
                <w:rStyle w:val="BlueAdd"/>
                <w:b/>
                <w:bCs/>
              </w:rPr>
              <w:t xml:space="preserve">Description of the study</w:t>
            </w:r>
          </w:p>
        </w:tc>
        <w:tc>
          <w:tcPr>
            <w:tcBorders>
              <w:bottom w:val="single" w:sz="8" w:space="0" w:color="000000"/>
            </w:tcBorders>
            <w:shd w:val="clear" w:color="auto" w:fill="E7E6E6"/>
            <w:vAlign w:val="center"/>
          </w:tcPr>
          <w:p>
            <w:pPr>
              <w:pStyle w:val="Compact"/>
              <w:jc w:val="left"/>
            </w:pPr>
            <w:r>
              <w:rPr>
                <w:rStyle w:val="BlueAdd"/>
                <w:b/>
                <w:bCs/>
              </w:rPr>
              <w:t xml:space="preserve">Issues / limitations for trust-oriented consent authorisation</w:t>
            </w:r>
          </w:p>
        </w:tc>
        <w:tc>
          <w:tcPr>
            <w:tcBorders>
              <w:bottom w:val="single" w:sz="8" w:space="0" w:color="000000"/>
            </w:tcBorders>
            <w:shd w:val="clear" w:color="auto" w:fill="E7E6E6"/>
            <w:vAlign w:val="center"/>
          </w:tcPr>
          <w:p>
            <w:pPr>
              <w:pStyle w:val="Compact"/>
              <w:jc w:val="center"/>
            </w:pPr>
            <w:r>
              <w:rPr>
                <w:rStyle w:val="BlueAdd"/>
                <w:b/>
                <w:bCs/>
              </w:rPr>
              <w:t xml:space="preserve">Req 1</w:t>
            </w:r>
          </w:p>
        </w:tc>
        <w:tc>
          <w:tcPr>
            <w:tcBorders>
              <w:bottom w:val="single" w:sz="8" w:space="0" w:color="000000"/>
            </w:tcBorders>
            <w:shd w:val="clear" w:color="auto" w:fill="E7E6E6"/>
            <w:vAlign w:val="center"/>
          </w:tcPr>
          <w:p>
            <w:pPr>
              <w:pStyle w:val="Compact"/>
              <w:jc w:val="center"/>
            </w:pPr>
            <w:r>
              <w:rPr>
                <w:rStyle w:val="BlueAdd"/>
                <w:b/>
                <w:bCs/>
              </w:rPr>
              <w:t xml:space="preserve">Req 2</w:t>
            </w:r>
          </w:p>
        </w:tc>
        <w:tc>
          <w:tcPr>
            <w:tcBorders>
              <w:bottom w:val="single" w:sz="8" w:space="0" w:color="000000"/>
            </w:tcBorders>
            <w:shd w:val="clear" w:color="auto" w:fill="E7E6E6"/>
            <w:vAlign w:val="center"/>
          </w:tcPr>
          <w:p>
            <w:pPr>
              <w:pStyle w:val="Compact"/>
              <w:jc w:val="center"/>
            </w:pPr>
            <w:r>
              <w:rPr>
                <w:rStyle w:val="BlueAdd"/>
                <w:b/>
                <w:bCs/>
              </w:rPr>
              <w:t xml:space="preserve">Req 3</w:t>
            </w:r>
          </w:p>
        </w:tc>
        <w:tc>
          <w:tcPr>
            <w:tcBorders>
              <w:bottom w:val="single" w:sz="8" w:space="0" w:color="000000"/>
            </w:tcBorders>
            <w:shd w:val="clear" w:color="auto" w:fill="E7E6E6"/>
            <w:vAlign w:val="center"/>
          </w:tcPr>
          <w:p>
            <w:pPr>
              <w:pStyle w:val="Compact"/>
              <w:jc w:val="center"/>
            </w:pPr>
            <w:r>
              <w:rPr>
                <w:rStyle w:val="BlueAdd"/>
                <w:b/>
                <w:bCs/>
              </w:rPr>
              <w:t xml:space="preserve">Req 4</w:t>
            </w:r>
          </w:p>
        </w:tc>
        <w:tc>
          <w:tcPr>
            <w:tcBorders>
              <w:bottom w:val="single" w:sz="8" w:space="0" w:color="000000"/>
            </w:tcBorders>
            <w:shd w:val="clear" w:color="auto" w:fill="E7E6E6"/>
            <w:vAlign w:val="center"/>
          </w:tcPr>
          <w:p>
            <w:pPr>
              <w:pStyle w:val="Compact"/>
              <w:jc w:val="center"/>
            </w:pPr>
            <w:r>
              <w:rPr>
                <w:rStyle w:val="BlueAdd"/>
                <w:b/>
                <w:bCs/>
              </w:rPr>
              <w:t xml:space="preserve">Req 5</w:t>
            </w:r>
          </w:p>
        </w:tc>
      </w:tr>
      <w:tr>
        <w:trPr>
          <w:cantSplit/>
        </w:trPr>
        <w:tc>
          <w:tcPr/>
          <w:p>
            <w:pPr>
              <w:pStyle w:val="Compact"/>
              <w:jc w:val="left"/>
            </w:pPr>
            <w:r>
              <w:rPr>
                <w:rStyle w:val="BlueAdd"/>
              </w:rPr>
              <w:t xml:space="preserve">S27 [11]</w:t>
            </w:r>
          </w:p>
        </w:tc>
        <w:tc>
          <w:tcPr/>
          <w:p>
            <w:pPr>
              <w:pStyle w:val="Compact"/>
              <w:jc w:val="left"/>
            </w:pPr>
            <w:r>
              <w:rPr>
                <w:rStyle w:val="BlueAdd"/>
              </w:rPr>
              <w:t xml:space="preserve">RQ-UCON: a usage-control model for healthcare big data that quantifies physician risk from visit history and adjusts access rights in real time.</w:t>
            </w:r>
          </w:p>
        </w:tc>
        <w:tc>
          <w:tcPr/>
          <w:p>
            <w:pPr>
              <w:pStyle w:val="Compact"/>
              <w:jc w:val="left"/>
            </w:pPr>
            <w:r>
              <w:rPr>
                <w:rStyle w:val="BlueAdd"/>
              </w:rPr>
              <w:t xml:space="preserve">Access is conditioned on risk and usage, not on patient consent or multi-party approval.</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S28 [25]</w:t>
            </w:r>
          </w:p>
        </w:tc>
        <w:tc>
          <w:tcPr/>
          <w:p>
            <w:pPr>
              <w:pStyle w:val="Compact"/>
              <w:jc w:val="left"/>
            </w:pPr>
            <w:r>
              <w:rPr>
                <w:rStyle w:val="BlueAdd"/>
              </w:rPr>
              <w:t xml:space="preserve">Survey of access control in healthcare IoT (RBAC, ABAC, CapBAC, CAAC), emergency access, privacy compliance and DID/VC-based authorisation.</w:t>
            </w:r>
          </w:p>
        </w:tc>
        <w:tc>
          <w:tcPr/>
          <w:p>
            <w:pPr>
              <w:pStyle w:val="Compact"/>
              <w:jc w:val="left"/>
            </w:pPr>
            <w:r>
              <w:rPr>
                <w:rStyle w:val="BlueAdd"/>
              </w:rPr>
              <w:t xml:space="preserve">Surveys the models in isolation; the integration of consent, identity and collective approval is identified as a gap, not solved.</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S29 [28]</w:t>
            </w:r>
          </w:p>
        </w:tc>
        <w:tc>
          <w:tcPr/>
          <w:p>
            <w:pPr>
              <w:pStyle w:val="Compact"/>
              <w:jc w:val="left"/>
            </w:pPr>
            <w:r>
              <w:rPr>
                <w:rStyle w:val="BlueAdd"/>
              </w:rPr>
              <w:t xml:space="preserve">Survey of 45 blockchain-based access-control and privacy-preservation frameworks for EHRs, including smart-contract authentication and cryptographic techniques.</w:t>
            </w:r>
          </w:p>
        </w:tc>
        <w:tc>
          <w:tcPr/>
          <w:p>
            <w:pPr>
              <w:pStyle w:val="Compact"/>
              <w:jc w:val="left"/>
            </w:pPr>
            <w:r>
              <w:rPr>
                <w:rStyle w:val="BlueAdd"/>
              </w:rPr>
              <w:t xml:space="preserve">Smart contracts enforce rules, but the surveyed frameworks do not evaluate multi-party consent conditions.</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S30 [32]</w:t>
            </w:r>
          </w:p>
        </w:tc>
        <w:tc>
          <w:tcPr/>
          <w:p>
            <w:pPr>
              <w:pStyle w:val="Compact"/>
              <w:jc w:val="left"/>
            </w:pPr>
            <w:r>
              <w:rPr>
                <w:rStyle w:val="BlueAdd"/>
              </w:rPr>
              <w:t xml:space="preserve">Attribute-based searchable encryption with decentralised key management for healthcare data sharing.</w:t>
            </w:r>
          </w:p>
        </w:tc>
        <w:tc>
          <w:tcPr/>
          <w:p>
            <w:pPr>
              <w:pStyle w:val="Compact"/>
              <w:jc w:val="left"/>
            </w:pPr>
            <w:r>
              <w:rPr>
                <w:rStyle w:val="BlueAdd"/>
              </w:rPr>
              <w:t xml:space="preserve">Cryptographic enforcement of attribute policies; authority and consent approval are assumed rather than verified.</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S31 [46]</w:t>
            </w:r>
          </w:p>
        </w:tc>
        <w:tc>
          <w:tcPr/>
          <w:p>
            <w:pPr>
              <w:pStyle w:val="Compact"/>
              <w:jc w:val="left"/>
            </w:pPr>
            <w:r>
              <w:rPr>
                <w:rStyle w:val="BlueAdd"/>
              </w:rPr>
              <w:t xml:space="preserve">Blockchain-based EHR access auditing that records who accessed which record, when and for what purpose, combined with purpose-based access control enforced by smart contracts.</w:t>
            </w:r>
          </w:p>
        </w:tc>
        <w:tc>
          <w:tcPr/>
          <w:p>
            <w:pPr>
              <w:pStyle w:val="Compact"/>
              <w:jc w:val="left"/>
            </w:pPr>
            <w:r>
              <w:rPr>
                <w:rStyle w:val="BlueAdd"/>
              </w:rPr>
              <w:t xml:space="preserve">Purpose is checked against a policy, not against the purpose the patient consented to; no identity verification or collective approval.</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r>
        <w:trPr>
          <w:cantSplit/>
        </w:trPr>
        <w:tc>
          <w:tcPr/>
          <w:p>
            <w:pPr>
              <w:pStyle w:val="Compact"/>
              <w:jc w:val="left"/>
            </w:pPr>
            <w:r>
              <w:rPr>
                <w:rStyle w:val="BlueAdd"/>
              </w:rPr>
              <w:t xml:space="preserve">S32 [47]</w:t>
            </w:r>
          </w:p>
        </w:tc>
        <w:tc>
          <w:tcPr/>
          <w:p>
            <w:pPr>
              <w:pStyle w:val="Compact"/>
              <w:jc w:val="left"/>
            </w:pPr>
            <w:r>
              <w:rPr>
                <w:rStyle w:val="BlueAdd"/>
              </w:rPr>
              <w:t xml:space="preserve">Policy-based access control for EHRs governed by smart contracts, in which the subject, controller and requester roles of the GDPR can grant, revoke and inspect access rights.</w:t>
            </w:r>
          </w:p>
        </w:tc>
        <w:tc>
          <w:tcPr/>
          <w:p>
            <w:pPr>
              <w:pStyle w:val="Compact"/>
              <w:jc w:val="left"/>
            </w:pPr>
            <w:r>
              <w:rPr>
                <w:rStyle w:val="BlueAdd"/>
              </w:rPr>
              <w:t xml:space="preserve">Policies are role-based; consent is implicit in the subject’s grant and no threshold of approvals is required.</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bl>
    <w:bookmarkEnd w:id="33"/>
    <w:bookmarkStart w:id="34" w:name="X70697d1bf80033494359f9b6207e02cd31d6057"/>
    <w:p>
      <w:pPr>
        <w:pStyle w:val="Heading3"/>
      </w:pPr>
      <w:r>
        <w:rPr>
          <w:rStyle w:val="GreenDelete"/>
        </w:rPr>
        <w:t xml:space="preserve">2.3.6</w:t>
      </w:r>
      <w:r>
        <w:t xml:space="preserve"> </w:t>
      </w:r>
      <w:r>
        <w:rPr>
          <w:rStyle w:val="GreenFix"/>
        </w:rPr>
        <w:t xml:space="preserve">2.4.6</w:t>
      </w:r>
      <w:r>
        <w:t xml:space="preserve"> </w:t>
      </w:r>
      <w:r>
        <w:t xml:space="preserve">Trusted Computing, Secure Execution, and Security Assurance</w:t>
      </w:r>
    </w:p>
    <w:p>
      <w:pPr>
        <w:pStyle w:val="FirstParagraph"/>
      </w:pPr>
      <w:r>
        <w:t xml:space="preserve">Trusted Computing provides an additional perspective on the protection and verification of security-critical processes. Trusted Execution Environments (TEEs), for example, provide hardware-supported isolation that can protect sensitive computation from compromised or untrusted operating environments [23]. Remote attestation mechanisms can further provide evidence concerning the integrity of the execution environment in which a security-sensitive process is performed.</w:t>
      </w:r>
    </w:p>
    <w:p>
      <w:pPr>
        <w:pStyle w:val="BodyText"/>
      </w:pPr>
      <w:r>
        <w:t xml:space="preserve">Nevertheless, Trusted Computing does not by itself determine the correctness of an authorisation policy. A TEE can protect the execution of an authorisation decision, but the resulting decision remains dependent on the correctness of the identities, authority relationships, approval conditions, and policies supplied to that computation. Consequently, secure execution and trustworthy authorisation address complementary rather than identical problems.</w:t>
      </w:r>
    </w:p>
    <w:p>
      <w:pPr>
        <w:pStyle w:val="BodyText"/>
      </w:pPr>
      <w:r>
        <w:t xml:space="preserve">Integrating trusted execution and remote attestation with the proposed authorisation model is outside the current scope and is identified as future work (Section 10.2).</w:t>
      </w:r>
    </w:p>
    <w:p>
      <w:pPr>
        <w:pStyle w:val="BodyText"/>
      </w:pPr>
      <w:r>
        <w:t xml:space="preserve">Beyond execution security, formal security reasoning is also necessary to distinguish prototype functionality from security assurance. A system may successfully execute valid authorisation scenarios without demonstrating that invalid identities, insufficient approvals, or policy violations cannot produce an unintended access decision. Formal analysis therefore provides a complementary layer through which the expected security properties of the authorisation model can be explicitly defined and examined.</w:t>
      </w:r>
    </w:p>
    <w:p>
      <w:pPr>
        <w:pStyle w:val="BlueAddPara"/>
      </w:pPr>
      <w:r>
        <w:rPr>
          <w:rStyle w:val="BlueAdd"/>
        </w:rPr>
        <w:t xml:space="preserve">Table 2.9 summarises the Trusted Computing study and its coverage of the key requirements.</w:t>
      </w:r>
    </w:p>
    <w:p>
      <w:pPr>
        <w:pStyle w:val="TableCaption"/>
      </w:pPr>
      <w:r>
        <w:rPr>
          <w:rStyle w:val="BlueAdd"/>
        </w:rPr>
        <w:t xml:space="preserve">Table 2.9: Descriptions, issues and limitations of the studies on trusted computing and secure execution and their coverage of the key requirements</w:t>
      </w:r>
    </w:p>
    <w:tbl>
      <w:tblPr>
        <w:tblStyle w:val="Table"/>
        <w:tblW w:type="pct" w:w="5000"/>
        <w:tblLayout w:type="fixed"/>
        <w:tblLook w:firstRow="1" w:lastRow="0" w:firstColumn="0" w:lastColumn="0" w:noHBand="0" w:noVBand="0" w:val="0020"/>
        <w:tblCaption w:val="Table 2.9: Descriptions, issues and limitations of the studies on trusted computing and secure execution and their coverage of the key requirements"/>
      </w:tblPr>
      <w:tblGrid>
        <w:gridCol w:w="728"/>
        <w:gridCol w:w="2457"/>
        <w:gridCol w:w="2457"/>
        <w:gridCol w:w="455"/>
        <w:gridCol w:w="455"/>
        <w:gridCol w:w="455"/>
        <w:gridCol w:w="455"/>
        <w:gridCol w:w="455"/>
      </w:tblGrid>
      <w:tr>
        <w:trPr>
          <w:cantSplit/>
          <w:tblHeader w:val="on"/>
        </w:trPr>
        <w:tc>
          <w:tcPr>
            <w:tcBorders>
              <w:bottom w:val="single" w:sz="8" w:space="0" w:color="000000"/>
            </w:tcBorders>
            <w:shd w:val="clear" w:color="auto" w:fill="E7E6E6"/>
            <w:vAlign w:val="center"/>
          </w:tcPr>
          <w:p>
            <w:pPr>
              <w:pStyle w:val="Compact"/>
              <w:jc w:val="left"/>
            </w:pPr>
            <w:r>
              <w:rPr>
                <w:rStyle w:val="BlueAdd"/>
                <w:b/>
                <w:bCs/>
              </w:rPr>
              <w:t xml:space="preserve">Study</w:t>
            </w:r>
          </w:p>
        </w:tc>
        <w:tc>
          <w:tcPr>
            <w:tcBorders>
              <w:bottom w:val="single" w:sz="8" w:space="0" w:color="000000"/>
            </w:tcBorders>
            <w:shd w:val="clear" w:color="auto" w:fill="E7E6E6"/>
            <w:vAlign w:val="center"/>
          </w:tcPr>
          <w:p>
            <w:pPr>
              <w:pStyle w:val="Compact"/>
              <w:jc w:val="left"/>
            </w:pPr>
            <w:r>
              <w:rPr>
                <w:rStyle w:val="BlueAdd"/>
                <w:b/>
                <w:bCs/>
              </w:rPr>
              <w:t xml:space="preserve">Description of the study</w:t>
            </w:r>
          </w:p>
        </w:tc>
        <w:tc>
          <w:tcPr>
            <w:tcBorders>
              <w:bottom w:val="single" w:sz="8" w:space="0" w:color="000000"/>
            </w:tcBorders>
            <w:shd w:val="clear" w:color="auto" w:fill="E7E6E6"/>
            <w:vAlign w:val="center"/>
          </w:tcPr>
          <w:p>
            <w:pPr>
              <w:pStyle w:val="Compact"/>
              <w:jc w:val="left"/>
            </w:pPr>
            <w:r>
              <w:rPr>
                <w:rStyle w:val="BlueAdd"/>
                <w:b/>
                <w:bCs/>
              </w:rPr>
              <w:t xml:space="preserve">Issues / limitations for trust-oriented consent authorisation</w:t>
            </w:r>
          </w:p>
        </w:tc>
        <w:tc>
          <w:tcPr>
            <w:tcBorders>
              <w:bottom w:val="single" w:sz="8" w:space="0" w:color="000000"/>
            </w:tcBorders>
            <w:shd w:val="clear" w:color="auto" w:fill="E7E6E6"/>
            <w:vAlign w:val="center"/>
          </w:tcPr>
          <w:p>
            <w:pPr>
              <w:pStyle w:val="Compact"/>
              <w:jc w:val="center"/>
            </w:pPr>
            <w:r>
              <w:rPr>
                <w:rStyle w:val="BlueAdd"/>
                <w:b/>
                <w:bCs/>
              </w:rPr>
              <w:t xml:space="preserve">Req 1</w:t>
            </w:r>
          </w:p>
        </w:tc>
        <w:tc>
          <w:tcPr>
            <w:tcBorders>
              <w:bottom w:val="single" w:sz="8" w:space="0" w:color="000000"/>
            </w:tcBorders>
            <w:shd w:val="clear" w:color="auto" w:fill="E7E6E6"/>
            <w:vAlign w:val="center"/>
          </w:tcPr>
          <w:p>
            <w:pPr>
              <w:pStyle w:val="Compact"/>
              <w:jc w:val="center"/>
            </w:pPr>
            <w:r>
              <w:rPr>
                <w:rStyle w:val="BlueAdd"/>
                <w:b/>
                <w:bCs/>
              </w:rPr>
              <w:t xml:space="preserve">Req 2</w:t>
            </w:r>
          </w:p>
        </w:tc>
        <w:tc>
          <w:tcPr>
            <w:tcBorders>
              <w:bottom w:val="single" w:sz="8" w:space="0" w:color="000000"/>
            </w:tcBorders>
            <w:shd w:val="clear" w:color="auto" w:fill="E7E6E6"/>
            <w:vAlign w:val="center"/>
          </w:tcPr>
          <w:p>
            <w:pPr>
              <w:pStyle w:val="Compact"/>
              <w:jc w:val="center"/>
            </w:pPr>
            <w:r>
              <w:rPr>
                <w:rStyle w:val="BlueAdd"/>
                <w:b/>
                <w:bCs/>
              </w:rPr>
              <w:t xml:space="preserve">Req 3</w:t>
            </w:r>
          </w:p>
        </w:tc>
        <w:tc>
          <w:tcPr>
            <w:tcBorders>
              <w:bottom w:val="single" w:sz="8" w:space="0" w:color="000000"/>
            </w:tcBorders>
            <w:shd w:val="clear" w:color="auto" w:fill="E7E6E6"/>
            <w:vAlign w:val="center"/>
          </w:tcPr>
          <w:p>
            <w:pPr>
              <w:pStyle w:val="Compact"/>
              <w:jc w:val="center"/>
            </w:pPr>
            <w:r>
              <w:rPr>
                <w:rStyle w:val="BlueAdd"/>
                <w:b/>
                <w:bCs/>
              </w:rPr>
              <w:t xml:space="preserve">Req 4</w:t>
            </w:r>
          </w:p>
        </w:tc>
        <w:tc>
          <w:tcPr>
            <w:tcBorders>
              <w:bottom w:val="single" w:sz="8" w:space="0" w:color="000000"/>
            </w:tcBorders>
            <w:shd w:val="clear" w:color="auto" w:fill="E7E6E6"/>
            <w:vAlign w:val="center"/>
          </w:tcPr>
          <w:p>
            <w:pPr>
              <w:pStyle w:val="Compact"/>
              <w:jc w:val="center"/>
            </w:pPr>
            <w:r>
              <w:rPr>
                <w:rStyle w:val="BlueAdd"/>
                <w:b/>
                <w:bCs/>
              </w:rPr>
              <w:t xml:space="preserve">Req 5</w:t>
            </w:r>
          </w:p>
        </w:tc>
      </w:tr>
      <w:tr>
        <w:trPr>
          <w:cantSplit/>
        </w:trPr>
        <w:tc>
          <w:tcPr/>
          <w:p>
            <w:pPr>
              <w:pStyle w:val="Compact"/>
              <w:jc w:val="left"/>
            </w:pPr>
            <w:r>
              <w:rPr>
                <w:rStyle w:val="BlueAdd"/>
              </w:rPr>
              <w:t xml:space="preserve">S33 [23]</w:t>
            </w:r>
          </w:p>
        </w:tc>
        <w:tc>
          <w:tcPr/>
          <w:p>
            <w:pPr>
              <w:pStyle w:val="Compact"/>
              <w:jc w:val="left"/>
            </w:pPr>
            <w:r>
              <w:rPr>
                <w:rStyle w:val="BlueAdd"/>
              </w:rPr>
              <w:t xml:space="preserve">Systematic explanation of remote-attestation mechanisms for trusted execution environments.</w:t>
            </w:r>
          </w:p>
        </w:tc>
        <w:tc>
          <w:tcPr/>
          <w:p>
            <w:pPr>
              <w:pStyle w:val="Compact"/>
              <w:jc w:val="left"/>
            </w:pPr>
            <w:r>
              <w:rPr>
                <w:rStyle w:val="BlueAdd"/>
              </w:rPr>
              <w:t xml:space="preserve">Protects the execution; it says nothing about whether the authorisation policy being executed is correct.</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c>
          <w:tcPr/>
          <w:p>
            <w:pPr>
              <w:pStyle w:val="Compact"/>
              <w:jc w:val="center"/>
            </w:pPr>
            <w:r>
              <w:rPr>
                <w:rStyle w:val="BlueAdd"/>
              </w:rPr>
              <w:t xml:space="preserve">×</w:t>
            </w:r>
          </w:p>
        </w:tc>
      </w:tr>
    </w:tbl>
    <w:bookmarkEnd w:id="34"/>
    <w:bookmarkStart w:id="35" w:name="X825064b2f9c6a59f6907e485e5a8e31c4a70bee"/>
    <w:p>
      <w:pPr>
        <w:pStyle w:val="Heading3"/>
      </w:pPr>
      <w:r>
        <w:rPr>
          <w:rStyle w:val="GreenDelete"/>
        </w:rPr>
        <w:t xml:space="preserve">2.3.7</w:t>
      </w:r>
      <w:r>
        <w:t xml:space="preserve"> </w:t>
      </w:r>
      <w:r>
        <w:rPr>
          <w:rStyle w:val="GreenFix"/>
        </w:rPr>
        <w:t xml:space="preserve">2.4.7</w:t>
      </w:r>
      <w:r>
        <w:t xml:space="preserve"> </w:t>
      </w:r>
      <w:r>
        <w:t xml:space="preserve">Comparative Analysis of Existing Approaches</w:t>
      </w:r>
    </w:p>
    <w:p>
      <w:pPr>
        <w:pStyle w:val="FirstParagraph"/>
      </w:pPr>
      <w:r>
        <w:t xml:space="preserve">The reviewed literature demonstrates that existing approaches provide strong solutions for individual dimensions of trustworthy data sharing. Blockchain-based systems provide tamper-resistant recording and auditability; DID and VC mechanisms provide decentralised identity and verifiable attributes; policy-based and cryptographic access-control mechanisms provide fine-grained data protection; collaborative governance mechanisms support distributed participation; and Trusted Computing provides secure execution and attestation capabilities.</w:t>
      </w:r>
    </w:p>
    <w:p>
      <w:pPr>
        <w:pStyle w:val="BodyText"/>
      </w:pPr>
      <w:r>
        <w:t xml:space="preserve">However, these contributions address different layers of the security problem. No individual mechanism can independently establish that a healthcare data-access decision is trustworthy. A blockchain record does not establish participant authority, a valid DID does not establish access permission, multi-party participation does not guarantee policy compliance, and secure execution does not guarantee that the underlying authorisation policy is correct.</w:t>
      </w:r>
    </w:p>
    <w:p>
      <w:pPr>
        <w:pStyle w:val="BodyText"/>
      </w:pPr>
      <w:r>
        <w:rPr>
          <w:rStyle w:val="GreenDelete"/>
        </w:rPr>
        <w:t xml:space="preserve">Table 2 summarises the principal focus</w:t>
      </w:r>
      <w:r>
        <w:rPr>
          <w:rStyle w:val="GreenFix"/>
        </w:rPr>
        <w:t xml:space="preserve">Table 2.10 summarises the principal focus</w:t>
      </w:r>
      <w:r>
        <w:t xml:space="preserve"> </w:t>
      </w:r>
      <w:r>
        <w:t xml:space="preserve">and limitations of the major research streams and positions the proposed framework relative to the existing literature.</w:t>
      </w:r>
    </w:p>
    <w:p>
      <w:pPr>
        <w:pStyle w:val="TableCaption"/>
      </w:pPr>
      <w:r>
        <w:rPr>
          <w:rStyle w:val="GreenDelete"/>
        </w:rPr>
        <w:t xml:space="preserve">Table 2: Comparison of Existing Research Approaches and the Proposed Framework</w:t>
      </w:r>
      <w:r>
        <w:rPr>
          <w:rStyle w:val="GreenFix"/>
        </w:rPr>
        <w:t xml:space="preserve">Table 2.10: Comparison of the existing research streams and the proposed framework</w:t>
      </w:r>
    </w:p>
    <w:tbl>
      <w:tblPr>
        <w:tblStyle w:val="Table"/>
        <w:tblW w:type="pct" w:w="4965"/>
        <w:tblLayout w:type="fixed"/>
        <w:tblLook w:firstRow="1" w:lastRow="0" w:firstColumn="0" w:lastColumn="0" w:noHBand="0" w:noVBand="0" w:val="0020"/>
        <w:tblCaption w:val="Table 2: Comparison of Existing Research Approaches and the Proposed FrameworkTable 2.10: Comparison of the existing research streams and the proposed framework"/>
      </w:tblPr>
      <w:tblGrid>
        <w:gridCol w:w="1445"/>
        <w:gridCol w:w="2806"/>
        <w:gridCol w:w="2695"/>
        <w:gridCol w:w="917"/>
      </w:tblGrid>
      <w:tr>
        <w:trPr>
          <w:cantSplit/>
          <w:tblHeader w:val="on"/>
        </w:trPr>
        <w:tc>
          <w:tcPr>
            <w:tcBorders>
              <w:bottom w:val="single" w:sz="8" w:space="0" w:color="000000"/>
            </w:tcBorders>
            <w:shd w:val="clear" w:color="auto" w:fill="E7E6E6"/>
            <w:vAlign w:val="center"/>
          </w:tcPr>
          <w:p>
            <w:pPr>
              <w:pStyle w:val="Compact"/>
              <w:jc w:val="left"/>
            </w:pPr>
            <w:r>
              <w:rPr>
                <w:b/>
                <w:bCs/>
              </w:rPr>
              <w:t xml:space="preserve">Research Stream</w:t>
            </w:r>
          </w:p>
        </w:tc>
        <w:tc>
          <w:tcPr>
            <w:tcBorders>
              <w:bottom w:val="single" w:sz="8" w:space="0" w:color="000000"/>
            </w:tcBorders>
            <w:shd w:val="clear" w:color="auto" w:fill="E7E6E6"/>
            <w:vAlign w:val="center"/>
          </w:tcPr>
          <w:p>
            <w:pPr>
              <w:pStyle w:val="Compact"/>
              <w:jc w:val="left"/>
            </w:pPr>
            <w:r>
              <w:rPr>
                <w:b/>
                <w:bCs/>
              </w:rPr>
              <w:t xml:space="preserve">Primary Contribution</w:t>
            </w:r>
          </w:p>
        </w:tc>
        <w:tc>
          <w:tcPr>
            <w:tcBorders>
              <w:bottom w:val="single" w:sz="8" w:space="0" w:color="000000"/>
            </w:tcBorders>
            <w:shd w:val="clear" w:color="auto" w:fill="E7E6E6"/>
            <w:vAlign w:val="center"/>
          </w:tcPr>
          <w:p>
            <w:pPr>
              <w:pStyle w:val="Compact"/>
              <w:jc w:val="left"/>
            </w:pPr>
            <w:r>
              <w:rPr>
                <w:b/>
                <w:bCs/>
              </w:rPr>
              <w:t xml:space="preserve">Main Limitation for Authorisation</w:t>
            </w:r>
          </w:p>
        </w:tc>
        <w:tc>
          <w:tcPr>
            <w:tcBorders>
              <w:bottom w:val="single" w:sz="8" w:space="0" w:color="000000"/>
            </w:tcBorders>
            <w:shd w:val="clear" w:color="auto" w:fill="E7E6E6"/>
            <w:vAlign w:val="center"/>
          </w:tcPr>
          <w:p>
            <w:pPr>
              <w:pStyle w:val="Compact"/>
              <w:jc w:val="left"/>
            </w:pPr>
            <w:r>
              <w:rPr>
                <w:b/>
                <w:bCs/>
              </w:rPr>
              <w:t xml:space="preserve">Representative References</w:t>
            </w:r>
          </w:p>
        </w:tc>
      </w:tr>
      <w:tr>
        <w:trPr>
          <w:cantSplit/>
        </w:trPr>
        <w:tc>
          <w:tcPr/>
          <w:p>
            <w:pPr>
              <w:pStyle w:val="Compact"/>
              <w:jc w:val="left"/>
            </w:pPr>
            <w:r>
              <w:t xml:space="preserve">Healthcare consent and privacy governance</w:t>
            </w:r>
          </w:p>
        </w:tc>
        <w:tc>
          <w:tcPr/>
          <w:p>
            <w:pPr>
              <w:pStyle w:val="Compact"/>
              <w:jc w:val="left"/>
            </w:pPr>
            <w:r>
              <w:t xml:space="preserve">Patient autonomy, informed consent, and controlled data sharing</w:t>
            </w:r>
          </w:p>
        </w:tc>
        <w:tc>
          <w:tcPr/>
          <w:p>
            <w:pPr>
              <w:pStyle w:val="Compact"/>
              <w:jc w:val="left"/>
            </w:pPr>
            <w:r>
              <w:t xml:space="preserve">Consent is treated as permission rather than an evaluable authorisation object</w:t>
            </w:r>
          </w:p>
        </w:tc>
        <w:tc>
          <w:tcPr/>
          <w:p>
            <w:pPr>
              <w:pStyle w:val="Compact"/>
              <w:jc w:val="left"/>
            </w:pPr>
            <w:r>
              <w:rPr>
                <w:rStyle w:val="GreenDelete"/>
              </w:rPr>
              <w:t xml:space="preserve">[10, 12, 13, 14, 22, 24, 31]</w:t>
            </w:r>
            <w:r>
              <w:rPr>
                <w:rStyle w:val="GreenFix"/>
              </w:rPr>
              <w:t xml:space="preserve">[10, 12, 13, 14, 22, 24, 31, 43, 45]</w:t>
            </w:r>
          </w:p>
        </w:tc>
      </w:tr>
      <w:tr>
        <w:trPr>
          <w:cantSplit/>
        </w:trPr>
        <w:tc>
          <w:tcPr/>
          <w:p>
            <w:pPr>
              <w:pStyle w:val="Compact"/>
              <w:jc w:val="left"/>
            </w:pPr>
            <w:r>
              <w:t xml:space="preserve">Blockchain-based data governance</w:t>
            </w:r>
          </w:p>
        </w:tc>
        <w:tc>
          <w:tcPr/>
          <w:p>
            <w:pPr>
              <w:pStyle w:val="Compact"/>
              <w:jc w:val="left"/>
            </w:pPr>
            <w:r>
              <w:t xml:space="preserve">Tamper-resistant records, distributed auditability, and transparency</w:t>
            </w:r>
          </w:p>
        </w:tc>
        <w:tc>
          <w:tcPr/>
          <w:p>
            <w:pPr>
              <w:pStyle w:val="Compact"/>
              <w:jc w:val="left"/>
            </w:pPr>
            <w:r>
              <w:t xml:space="preserve">Immutable records do not establish participant legitimacy, authority, or policy compliance</w:t>
            </w:r>
          </w:p>
        </w:tc>
        <w:tc>
          <w:tcPr/>
          <w:p>
            <w:pPr>
              <w:pStyle w:val="Compact"/>
              <w:jc w:val="left"/>
            </w:pPr>
            <w:r>
              <w:rPr>
                <w:rStyle w:val="GreenDelete"/>
              </w:rPr>
              <w:t xml:space="preserve">[1, 2, 3, 7, 8, 26, 29, 30]</w:t>
            </w:r>
            <w:r>
              <w:rPr>
                <w:rStyle w:val="GreenFix"/>
              </w:rPr>
              <w:t xml:space="preserve">[1, 2, 3, 7, 26, 29]</w:t>
            </w:r>
          </w:p>
        </w:tc>
      </w:tr>
      <w:tr>
        <w:trPr>
          <w:cantSplit/>
        </w:trPr>
        <w:tc>
          <w:tcPr/>
          <w:p>
            <w:pPr>
              <w:pStyle w:val="Compact"/>
              <w:jc w:val="left"/>
            </w:pPr>
            <w:r>
              <w:t xml:space="preserve">Decentralised identity and verifiable credentials</w:t>
            </w:r>
          </w:p>
        </w:tc>
        <w:tc>
          <w:tcPr/>
          <w:p>
            <w:pPr>
              <w:pStyle w:val="Compact"/>
              <w:jc w:val="left"/>
            </w:pPr>
            <w:r>
              <w:t xml:space="preserve">Self-controlled identity, verifiable attributes, and authentication</w:t>
            </w:r>
          </w:p>
        </w:tc>
        <w:tc>
          <w:tcPr/>
          <w:p>
            <w:pPr>
              <w:pStyle w:val="Compact"/>
              <w:jc w:val="left"/>
            </w:pPr>
            <w:r>
              <w:t xml:space="preserve">Identity and credential validity do not independently determine if access is authorised</w:t>
            </w:r>
          </w:p>
        </w:tc>
        <w:tc>
          <w:tcPr/>
          <w:p>
            <w:pPr>
              <w:pStyle w:val="Compact"/>
              <w:jc w:val="left"/>
            </w:pPr>
            <w:r>
              <w:t xml:space="preserve">[4, 5, 16, 20, 27, 33]</w:t>
            </w:r>
          </w:p>
        </w:tc>
      </w:tr>
      <w:tr>
        <w:trPr>
          <w:cantSplit/>
        </w:trPr>
        <w:tc>
          <w:tcPr/>
          <w:p>
            <w:pPr>
              <w:pStyle w:val="Compact"/>
              <w:jc w:val="left"/>
            </w:pPr>
            <w:r>
              <w:t xml:space="preserve">Multi-party and decentralised governance</w:t>
            </w:r>
          </w:p>
        </w:tc>
        <w:tc>
          <w:tcPr/>
          <w:p>
            <w:pPr>
              <w:pStyle w:val="Compact"/>
              <w:jc w:val="left"/>
            </w:pPr>
            <w:r>
              <w:t xml:space="preserve">Collaborative participation and distributed verification or governance</w:t>
            </w:r>
          </w:p>
        </w:tc>
        <w:tc>
          <w:tcPr/>
          <w:p>
            <w:pPr>
              <w:pStyle w:val="Compact"/>
              <w:jc w:val="left"/>
            </w:pPr>
            <w:r>
              <w:t xml:space="preserve">Limited integration between collective approval thresholds, consent, and access decisions</w:t>
            </w:r>
          </w:p>
        </w:tc>
        <w:tc>
          <w:tcPr/>
          <w:p>
            <w:pPr>
              <w:pStyle w:val="Compact"/>
              <w:jc w:val="left"/>
            </w:pPr>
            <w:r>
              <w:rPr>
                <w:rStyle w:val="GreenDelete"/>
              </w:rPr>
              <w:t xml:space="preserve">[4, 9, 19, 21]</w:t>
            </w:r>
            <w:r>
              <w:rPr>
                <w:rStyle w:val="GreenFix"/>
              </w:rPr>
              <w:t xml:space="preserve">[4, 6, 9, 19, 31, 44]</w:t>
            </w:r>
          </w:p>
        </w:tc>
      </w:tr>
      <w:tr>
        <w:trPr>
          <w:cantSplit/>
        </w:trPr>
        <w:tc>
          <w:tcPr/>
          <w:p>
            <w:pPr>
              <w:pStyle w:val="Compact"/>
              <w:jc w:val="left"/>
            </w:pPr>
            <w:r>
              <w:t xml:space="preserve">Policy-based and healthcare access control</w:t>
            </w:r>
          </w:p>
        </w:tc>
        <w:tc>
          <w:tcPr/>
          <w:p>
            <w:pPr>
              <w:pStyle w:val="Compact"/>
              <w:jc w:val="left"/>
            </w:pPr>
            <w:r>
              <w:t xml:space="preserve">Fine-grained restriction based on attributes, risk, context, and constraints</w:t>
            </w:r>
          </w:p>
        </w:tc>
        <w:tc>
          <w:tcPr/>
          <w:p>
            <w:pPr>
              <w:pStyle w:val="Compact"/>
              <w:jc w:val="left"/>
            </w:pPr>
            <w:r>
              <w:t xml:space="preserve">Policy enforcement is separated from decentralised identity and multi-party consent</w:t>
            </w:r>
          </w:p>
        </w:tc>
        <w:tc>
          <w:tcPr/>
          <w:p>
            <w:pPr>
              <w:pStyle w:val="Compact"/>
              <w:jc w:val="left"/>
            </w:pPr>
            <w:r>
              <w:rPr>
                <w:rStyle w:val="GreenDelete"/>
              </w:rPr>
              <w:t xml:space="preserve">[11, 25, 28, 32]</w:t>
            </w:r>
            <w:r>
              <w:rPr>
                <w:rStyle w:val="GreenFix"/>
              </w:rPr>
              <w:t xml:space="preserve">[11, 25, 28, 32, 46, 47]</w:t>
            </w:r>
          </w:p>
        </w:tc>
      </w:tr>
      <w:tr>
        <w:trPr>
          <w:cantSplit/>
        </w:trPr>
        <w:tc>
          <w:tcPr/>
          <w:p>
            <w:pPr>
              <w:pStyle w:val="Compact"/>
              <w:jc w:val="left"/>
            </w:pPr>
            <w:r>
              <w:t xml:space="preserve">Trusted Computing and secure execution</w:t>
            </w:r>
          </w:p>
        </w:tc>
        <w:tc>
          <w:tcPr/>
          <w:p>
            <w:pPr>
              <w:pStyle w:val="Compact"/>
              <w:jc w:val="left"/>
            </w:pPr>
            <w:r>
              <w:t xml:space="preserve">Hardware-supported isolation, execution integrity, and attestation</w:t>
            </w:r>
          </w:p>
        </w:tc>
        <w:tc>
          <w:tcPr/>
          <w:p>
            <w:pPr>
              <w:pStyle w:val="Compact"/>
              <w:jc w:val="left"/>
            </w:pPr>
            <w:r>
              <w:t xml:space="preserve">Secure execution does not determine whether underlying authorisation conditions are sufficient</w:t>
            </w:r>
          </w:p>
        </w:tc>
        <w:tc>
          <w:tcPr/>
          <w:p>
            <w:pPr>
              <w:pStyle w:val="Compact"/>
              <w:jc w:val="left"/>
            </w:pPr>
            <w:r>
              <w:rPr>
                <w:rStyle w:val="GreenDelete"/>
              </w:rPr>
              <w:t xml:space="preserve">[17, 18, 23]</w:t>
            </w:r>
            <w:r>
              <w:rPr>
                <w:rStyle w:val="GreenFix"/>
              </w:rPr>
              <w:t xml:space="preserve">[23]</w:t>
            </w:r>
          </w:p>
        </w:tc>
      </w:tr>
      <w:tr>
        <w:trPr>
          <w:cantSplit/>
        </w:trPr>
        <w:tc>
          <w:tcPr/>
          <w:p>
            <w:pPr>
              <w:pStyle w:val="Compact"/>
              <w:jc w:val="left"/>
            </w:pPr>
            <w:r>
              <w:rPr>
                <w:b/>
                <w:bCs/>
              </w:rPr>
              <w:t xml:space="preserve">Proposed Framework</w:t>
            </w:r>
          </w:p>
        </w:tc>
        <w:tc>
          <w:tcPr/>
          <w:p>
            <w:pPr>
              <w:pStyle w:val="Compact"/>
              <w:jc w:val="left"/>
            </w:pPr>
            <w:r>
              <w:t xml:space="preserve">Integrated evaluation of consent, identity, authority, multi-party approval, and policy compliance</w:t>
            </w:r>
          </w:p>
        </w:tc>
        <w:tc>
          <w:tcPr/>
          <w:p>
            <w:pPr>
              <w:pStyle w:val="Compact"/>
              <w:jc w:val="left"/>
            </w:pPr>
            <w:r>
              <w:t xml:space="preserve">Requires further extension towards lifecycle trust, formal assurance, and empirical validation</w:t>
            </w:r>
          </w:p>
        </w:tc>
        <w:tc>
          <w:tcPr/>
          <w:p>
            <w:pPr>
              <w:pStyle w:val="Compact"/>
              <w:jc w:val="left"/>
            </w:pPr>
            <w:r>
              <w:t xml:space="preserve">This research</w:t>
            </w:r>
          </w:p>
        </w:tc>
      </w:tr>
    </w:tbl>
    <w:p>
      <w:pPr>
        <w:pStyle w:val="BodyText"/>
      </w:pPr>
      <w:r>
        <w:t xml:space="preserve">The comparison indicates that the principal contribution of the proposed research is not the replacement of existing technologies. Rather, it lies in establishing an explicit conceptual relationship among them. Blockchain, DID, VCs, policy mechanisms, and potentially trusted execution are treated as complementary components that address different trust conditions within a common authorisation process.</w:t>
      </w:r>
    </w:p>
    <w:bookmarkEnd w:id="35"/>
    <w:bookmarkEnd w:id="36"/>
    <w:bookmarkStart w:id="37" w:name="X8f0d5a13a2d56d21e1bec7d2ebd521767d7b0f3"/>
    <w:p>
      <w:pPr>
        <w:pStyle w:val="Heading2"/>
      </w:pPr>
      <w:r>
        <w:rPr>
          <w:rStyle w:val="GreenDelete"/>
        </w:rPr>
        <w:t xml:space="preserve">2.4</w:t>
      </w:r>
      <w:r>
        <w:t xml:space="preserve"> </w:t>
      </w:r>
      <w:r>
        <w:rPr>
          <w:rStyle w:val="GreenFix"/>
        </w:rPr>
        <w:t xml:space="preserve">2.5</w:t>
      </w:r>
      <w:r>
        <w:t xml:space="preserve"> </w:t>
      </w:r>
      <w:r>
        <w:rPr>
          <w:rStyle w:val="GreenDelete"/>
        </w:rPr>
        <w:t xml:space="preserve">Synthesis and Research Gap</w:t>
      </w:r>
      <w:r>
        <w:t xml:space="preserve"> </w:t>
      </w:r>
      <w:r>
        <w:rPr>
          <w:rStyle w:val="GreenFix"/>
        </w:rPr>
        <w:t xml:space="preserve">Research Gaps in the Existing Studies from the Requirement Perspective</w:t>
      </w:r>
    </w:p>
    <w:p>
      <w:pPr>
        <w:pStyle w:val="FirstParagraph"/>
      </w:pPr>
      <w:r>
        <w:t xml:space="preserve">The literature review identifies a consistent pattern of fragmentation across existing research. Blockchain-based approaches primarily address the integrity and traceability of recorded events. Decentralised identity and verifiable credential systems address the identification and attribute verification of participating entities. Multi-party governance mechanisms address distributed participation and collective decision-making. Policy-based access-control approaches determine whether requested operations comply with predefined constraints. Trusted Computing technologies protect the execution of security-sensitive computation.</w:t>
      </w:r>
    </w:p>
    <w:p>
      <w:pPr>
        <w:pStyle w:val="BodyText"/>
      </w:pPr>
      <w:r>
        <w:t xml:space="preserve">These mechanisms provide important but incomplete answers when considered independently. The existence of a valid blockchain record does not guarantee that the authorisation decision was generated by legitimate and appropriately authorised participants. A verified identity does not imply permission to access a specific patient’s information. A valid credential does not necessarily satisfy a multi-party approval requirement. Similarly, sufficient approvals do not guarantee that a subsequent request remains within the authorised purpose or healthcare data scope.</w:t>
      </w:r>
    </w:p>
    <w:p>
      <w:pPr>
        <w:pStyle w:val="BlueAddPara"/>
      </w:pPr>
      <w:r>
        <w:rPr>
          <w:rStyle w:val="BlueAdd"/>
        </w:rPr>
        <w:t xml:space="preserve">From the perspective of the five key requirements defined in Section 2.2, the shortlisted studies (Tables 2.4–2.9) show the following gaps:</w:t>
      </w:r>
    </w:p>
    <w:p>
      <w:pPr>
        <w:pStyle w:val="BlueAddPara"/>
        <w:numPr>
          <w:ilvl w:val="0"/>
          <w:numId w:val="1004"/>
        </w:numPr>
      </w:pPr>
      <w:r>
        <w:rPr>
          <w:rStyle w:val="BlueAdd"/>
          <w:b/>
          <w:bCs/>
        </w:rPr>
        <w:t xml:space="preserve">Consent as an evaluable authorisation object (Req 1).</w:t>
      </w:r>
      <w:r>
        <w:rPr>
          <w:rStyle w:val="BlueAdd"/>
        </w:rPr>
        <w:t xml:space="preserve"> </w:t>
      </w:r>
      <w:r>
        <w:rPr>
          <w:rStyle w:val="BlueAdd"/>
        </w:rPr>
        <w:t xml:space="preserve">Only S2, S4, S6, S7, S9, S10, S15 treat consent as more than a stored permission, and even these stop at recording, encrypting, executing or legally defining consent. None of the studies represents consent as an object that carries the identity, authority, approval, purpose and scope conditions required to evaluate a later request.</w:t>
      </w:r>
    </w:p>
    <w:p>
      <w:pPr>
        <w:pStyle w:val="BlueAddPara"/>
        <w:numPr>
          <w:ilvl w:val="0"/>
          <w:numId w:val="1004"/>
        </w:numPr>
      </w:pPr>
      <w:r>
        <w:rPr>
          <w:rStyle w:val="BlueAdd"/>
          <w:b/>
          <w:bCs/>
        </w:rPr>
        <w:t xml:space="preserve">Verifiable identity separated from authority (Req 2).</w:t>
      </w:r>
      <w:r>
        <w:rPr>
          <w:rStyle w:val="BlueAdd"/>
        </w:rPr>
        <w:t xml:space="preserve"> </w:t>
      </w:r>
      <w:r>
        <w:rPr>
          <w:rStyle w:val="BlueAdd"/>
        </w:rPr>
        <w:t xml:space="preserve">The decentralised identity studies (S17, S18, S19, S20, S21, S22, S23), the multi-party and access-control studies S24, S26, S28 and the guardian-access policy statement S8 establish who a participant is, but in every case the credential is treated as the end of the decision. No study models the authority required by a particular consent as a condition that is verified separately from identity.</w:t>
      </w:r>
    </w:p>
    <w:p>
      <w:pPr>
        <w:pStyle w:val="BlueAddPara"/>
        <w:numPr>
          <w:ilvl w:val="0"/>
          <w:numId w:val="1004"/>
        </w:numPr>
      </w:pPr>
      <w:r>
        <w:rPr>
          <w:rStyle w:val="BlueAdd"/>
          <w:b/>
          <w:bCs/>
        </w:rPr>
        <w:t xml:space="preserve">Multi-party threshold authorisation (Req 3).</w:t>
      </w:r>
      <w:r>
        <w:rPr>
          <w:rStyle w:val="BlueAdd"/>
        </w:rPr>
        <w:t xml:space="preserve"> </w:t>
      </w:r>
      <w:r>
        <w:rPr>
          <w:rStyle w:val="BlueAdd"/>
        </w:rPr>
        <w:t xml:space="preserve">Multi-party mechanisms appear in S16, S17, S25, S26: multi-party verification of identity claims, collective governance of data trusts, collective decision-making and threshold-based pre-authorisation of record access. In none of them is a threshold of independently verified approvals attached to the patient’s consent and evaluated when access is requested.</w:t>
      </w:r>
    </w:p>
    <w:p>
      <w:pPr>
        <w:pStyle w:val="BlueAddPara"/>
        <w:numPr>
          <w:ilvl w:val="0"/>
          <w:numId w:val="1004"/>
        </w:numPr>
      </w:pPr>
      <w:r>
        <w:rPr>
          <w:rStyle w:val="BlueAdd"/>
          <w:b/>
          <w:bCs/>
        </w:rPr>
        <w:t xml:space="preserve">Purpose- and scope-bound access (Req 4).</w:t>
      </w:r>
      <w:r>
        <w:rPr>
          <w:rStyle w:val="BlueAdd"/>
        </w:rPr>
        <w:t xml:space="preserve"> </w:t>
      </w:r>
      <w:r>
        <w:rPr>
          <w:rStyle w:val="BlueAdd"/>
        </w:rPr>
        <w:t xml:space="preserve">Policy-based enforcement is well covered (S9, S11, S12, S13, S14, S19, S20, S24, S25, S27, S28, S29, S30, S31, S32), yet the policy is evaluated against roles, attributes, purpose trees or risk rather than against the purpose and data scope stated in the patient’s consent, so a verified and approved requester can still obtain data outside the authorised scope.</w:t>
      </w:r>
    </w:p>
    <w:p>
      <w:pPr>
        <w:pStyle w:val="BlueAddPara"/>
        <w:numPr>
          <w:ilvl w:val="0"/>
          <w:numId w:val="1004"/>
        </w:numPr>
      </w:pPr>
      <w:r>
        <w:rPr>
          <w:rStyle w:val="BlueAdd"/>
          <w:b/>
          <w:bCs/>
        </w:rPr>
        <w:t xml:space="preserve">Lifecycle validity and auditable evidence (Req 5).</w:t>
      </w:r>
      <w:r>
        <w:rPr>
          <w:rStyle w:val="BlueAdd"/>
        </w:rPr>
        <w:t xml:space="preserve"> </w:t>
      </w:r>
      <w:r>
        <w:rPr>
          <w:rStyle w:val="BlueAdd"/>
        </w:rPr>
        <w:t xml:space="preserve">Audit trails and revocation are provided by S2, S4, S9, S10, S11, S12, S13, S14, S15, S16, S23, S24, S27, S29, S31, S32, but expiry, revocation and state transitions of the consent itself are not evaluated at the time of the request, and the recorded evidence describes transactions rather than the trust conditions under which each decision was made.</w:t>
      </w:r>
    </w:p>
    <w:p>
      <w:pPr>
        <w:pStyle w:val="BlueAddPara"/>
      </w:pPr>
      <w:r>
        <w:rPr>
          <w:rStyle w:val="BlueAdd"/>
        </w:rPr>
        <w:t xml:space="preserve">These gaps are addressed in the following order by the research objectives of Chapter 3: RO1 (Req 1), RO2 (Req 2), RO3 (Req 3), RO4 (Req 4) and RO5 (Req 5), with RO6 providing the formal and empirical validation of the resulting decisions.</w:t>
      </w:r>
    </w:p>
    <w:p>
      <w:pPr>
        <w:pStyle w:val="BodyText"/>
      </w:pPr>
      <w:r>
        <w:t xml:space="preserve">The central research gap therefore concerns the absence of a sufficiently integrated Trust Computing framework that explicitly models the relationship between these independently verifiable conditions. In particular, existing approaches provide limited treatment of patient consent as a security-bearing and policy-aware authorisation object whose validity depends on coordinated conditions concerning participant identity, authority, collective approval, and contextual policy compliance.</w:t>
      </w:r>
    </w:p>
    <w:p>
      <w:pPr>
        <w:pStyle w:val="BodyText"/>
      </w:pPr>
      <w:r>
        <w:t xml:space="preserve">The proposed research addresses this gap by developing a trusted multi-party consent governance framework in which consent is represented as an evaluable authorisation object rather than simply as a database entry, consent receipt, or blockchain transaction. Decentralised identifiers and verifiable credentials are used to establish trusted identity and authority inputs. Multi-party authorisation mechanisms determine whether the required independent participants have collectively satisfied the authorisation condition. Policy-aware access control evaluates whether a requested operation remains within the authorised purpose and data scope.</w:t>
      </w:r>
    </w:p>
    <w:p>
      <w:pPr>
        <w:pStyle w:val="BodyText"/>
      </w:pPr>
      <w:r>
        <w:t xml:space="preserve">The foundational authorisation decision investigated in the current stage of the research can therefore be represented as</w:t>
      </w:r>
    </w:p>
    <w:p>
      <w:pPr>
        <w:pStyle w:val="BodyText"/>
      </w:pPr>
      <m:oMathPara>
        <m:oMathParaPr>
          <m:jc m:val="center"/>
        </m:oMathParaPr>
        <m:oMath>
          <m:r>
            <m:t>D</m:t>
          </m:r>
          <m:r>
            <m:t>e</m:t>
          </m:r>
          <m:r>
            <m:t>c</m:t>
          </m:r>
          <m:r>
            <m:t>i</m:t>
          </m:r>
          <m:r>
            <m:t>s</m:t>
          </m:r>
          <m:r>
            <m:t>i</m:t>
          </m:r>
          <m:r>
            <m:t>o</m:t>
          </m:r>
          <m:r>
            <m:t>n</m:t>
          </m:r>
          <m:r>
            <m:rPr>
              <m:sty m:val="p"/>
            </m:rPr>
            <m:t>(</m:t>
          </m:r>
          <m:r>
            <m:t>C</m:t>
          </m:r>
          <m:r>
            <m:rPr>
              <m:sty m:val="p"/>
            </m:rPr>
            <m:t>,</m:t>
          </m:r>
          <m:r>
            <m:t>R</m:t>
          </m:r>
          <m:r>
            <m:rPr>
              <m:sty m:val="p"/>
            </m:rPr>
            <m:t>)</m:t>
          </m:r>
          <m:r>
            <m:rPr>
              <m:sty m:val="p"/>
            </m:rPr>
            <m:t>=</m:t>
          </m:r>
          <m:r>
            <m:t>A</m:t>
          </m:r>
          <m:r>
            <m:t>L</m:t>
          </m:r>
          <m:r>
            <m:t>L</m:t>
          </m:r>
          <m:r>
            <m:t>O</m:t>
          </m:r>
          <m:r>
            <m:t>W</m:t>
          </m:r>
          <m:r>
            <m:rPr>
              <m:sty m:val="p"/>
            </m:rPr>
            <m:t>⇔</m:t>
          </m:r>
          <m:sSub>
            <m:e>
              <m:r>
                <m:t>V</m:t>
              </m:r>
            </m:e>
            <m:sub>
              <m:r>
                <m:t>I</m:t>
              </m:r>
            </m:sub>
          </m:sSub>
          <m:r>
            <m:rPr>
              <m:sty m:val="p"/>
            </m:rPr>
            <m:t>(</m:t>
          </m:r>
          <m:r>
            <m:t>u</m:t>
          </m:r>
          <m:r>
            <m:rPr>
              <m:sty m:val="p"/>
            </m:rPr>
            <m:t>)</m:t>
          </m:r>
          <m:r>
            <m:rPr>
              <m:sty m:val="p"/>
            </m:rPr>
            <m:t>∧</m:t>
          </m:r>
          <m:sSub>
            <m:e>
              <m:r>
                <m:t>V</m:t>
              </m:r>
            </m:e>
            <m:sub>
              <m:r>
                <m:t>A</m:t>
              </m:r>
            </m:sub>
          </m:sSub>
          <m:r>
            <m:rPr>
              <m:sty m:val="p"/>
            </m:rPr>
            <m:t>(</m:t>
          </m:r>
          <m:r>
            <m:t>C</m:t>
          </m:r>
          <m:r>
            <m:rPr>
              <m:sty m:val="p"/>
            </m:rPr>
            <m:t>)</m:t>
          </m:r>
          <m:r>
            <m:rPr>
              <m:sty m:val="p"/>
            </m:rPr>
            <m:t>∧</m:t>
          </m:r>
          <m:sSub>
            <m:e>
              <m:r>
                <m:t>V</m:t>
              </m:r>
            </m:e>
            <m:sub>
              <m:r>
                <m:t>P</m:t>
              </m:r>
            </m:sub>
          </m:sSub>
          <m:r>
            <m:rPr>
              <m:sty m:val="p"/>
            </m:rPr>
            <m:t>(</m:t>
          </m:r>
          <m:r>
            <m:t>C</m:t>
          </m:r>
          <m:r>
            <m:rPr>
              <m:sty m:val="p"/>
            </m:rPr>
            <m:t>,</m:t>
          </m:r>
          <m:r>
            <m:t>R</m:t>
          </m:r>
          <m:r>
            <m:rPr>
              <m:sty m:val="p"/>
            </m:rPr>
            <m:t>)</m:t>
          </m:r>
          <m:r>
            <m:rPr>
              <m:sty m:val="p"/>
            </m:rPr>
            <m:t>,</m:t>
          </m:r>
          <m:r>
            <m:t>  </m:t>
          </m:r>
          <m:r>
            <m:t>  </m:t>
          </m:r>
          <m:r>
            <m:rPr>
              <m:sty m:val="p"/>
            </m:rPr>
            <m:t>(</m:t>
          </m:r>
          <m:r>
            <m:t>6</m:t>
          </m:r>
          <m:r>
            <m:rPr>
              <m:sty m:val="p"/>
            </m:rPr>
            <m:t>)</m:t>
          </m:r>
        </m:oMath>
      </m:oMathPara>
    </w:p>
    <w:p>
      <w:pPr>
        <w:pStyle w:val="FirstParagraph"/>
      </w:pPr>
      <w:r>
        <w:t xml:space="preserve">where</w:t>
      </w:r>
      <w:r>
        <w:t xml:space="preserve"> </w:t>
      </w:r>
      <w:r>
        <w:rPr>
          <w:i/>
          <w:iCs/>
        </w:rPr>
        <w:t xml:space="preserve">V</w:t>
      </w:r>
      <w:r>
        <w:rPr>
          <w:vertAlign w:val="subscript"/>
        </w:rPr>
        <w:t xml:space="preserve">I</w:t>
      </w:r>
      <w:r>
        <w:t xml:space="preserve">(</w:t>
      </w:r>
      <w:r>
        <w:rPr>
          <w:i/>
          <w:iCs/>
        </w:rPr>
        <w:t xml:space="preserve">u</w:t>
      </w:r>
      <w:r>
        <w:t xml:space="preserve">) represents the validity of the identity and relevant authority evidence associated with participant</w:t>
      </w:r>
      <w:r>
        <w:t xml:space="preserve"> </w:t>
      </w:r>
      <w:r>
        <w:rPr>
          <w:i/>
          <w:iCs/>
        </w:rPr>
        <w:t xml:space="preserve">u</w:t>
      </w:r>
      <w:r>
        <w:t xml:space="preserve">,</w:t>
      </w:r>
      <w:r>
        <w:t xml:space="preserve"> </w:t>
      </w:r>
      <w:r>
        <w:rPr>
          <w:i/>
          <w:iCs/>
        </w:rPr>
        <w:t xml:space="preserve">V</w:t>
      </w:r>
      <w:r>
        <w:rPr>
          <w:vertAlign w:val="subscript"/>
        </w:rPr>
        <w:t xml:space="preserve">A</w:t>
      </w:r>
      <w:r>
        <w:t xml:space="preserve">(</w:t>
      </w:r>
      <w:r>
        <w:rPr>
          <w:i/>
          <w:iCs/>
        </w:rPr>
        <w:t xml:space="preserve">C</w:t>
      </w:r>
      <w:r>
        <w:t xml:space="preserve">) represents the satisfaction of the required multi-party authorisation condition for consent</w:t>
      </w:r>
      <w:r>
        <w:t xml:space="preserve"> </w:t>
      </w:r>
      <w:r>
        <w:rPr>
          <w:i/>
          <w:iCs/>
        </w:rPr>
        <w:t xml:space="preserve">C</w:t>
      </w:r>
      <w:r>
        <w:t xml:space="preserve">, and</w:t>
      </w:r>
      <w:r>
        <w:t xml:space="preserve"> </w:t>
      </w:r>
      <w:r>
        <w:rPr>
          <w:i/>
          <w:iCs/>
        </w:rPr>
        <w:t xml:space="preserve">V</w:t>
      </w:r>
      <w:r>
        <w:rPr>
          <w:vertAlign w:val="subscript"/>
        </w:rPr>
        <w:t xml:space="preserve">P</w:t>
      </w:r>
      <w:r>
        <w:t xml:space="preserve">(</w:t>
      </w:r>
      <w:r>
        <w:rPr>
          <w:i/>
          <w:iCs/>
        </w:rPr>
        <w:t xml:space="preserve">C, R</w:t>
      </w:r>
      <w:r>
        <w:t xml:space="preserve">) represents compliance between the consent and the requested operation</w:t>
      </w:r>
      <w:r>
        <w:t xml:space="preserve"> </w:t>
      </w:r>
      <w:r>
        <w:rPr>
          <w:i/>
          <w:iCs/>
        </w:rPr>
        <w:t xml:space="preserve">R</w:t>
      </w:r>
      <w:r>
        <w:t xml:space="preserve">.</w:t>
      </w:r>
    </w:p>
    <w:p>
      <w:pPr>
        <w:pStyle w:val="BodyText"/>
      </w:pPr>
      <w:r>
        <w:t xml:space="preserve">This formulation represents the principal conceptual contribution of the current research stage. It shifts the focus from determining whether consent has merely been recorded towards determining whether a data-access decision has been generated under sufficient and independently verifiable trust conditions.</w:t>
      </w:r>
    </w:p>
    <w:p>
      <w:pPr>
        <w:pStyle w:val="BodyText"/>
      </w:pPr>
      <w:r>
        <w:t xml:space="preserve">The current research therefore concentrates on establishing the foundational relationship between trust-centric consent modelling, decentralised identity and authority verification, multi-party authorisation, and policy-aware access control. The subsequent research will extend this model towards temporal and lifecycle trust, formal security assurance, adversarial evaluation, and comprehensive empirical validation using the HALAH prototype.</w:t>
      </w:r>
    </w:p>
    <w:p>
      <w:pPr>
        <w:pStyle w:val="BodyText"/>
      </w:pPr>
      <w:r>
        <w:t xml:space="preserve">Accordingly, the literature suggests that the principal research opportunity is not the development of another isolated blockchain consent mechanism or identity-management system. Instead, the opportunity lies in constructing a coherent Trust Computing model in which the different security mechanisms contribute to a common and explainable authorisation decision. Trustworthy healthcare data sharing can then be evaluated not simply according to whether a consent record exists, but according to whether the combined identity, authority, collective authorisation, and policy conditions required for access have been satisfied.</w:t>
      </w:r>
    </w:p>
    <w:bookmarkEnd w:id="37"/>
    <w:bookmarkStart w:id="38" w:name="conclusion"/>
    <w:p>
      <w:pPr>
        <w:pStyle w:val="Heading2"/>
      </w:pPr>
      <w:r>
        <w:rPr>
          <w:rStyle w:val="BlueAdd"/>
        </w:rPr>
        <w:t xml:space="preserve">2.6 Conclusion</w:t>
      </w:r>
    </w:p>
    <w:p>
      <w:pPr>
        <w:pStyle w:val="BlueAddPara"/>
      </w:pPr>
      <w:r>
        <w:rPr>
          <w:rStyle w:val="BlueAdd"/>
        </w:rPr>
        <w:t xml:space="preserve">This systematic literature review identified five key requirements that a trust-oriented healthcare consent authorisation framework should satisfy: an evaluable consent object, verifiable identity separated from authority, multi-party threshold authorisation, purpose- and scope-bound access, and lifecycle validity with auditable evidence. Following a four-step shortlisting process, 33 studies published between 2022 and 2026 were categorised into six areas and evaluated against these requirements. The review shows that each requirement is addressed in isolation by at least one stream of research, but that no existing approach combines them into a single, independently verifiable authorisation decision. In particular, consent continues to be treated as a record rather than as an object to be evaluated, multi-party approval is not modelled as a condition of that object, and policy enforcement is not bound to the purpose and scope the patient authorised.</w:t>
      </w:r>
    </w:p>
    <w:p>
      <w:pPr>
        <w:pStyle w:val="BlueAddPara"/>
      </w:pPr>
      <w:r>
        <w:rPr>
          <w:rStyle w:val="BlueAdd"/>
        </w:rPr>
        <w:t xml:space="preserve">These findings motivate the research questions and objectives presented in the next chapter and the trust-oriented consent authorisation framework proposed in Chapters 5 and 6, in which decentralised identifiers, verifiable credentials, threshold-based approval and policy evaluation contribute to one explainable decision. The next chapter also defines the key terms used in this study.</w:t>
      </w:r>
    </w:p>
    <w:bookmarkEnd w:id="38"/>
    <w:bookmarkEnd w:id="39"/>
    <w:bookmarkStart w:id="40" w:name="references"/>
    <w:p>
      <w:pPr>
        <w:pStyle w:val="Heading1"/>
      </w:pPr>
      <w:r>
        <w:t xml:space="preserve">References</w:t>
      </w:r>
    </w:p>
    <w:p>
      <w:pPr>
        <w:pStyle w:val="FirstParagraph"/>
      </w:pPr>
      <w:r>
        <w:t xml:space="preserve">[1] Abdullah Al Mamun, Sami Azam, and Clementine Gritti. Blockchain-based electronic health records management: a comprehensive review and future research direction.</w:t>
      </w:r>
      <w:r>
        <w:t xml:space="preserve"> </w:t>
      </w:r>
      <w:r>
        <w:rPr>
          <w:i/>
          <w:iCs/>
        </w:rPr>
        <w:t xml:space="preserve">IEEE Access</w:t>
      </w:r>
      <w:r>
        <w:t xml:space="preserve">, 10:5768–5789, 2022.</w:t>
      </w:r>
    </w:p>
    <w:p>
      <w:pPr>
        <w:pStyle w:val="BodyText"/>
      </w:pPr>
      <w:r>
        <w:t xml:space="preserve">[2] J Andrew, Deva Priya Isravel, K Martin Sagayam, Bharat Bhushan, Yuichi Sei, and Jennifer Eunice. Blockchain for healthcare systems: Architecture, security challenges, trends and future directions.</w:t>
      </w:r>
      <w:r>
        <w:t xml:space="preserve"> </w:t>
      </w:r>
      <w:r>
        <w:rPr>
          <w:i/>
          <w:iCs/>
        </w:rPr>
        <w:t xml:space="preserve">Journal of Network and Computer Applications</w:t>
      </w:r>
      <w:r>
        <w:t xml:space="preserve">, 215:103633, 2023.</w:t>
      </w:r>
    </w:p>
    <w:p>
      <w:pPr>
        <w:pStyle w:val="BodyText"/>
      </w:pPr>
      <w:r>
        <w:t xml:space="preserve">[3] Mohammad Salar Arbabi, Chhagan Lal, Narasimha Raghavan Veeraragavan, Dusica Marijan, Jan F Nygård, and Roman Vitenberg. A survey on blockchain for healthcare: Challenges, benefits, and future directions.</w:t>
      </w:r>
      <w:r>
        <w:t xml:space="preserve"> </w:t>
      </w:r>
      <w:r>
        <w:rPr>
          <w:i/>
          <w:iCs/>
        </w:rPr>
        <w:t xml:space="preserve">IEEE Communications Surveys &amp; Tutorials</w:t>
      </w:r>
      <w:r>
        <w:t xml:space="preserve">, 25(1):386–424,</w:t>
      </w:r>
      <w:r>
        <w:t xml:space="preserve"> </w:t>
      </w:r>
      <w:r>
        <w:rPr>
          <w:rStyle w:val="GreenDelete"/>
        </w:rPr>
        <w:t xml:space="preserve">2022</w:t>
      </w:r>
      <w:r>
        <w:rPr>
          <w:rStyle w:val="GreenFix"/>
        </w:rPr>
        <w:t xml:space="preserve">2023</w:t>
      </w:r>
      <w:r>
        <w:t xml:space="preserve">.</w:t>
      </w:r>
    </w:p>
    <w:p>
      <w:pPr>
        <w:pStyle w:val="BodyText"/>
      </w:pPr>
      <w:r>
        <w:t xml:space="preserve">[4] Haotian Deng, Jinwen Liang, Chuan Zhang, Ximeng Liu, Liehuang Zhu, and Song Guo. FutureDID: A fully decentralized identity system with multi-party verification.</w:t>
      </w:r>
      <w:r>
        <w:t xml:space="preserve"> </w:t>
      </w:r>
      <w:r>
        <w:rPr>
          <w:i/>
          <w:iCs/>
        </w:rPr>
        <w:t xml:space="preserve">IEEE Transactions on Computers</w:t>
      </w:r>
      <w:r>
        <w:t xml:space="preserve">, 73(8):2051–2065, 2024.</w:t>
      </w:r>
    </w:p>
    <w:p>
      <w:pPr>
        <w:pStyle w:val="BodyText"/>
      </w:pPr>
      <w:r>
        <w:t xml:space="preserve">[5] Andrea Flamini, Giada Sciarretta, Mario Scuro, Amir Sharif, Alessandro Tomasi, and Silvio Ranise. On cryptographic mechanisms for the selective disclosure of verifiable credentials.</w:t>
      </w:r>
      <w:r>
        <w:t xml:space="preserve"> </w:t>
      </w:r>
      <w:r>
        <w:rPr>
          <w:i/>
          <w:iCs/>
        </w:rPr>
        <w:t xml:space="preserve">Journal of Information Security and Applications</w:t>
      </w:r>
      <w:r>
        <w:t xml:space="preserve">, 83:103789, 2024.</w:t>
      </w:r>
      <w:r>
        <w:t xml:space="preserve"> </w:t>
      </w:r>
      <w:r>
        <w:rPr>
          <w:rStyle w:val="GreenFix"/>
        </w:rPr>
        <w:t xml:space="preserve">A corrigendum was published in 2026 (vol. 98, 104383).</w:t>
      </w:r>
    </w:p>
    <w:p>
      <w:pPr>
        <w:pStyle w:val="BodyText"/>
      </w:pPr>
      <w:r>
        <w:t xml:space="preserve">[6]</w:t>
      </w:r>
      <w:r>
        <w:t xml:space="preserve"> </w:t>
      </w:r>
      <w:r>
        <w:rPr>
          <w:rStyle w:val="GreenDelete"/>
        </w:rPr>
        <w:t xml:space="preserve">Abdul Ghafoor, Iraklis Symeonidis, Anna Rydberg, Cecilia Lindahl, and Abdul Qadus Abbasi.</w:t>
      </w:r>
      <w:r>
        <w:rPr>
          <w:rStyle w:val="GreenFix"/>
        </w:rPr>
        <w:t xml:space="preserve">Abdul Ghafoor Abbasi, Iraklis Symeonidis, Anna Rydberg, Cecilia Lindahl, and Abdul Qadus Abbasi.</w:t>
      </w:r>
      <w:r>
        <w:t xml:space="preserve"> </w:t>
      </w:r>
      <w:r>
        <w:t xml:space="preserve">Towards empowering stakeholders through decentralized trust and secure live-stock data sharing.</w:t>
      </w:r>
      <w:r>
        <w:t xml:space="preserve"> </w:t>
      </w:r>
      <w:r>
        <w:rPr>
          <w:i/>
          <w:iCs/>
        </w:rPr>
        <w:t xml:space="preserve">Cryptography</w:t>
      </w:r>
      <w:r>
        <w:t xml:space="preserve">, 9(3):52, 2025.</w:t>
      </w:r>
    </w:p>
    <w:p>
      <w:pPr>
        <w:pStyle w:val="BodyText"/>
      </w:pPr>
      <w:r>
        <w:t xml:space="preserve">[7] Pranto Kumar Ghosh, Arindom Chakraborty, Mehedi Hasan, Khalid Rashid, and Abdul Hasib Siddique. Blockchain application in healthcare systems: a review.</w:t>
      </w:r>
      <w:r>
        <w:t xml:space="preserve"> </w:t>
      </w:r>
      <w:r>
        <w:rPr>
          <w:i/>
          <w:iCs/>
        </w:rPr>
        <w:t xml:space="preserve">Systems</w:t>
      </w:r>
      <w:r>
        <w:t xml:space="preserve">, 11(1):38, 2023.</w:t>
      </w:r>
    </w:p>
    <w:p>
      <w:pPr>
        <w:pStyle w:val="GreenDeletePara"/>
      </w:pPr>
      <w:r>
        <w:rPr>
          <w:rStyle w:val="GreenDelete"/>
        </w:rPr>
        <w:t xml:space="preserve">[8] Remy Hellstern, Daniel C Park, Victoria Lemieux, and Guldana Salimjan. Leveraging blockchain-based archival solutions for sensitive documentation: A Xinjiang case study.</w:t>
      </w:r>
      <w:r>
        <w:rPr>
          <w:rStyle w:val="GreenDelete"/>
        </w:rPr>
        <w:t xml:space="preserve"> </w:t>
      </w:r>
      <w:r>
        <w:rPr>
          <w:rStyle w:val="GreenDelete"/>
          <w:i/>
          <w:iCs/>
        </w:rPr>
        <w:t xml:space="preserve">Digital Society</w:t>
      </w:r>
      <w:r>
        <w:rPr>
          <w:rStyle w:val="GreenDelete"/>
        </w:rPr>
        <w:t xml:space="preserve">, 1(1):4, 2022.</w:t>
      </w:r>
    </w:p>
    <w:p>
      <w:pPr>
        <w:pStyle w:val="ReviewerNotePara"/>
      </w:pPr>
      <w:r>
        <w:rPr>
          <w:rStyle w:val="ReviewerNote"/>
        </w:rPr>
        <w:t xml:space="preserve">Reference [8] removed: outside the review scope (human-rights archival case study). Renumber the list when the report is recompiled.</w:t>
      </w:r>
    </w:p>
    <w:p>
      <w:pPr>
        <w:pStyle w:val="BodyText"/>
      </w:pPr>
      <w:r>
        <w:t xml:space="preserve">[9] Ateya Megahed Ibrahim, Hassanat Ramadan Abdel-Aziz, Heba Ali Hamed Mohamed, Donia Elsaid Fathi Zaghamir, Nadia Mohamed Ibrahim Wahba, Ghada A Hassan, Mostafa Shaban, Mohammad El-Nablaway, Ohoud Naif Aldughmi, and Taghreed Hussien Aboelola. Balancing confidentiality and care coordination: challenges in patient privacy.</w:t>
      </w:r>
      <w:r>
        <w:t xml:space="preserve"> </w:t>
      </w:r>
      <w:r>
        <w:rPr>
          <w:i/>
          <w:iCs/>
        </w:rPr>
        <w:t xml:space="preserve">BMC Nursing</w:t>
      </w:r>
      <w:r>
        <w:t xml:space="preserve">, 23(1):564, 2024.</w:t>
      </w:r>
    </w:p>
    <w:p>
      <w:pPr>
        <w:pStyle w:val="BodyText"/>
      </w:pPr>
      <w:r>
        <w:t xml:space="preserve">[10] Vitor Jesus and Harshvardhan J Pandit. Consent receipts for a usable and auditable web of personal data.</w:t>
      </w:r>
      <w:r>
        <w:t xml:space="preserve"> </w:t>
      </w:r>
      <w:r>
        <w:rPr>
          <w:i/>
          <w:iCs/>
        </w:rPr>
        <w:t xml:space="preserve">IEEE Access</w:t>
      </w:r>
      <w:r>
        <w:t xml:space="preserve">, 10:28545–28563, 2022.</w:t>
      </w:r>
    </w:p>
    <w:p>
      <w:pPr>
        <w:pStyle w:val="BodyText"/>
      </w:pPr>
      <w:r>
        <w:t xml:space="preserve">[11] Rong Jiang, Xue Chen, Yimin Yu, Ying Zhang, and Weiping Ding. Risk and UCON-based access control model for healthcare big data.</w:t>
      </w:r>
      <w:r>
        <w:t xml:space="preserve"> </w:t>
      </w:r>
      <w:r>
        <w:rPr>
          <w:i/>
          <w:iCs/>
        </w:rPr>
        <w:t xml:space="preserve">Journal of Big Data</w:t>
      </w:r>
      <w:r>
        <w:t xml:space="preserve">, 10(1):104, 2023.</w:t>
      </w:r>
    </w:p>
    <w:p>
      <w:pPr>
        <w:pStyle w:val="BodyText"/>
      </w:pPr>
      <w:r>
        <w:t xml:space="preserve">[12] Katya Kaplow, Max Downey, Darren Stewart, Allan B Massie, Jennifer D Motter, Lauren Taylor, John Massarelli, Taylor Matalon, Carolyn Sidoti, Macey L Levan, et al. Data professionals’ attitudes on data privacy, sharing, and consent in healthcare and research.</w:t>
      </w:r>
      <w:r>
        <w:t xml:space="preserve"> </w:t>
      </w:r>
      <w:r>
        <w:rPr>
          <w:i/>
          <w:iCs/>
        </w:rPr>
        <w:t xml:space="preserve">Digital Health</w:t>
      </w:r>
      <w:r>
        <w:t xml:space="preserve">, 10:20552076241290964, 2024.</w:t>
      </w:r>
    </w:p>
    <w:p>
      <w:pPr>
        <w:pStyle w:val="BodyText"/>
      </w:pPr>
      <w:r>
        <w:t xml:space="preserve">[13] Muhammad Irfan Khalid, Mansoor Ahmed, Markus Helfert, and Jungsuk Kim. Privacy-first paradigm for dynamic consent management systems: empowering data subjects through decentralized data controllers and privacy-preserving techniques.</w:t>
      </w:r>
      <w:r>
        <w:t xml:space="preserve"> </w:t>
      </w:r>
      <w:r>
        <w:rPr>
          <w:i/>
          <w:iCs/>
        </w:rPr>
        <w:t xml:space="preserve">Electronics</w:t>
      </w:r>
      <w:r>
        <w:t xml:space="preserve">, 12(24):4973, 2023.</w:t>
      </w:r>
    </w:p>
    <w:p>
      <w:pPr>
        <w:pStyle w:val="BodyText"/>
      </w:pPr>
      <w:r>
        <w:t xml:space="preserve">[14] Alexander Kharlamov, Roland Hohmann, and Glann Parry. Data sharing decisions: perceptions and intentions in healthcare.</w:t>
      </w:r>
      <w:r>
        <w:t xml:space="preserve"> </w:t>
      </w:r>
      <w:r>
        <w:rPr>
          <w:i/>
          <w:iCs/>
        </w:rPr>
        <w:t xml:space="preserve">Strategic Change</w:t>
      </w:r>
      <w:r>
        <w:t xml:space="preserve">, 32(6):223–237, 2023.</w:t>
      </w:r>
    </w:p>
    <w:p>
      <w:pPr>
        <w:pStyle w:val="BodyText"/>
      </w:pPr>
      <w:r>
        <w:t xml:space="preserve">[15] Behnam Khayer, Siamak Mirzaei, Hooman Alavizadeh, and Ahmad Salehi Shahraki. Blockchain for secure IoT: A review of identity management, access control, and trust mechanisms.</w:t>
      </w:r>
      <w:r>
        <w:t xml:space="preserve"> </w:t>
      </w:r>
      <w:r>
        <w:rPr>
          <w:i/>
          <w:iCs/>
        </w:rPr>
        <w:t xml:space="preserve">IoT</w:t>
      </w:r>
      <w:r>
        <w:t xml:space="preserve">, 6(4):65, 2025.</w:t>
      </w:r>
    </w:p>
    <w:p>
      <w:pPr>
        <w:pStyle w:val="BodyText"/>
      </w:pPr>
      <w:r>
        <w:t xml:space="preserve">[16] Chalima Dimitra Nassar Kyriakidou, Athanasia Maria Papathanasiou, and George C Polyzos. Decentralized identity with applications to security and privacy for the internet of things.</w:t>
      </w:r>
      <w:r>
        <w:t xml:space="preserve"> </w:t>
      </w:r>
      <w:r>
        <w:rPr>
          <w:i/>
          <w:iCs/>
        </w:rPr>
        <w:t xml:space="preserve">Computer Networks and Communications</w:t>
      </w:r>
      <w:r>
        <w:t xml:space="preserve">, pages 244–271, 2023.</w:t>
      </w:r>
    </w:p>
    <w:p>
      <w:pPr>
        <w:pStyle w:val="GreenDeletePara"/>
      </w:pPr>
      <w:r>
        <w:rPr>
          <w:rStyle w:val="GreenDelete"/>
        </w:rPr>
        <w:t xml:space="preserve">[17] Lanlan Li, Charles Z Liu, Kejia Huang, Ruiyi Deng, Majed Abdullah Alrowaily, Mansoor Alghamdi, Ibrahim S Alkhazi, and Malek Alrashidi. Trust-aware environmental state consensus for smart agriculture with TEE-enabled sensing and Byzantine-resilient blockchain coordination.</w:t>
      </w:r>
      <w:r>
        <w:rPr>
          <w:rStyle w:val="GreenDelete"/>
        </w:rPr>
        <w:t xml:space="preserve"> </w:t>
      </w:r>
      <w:r>
        <w:rPr>
          <w:rStyle w:val="GreenDelete"/>
          <w:i/>
          <w:iCs/>
        </w:rPr>
        <w:t xml:space="preserve">Sensors</w:t>
      </w:r>
      <w:r>
        <w:rPr>
          <w:rStyle w:val="GreenDelete"/>
        </w:rPr>
        <w:t xml:space="preserve">, 26(14):4577, 2026.</w:t>
      </w:r>
    </w:p>
    <w:p>
      <w:pPr>
        <w:pStyle w:val="ReviewerNotePara"/>
      </w:pPr>
      <w:r>
        <w:rPr>
          <w:rStyle w:val="ReviewerNote"/>
        </w:rPr>
        <w:t xml:space="preserve">Reference [17] removed: outside the review scope (smart agriculture). Renumber the list when the report is recompiled.</w:t>
      </w:r>
    </w:p>
    <w:p>
      <w:pPr>
        <w:pStyle w:val="GreenDeletePara"/>
      </w:pPr>
      <w:r>
        <w:rPr>
          <w:rStyle w:val="GreenDelete"/>
        </w:rPr>
        <w:t xml:space="preserve">[18] Lanlan Li, Charles Z Liu, and Sanjeeb Shrestha. Analytical entropy approach for mea-suring blockchain immutability and tamper-resilient trust.</w:t>
      </w:r>
      <w:r>
        <w:rPr>
          <w:rStyle w:val="GreenDelete"/>
        </w:rPr>
        <w:t xml:space="preserve"> </w:t>
      </w:r>
      <w:r>
        <w:rPr>
          <w:rStyle w:val="GreenDelete"/>
          <w:i/>
          <w:iCs/>
        </w:rPr>
        <w:t xml:space="preserve">Entropy</w:t>
      </w:r>
      <w:r>
        <w:rPr>
          <w:rStyle w:val="GreenDelete"/>
        </w:rPr>
        <w:t xml:space="preserve">, 28(6):690, 2026.</w:t>
      </w:r>
    </w:p>
    <w:p>
      <w:pPr>
        <w:pStyle w:val="ReviewerNotePara"/>
      </w:pPr>
      <w:r>
        <w:rPr>
          <w:rStyle w:val="ReviewerNote"/>
        </w:rPr>
        <w:t xml:space="preserve">Reference [18] removed: outside the review scope (information theory of ledgers). Renumber the list when the report is recompiled.</w:t>
      </w:r>
    </w:p>
    <w:p>
      <w:pPr>
        <w:pStyle w:val="BodyText"/>
      </w:pPr>
      <w:r>
        <w:t xml:space="preserve">[19] Richard K Lomotey, Sandra Kumi, and Ralph Deters. Data trusts as a service: Providing a platform for multi-party data sharing.</w:t>
      </w:r>
      <w:r>
        <w:t xml:space="preserve"> </w:t>
      </w:r>
      <w:r>
        <w:rPr>
          <w:i/>
          <w:iCs/>
        </w:rPr>
        <w:t xml:space="preserve">International Journal of Information Management Data Insights</w:t>
      </w:r>
      <w:r>
        <w:t xml:space="preserve">, 2(1):100075, 2022.</w:t>
      </w:r>
    </w:p>
    <w:p>
      <w:pPr>
        <w:pStyle w:val="BodyText"/>
      </w:pPr>
      <w:r>
        <w:t xml:space="preserve">[20] Carlo Mazzocca, Abbas Acar, Selcuk Uluagac, Rebecca Montanari, Paolo Bellavista, and Mauro Conti. A survey on decentralized identifiers and verifiable credentials.</w:t>
      </w:r>
      <w:r>
        <w:t xml:space="preserve"> </w:t>
      </w:r>
      <w:r>
        <w:rPr>
          <w:i/>
          <w:iCs/>
        </w:rPr>
        <w:t xml:space="preserve">IEEE Communications Surveys &amp; Tutorials</w:t>
      </w:r>
      <w:r>
        <w:t xml:space="preserve">,</w:t>
      </w:r>
      <w:r>
        <w:t xml:space="preserve"> </w:t>
      </w:r>
      <w:r>
        <w:rPr>
          <w:rStyle w:val="GreenFix"/>
        </w:rPr>
        <w:t xml:space="preserve">27(6):3641–3671,</w:t>
      </w:r>
      <w:r>
        <w:t xml:space="preserve">2025.</w:t>
      </w:r>
    </w:p>
    <w:p>
      <w:pPr>
        <w:pStyle w:val="GreenDeletePara"/>
      </w:pPr>
      <w:r>
        <w:rPr>
          <w:rStyle w:val="GreenDelete"/>
        </w:rPr>
        <w:t xml:space="preserve">[21] Andrei McCall. Privacy-preserving interoperability in healthcare data ecosystems: balancing data sharing with individual autonomy.</w:t>
      </w:r>
      <w:r>
        <w:rPr>
          <w:rStyle w:val="GreenDelete"/>
        </w:rPr>
        <w:t xml:space="preserve"> </w:t>
      </w:r>
      <w:r>
        <w:rPr>
          <w:rStyle w:val="GreenDelete"/>
          <w:i/>
          <w:iCs/>
        </w:rPr>
        <w:t xml:space="preserve">IEEE J. Biomed. Health Inform</w:t>
      </w:r>
      <w:r>
        <w:rPr>
          <w:rStyle w:val="GreenDelete"/>
        </w:rPr>
        <w:t xml:space="preserve">, 28(3):1234–1245, 2024.</w:t>
      </w:r>
    </w:p>
    <w:p>
      <w:pPr>
        <w:pStyle w:val="ReviewerNotePara"/>
      </w:pPr>
      <w:r>
        <w:rPr>
          <w:rStyle w:val="ReviewerNote"/>
        </w:rPr>
        <w:t xml:space="preserve">Reference [21] removed: could not be verified in any database. Renumber the list when the report is recompiled.</w:t>
      </w:r>
    </w:p>
    <w:p>
      <w:pPr>
        <w:pStyle w:val="BodyText"/>
      </w:pPr>
      <w:r>
        <w:t xml:space="preserve">[22] Roy McClelland and Colin M Harper. Information privacy in healthcare—the vital role of informed consent.</w:t>
      </w:r>
      <w:r>
        <w:t xml:space="preserve"> </w:t>
      </w:r>
      <w:r>
        <w:rPr>
          <w:i/>
          <w:iCs/>
        </w:rPr>
        <w:t xml:space="preserve">European Journal of Health Law</w:t>
      </w:r>
      <w:r>
        <w:t xml:space="preserve">, 30(4):469–480, 2022.</w:t>
      </w:r>
    </w:p>
    <w:p>
      <w:pPr>
        <w:pStyle w:val="BodyText"/>
      </w:pPr>
      <w:r>
        <w:t xml:space="preserve">[23] Jämes Ménétrey, Christian Göttel, Anum Khurshid, Marcelo Pasin, Pascal Felber, Valerio Schiavoni, and Shahid Raza. Attestation mechanisms for trusted execution environments demystified. In</w:t>
      </w:r>
      <w:r>
        <w:t xml:space="preserve"> </w:t>
      </w:r>
      <w:r>
        <w:rPr>
          <w:i/>
          <w:iCs/>
        </w:rPr>
        <w:t xml:space="preserve">IFIP International Conference on Distributed Applications and Interoperable Systems</w:t>
      </w:r>
      <w:r>
        <w:t xml:space="preserve">, pages 95–113. Springer, 2022.</w:t>
      </w:r>
    </w:p>
    <w:p>
      <w:pPr>
        <w:pStyle w:val="BodyText"/>
      </w:pPr>
      <w:r>
        <w:t xml:space="preserve">[24] Minal R Narkhede, Nilesh I Wankhede, and Akanksha M Kamble. Enhancing patient autonomy in data ownership: privacy models and consent frameworks for healthcare.</w:t>
      </w:r>
      <w:r>
        <w:t xml:space="preserve"> </w:t>
      </w:r>
      <w:r>
        <w:rPr>
          <w:i/>
          <w:iCs/>
        </w:rPr>
        <w:t xml:space="preserve">Journal of Digital Health</w:t>
      </w:r>
      <w:r>
        <w:t xml:space="preserve">, pages 1–23, 2025.</w:t>
      </w:r>
    </w:p>
    <w:p>
      <w:pPr>
        <w:pStyle w:val="BodyText"/>
      </w:pPr>
      <w:r>
        <w:t xml:space="preserve">[25] Aleena Nazir, Mubashir Husain Rehmani, Bernard Butler, and Donna O’Shea. Access control in healthcare IoT: A comprehensive survey.</w:t>
      </w:r>
      <w:r>
        <w:t xml:space="preserve"> </w:t>
      </w:r>
      <w:r>
        <w:rPr>
          <w:i/>
          <w:iCs/>
        </w:rPr>
        <w:t xml:space="preserve">Engineering Reports</w:t>
      </w:r>
      <w:r>
        <w:t xml:space="preserve">, 8(4):e70766, 2026.</w:t>
      </w:r>
    </w:p>
    <w:p>
      <w:pPr>
        <w:pStyle w:val="BodyText"/>
      </w:pPr>
      <w:r>
        <w:t xml:space="preserve">[26] Thanh Linh Nguyen, Lam Nguyen, Thong Hoang, Dilum Bandara, Qin Wang, Qinghua Lu, Xiwei Xu, Liming Zhu, and Shiping Chen. Blockchain-empowered trustworthy data sharing: Fundamentals, applications, and challenges.</w:t>
      </w:r>
      <w:r>
        <w:t xml:space="preserve"> </w:t>
      </w:r>
      <w:r>
        <w:rPr>
          <w:i/>
          <w:iCs/>
        </w:rPr>
        <w:t xml:space="preserve">ACM Computing Surveys</w:t>
      </w:r>
      <w:r>
        <w:t xml:space="preserve">, 57(8):1–36, 2025.</w:t>
      </w:r>
    </w:p>
    <w:p>
      <w:pPr>
        <w:pStyle w:val="BodyText"/>
      </w:pPr>
      <w:r>
        <w:t xml:space="preserve">[27] Rohini Poolat Parameswarath, Prosanta Gope, and Biplab Sikdar. User-empowered privacy-preserving authentication protocol for electric vehicle charging based on decentralized identity and verifiable credential.</w:t>
      </w:r>
      <w:r>
        <w:t xml:space="preserve"> </w:t>
      </w:r>
      <w:r>
        <w:rPr>
          <w:i/>
          <w:iCs/>
        </w:rPr>
        <w:t xml:space="preserve">ACM Transactions on Management Information Systems (TMIS)</w:t>
      </w:r>
      <w:r>
        <w:t xml:space="preserve">, 13(4):1–21, 2022.</w:t>
      </w:r>
    </w:p>
    <w:p>
      <w:pPr>
        <w:pStyle w:val="BodyText"/>
      </w:pPr>
      <w:r>
        <w:t xml:space="preserve">[28] Ahmed M Tawfik, Ayman Al-Ahwal, Adly S Tag Eldien, and Hala H Zayed. Blockchain-based access control and privacy preservation in healthcare: a comprehensive survey.</w:t>
      </w:r>
      <w:r>
        <w:t xml:space="preserve"> </w:t>
      </w:r>
      <w:r>
        <w:rPr>
          <w:i/>
          <w:iCs/>
        </w:rPr>
        <w:t xml:space="preserve">Cluster Computing</w:t>
      </w:r>
      <w:r>
        <w:t xml:space="preserve">, 28(8):529, 2025.</w:t>
      </w:r>
    </w:p>
    <w:p>
      <w:pPr>
        <w:pStyle w:val="BodyText"/>
      </w:pPr>
      <w:r>
        <w:t xml:space="preserve">[29] Leonidas Theodorakopoulos, Alexandra Theodoropoulou, and Constantinos Halkiopou-los. Enhancing decentralized decision-making with big data and blockchain technology: A comprehensive review.</w:t>
      </w:r>
      <w:r>
        <w:t xml:space="preserve"> </w:t>
      </w:r>
      <w:r>
        <w:rPr>
          <w:i/>
          <w:iCs/>
        </w:rPr>
        <w:t xml:space="preserve">Applied Sciences</w:t>
      </w:r>
      <w:r>
        <w:t xml:space="preserve">, 14(16):7007, 2024.</w:t>
      </w:r>
    </w:p>
    <w:p>
      <w:pPr>
        <w:pStyle w:val="GreenDeletePara"/>
      </w:pPr>
      <w:r>
        <w:rPr>
          <w:rStyle w:val="GreenDelete"/>
        </w:rPr>
        <w:t xml:space="preserve">[30] Mohammad Nawab Turan, Irshad Ahmed Hashimzai, and Mohammad Qaseem Qiam. A blockchain-based framework for secure and transparent environmental data sharing in smart cities: Enhancing trust, integrity, and interoperability in urban sustainability systems.</w:t>
      </w:r>
      <w:r>
        <w:rPr>
          <w:rStyle w:val="GreenDelete"/>
        </w:rPr>
        <w:t xml:space="preserve"> </w:t>
      </w:r>
      <w:r>
        <w:rPr>
          <w:rStyle w:val="GreenDelete"/>
          <w:i/>
          <w:iCs/>
        </w:rPr>
        <w:t xml:space="preserve">Nata Palemahan: Journal of Environmental Engineering Innovations</w:t>
      </w:r>
      <w:r>
        <w:rPr>
          <w:rStyle w:val="GreenDelete"/>
        </w:rPr>
        <w:t xml:space="preserve">, 2(2):70–79, 2025.</w:t>
      </w:r>
    </w:p>
    <w:p>
      <w:pPr>
        <w:pStyle w:val="ReviewerNotePara"/>
      </w:pPr>
      <w:r>
        <w:rPr>
          <w:rStyle w:val="ReviewerNote"/>
        </w:rPr>
        <w:t xml:space="preserve">Reference [30] removed: outside the review scope (smart cities). Renumber the list when the report is recompiled.</w:t>
      </w:r>
    </w:p>
    <w:p>
      <w:pPr>
        <w:pStyle w:val="BodyText"/>
      </w:pPr>
      <w:r>
        <w:t xml:space="preserve">[31] Emily C Webber, David Brick, James P Scibilia, Peter Dehnel, Council on Clinical Information Technology, et al. Electronic communication of the health record and information with pediatric patients and their guardians.</w:t>
      </w:r>
      <w:r>
        <w:t xml:space="preserve"> </w:t>
      </w:r>
      <w:r>
        <w:rPr>
          <w:i/>
          <w:iCs/>
        </w:rPr>
        <w:t xml:space="preserve">Pediatrics</w:t>
      </w:r>
      <w:r>
        <w:t xml:space="preserve">, 144(1):e20191359, 2019. doi:10.1542/peds.2019-1359.</w:t>
      </w:r>
    </w:p>
    <w:p>
      <w:pPr>
        <w:pStyle w:val="BodyText"/>
      </w:pPr>
      <w:r>
        <w:t xml:space="preserve">[32] Hongjian Yin, Yiming Zhao, Lei Zhang, Baojun Qiao, Wenbo Chen, and Huaqing Wang. Attribute-based searchable encryption with decentralized key management for healthcare data sharing.</w:t>
      </w:r>
      <w:r>
        <w:t xml:space="preserve"> </w:t>
      </w:r>
      <w:r>
        <w:rPr>
          <w:i/>
          <w:iCs/>
        </w:rPr>
        <w:t xml:space="preserve">Journal of Systems Architecture</w:t>
      </w:r>
      <w:r>
        <w:t xml:space="preserve">, 148:103081, 2024.</w:t>
      </w:r>
    </w:p>
    <w:p>
      <w:pPr>
        <w:pStyle w:val="BodyText"/>
      </w:pPr>
      <w:r>
        <w:t xml:space="preserve">[33] Jie Yin, Yang Xiao, Qian Chen, Xuefeng Liu, Qingqi Pei, Jianying Zhou, et al. DP-DID: A dynamic and proactive decentralized identity system.</w:t>
      </w:r>
      <w:r>
        <w:t xml:space="preserve"> </w:t>
      </w:r>
      <w:r>
        <w:rPr>
          <w:i/>
          <w:iCs/>
        </w:rPr>
        <w:t xml:space="preserve">IEEE Transactions on Information Forensics and Security</w:t>
      </w:r>
      <w:r>
        <w:t xml:space="preserve">, pages 4999–5014, 2025.</w:t>
      </w:r>
    </w:p>
    <w:p>
      <w:pPr>
        <w:pStyle w:val="BodyText"/>
      </w:pPr>
      <w:r>
        <w:t xml:space="preserve">[34]</w:t>
      </w:r>
      <w:r>
        <w:t xml:space="preserve"> </w:t>
      </w:r>
      <w:r>
        <w:rPr>
          <w:i/>
          <w:iCs/>
        </w:rPr>
        <w:t xml:space="preserve">Privacy Act 1988</w:t>
      </w:r>
      <w:r>
        <w:t xml:space="preserve"> </w:t>
      </w:r>
      <w:r>
        <w:t xml:space="preserve">(Cth), including Schedule 1 – Australian Privacy Principles. Federal Register of Legislation, Australian Government.</w:t>
      </w:r>
    </w:p>
    <w:p>
      <w:pPr>
        <w:pStyle w:val="BodyText"/>
      </w:pPr>
      <w:r>
        <w:t xml:space="preserve">[35]</w:t>
      </w:r>
      <w:r>
        <w:t xml:space="preserve"> </w:t>
      </w:r>
      <w:r>
        <w:rPr>
          <w:i/>
          <w:iCs/>
        </w:rPr>
        <w:t xml:space="preserve">My Health Records Act 2012</w:t>
      </w:r>
      <w:r>
        <w:t xml:space="preserve"> </w:t>
      </w:r>
      <w:r>
        <w:t xml:space="preserve">(Cth). Federal Register of Legislation, Australian Government.</w:t>
      </w:r>
    </w:p>
    <w:p>
      <w:pPr>
        <w:pStyle w:val="BodyText"/>
      </w:pPr>
      <w:r>
        <w:t xml:space="preserve">[36]</w:t>
      </w:r>
      <w:r>
        <w:t xml:space="preserve"> </w:t>
      </w:r>
      <w:r>
        <w:rPr>
          <w:i/>
          <w:iCs/>
        </w:rPr>
        <w:t xml:space="preserve">Healthcare Identifiers Act 2010</w:t>
      </w:r>
      <w:r>
        <w:t xml:space="preserve"> </w:t>
      </w:r>
      <w:r>
        <w:t xml:space="preserve">(Cth). Federal Register of Legislation, Australian Government.</w:t>
      </w:r>
    </w:p>
    <w:p>
      <w:pPr>
        <w:pStyle w:val="BodyText"/>
      </w:pPr>
      <w:r>
        <w:t xml:space="preserve">[37] Matthew J. Page, Joanne E. McKenzie, Patrick M. Bossuyt, et al. The PRISMA 2020 statement: an updated guideline for reporting systematic reviews.</w:t>
      </w:r>
      <w:r>
        <w:t xml:space="preserve"> </w:t>
      </w:r>
      <w:r>
        <w:rPr>
          <w:i/>
          <w:iCs/>
        </w:rPr>
        <w:t xml:space="preserve">BMJ</w:t>
      </w:r>
      <w:r>
        <w:t xml:space="preserve">, 372:n71, 2021. doi:10.1136/bmj.n71.</w:t>
      </w:r>
    </w:p>
    <w:p>
      <w:pPr>
        <w:pStyle w:val="BodyText"/>
      </w:pPr>
      <w:r>
        <w:t xml:space="preserve">[38] Jason Walonoski, Mark Kramer, Joseph Nichols, et al. Synthea: An approach, method, and software mechanism for generating synthetic patients and the synthetic electronic health care record.</w:t>
      </w:r>
      <w:r>
        <w:t xml:space="preserve"> </w:t>
      </w:r>
      <w:r>
        <w:rPr>
          <w:i/>
          <w:iCs/>
        </w:rPr>
        <w:t xml:space="preserve">Journal of the American Medical Informatics Association</w:t>
      </w:r>
      <w:r>
        <w:t xml:space="preserve">, 25(3):230–238, 2018. doi:10.1093/jamia/ocx079.</w:t>
      </w:r>
    </w:p>
    <w:p>
      <w:pPr>
        <w:pStyle w:val="BodyText"/>
      </w:pPr>
      <w:r>
        <w:t xml:space="preserve">[39] Remco Bloemen, Leonid Logvinov, and Jacob Evans. EIP-712: Typed structured data hashing and signing. Ethereum Improvement Proposals, 2017. https://eips.ethereum.org/EIPS/eip-712.</w:t>
      </w:r>
    </w:p>
    <w:p>
      <w:pPr>
        <w:pStyle w:val="BodyText"/>
      </w:pPr>
      <w:r>
        <w:t xml:space="preserve">[40] ERC-5484: Consensual Soulbound Tokens. Ethereum Improvement Proposals, 2022. https://eips.ethereum.org/EIPS/eip-5484.</w:t>
      </w:r>
    </w:p>
    <w:p>
      <w:pPr>
        <w:pStyle w:val="BodyText"/>
      </w:pPr>
      <w:r>
        <w:t xml:space="preserve">[41] W3C. Decentralized Identifiers (DIDs) v1.0. W3C Recommendation, 2022. https://www.w3.org/TR/did-core/.</w:t>
      </w:r>
    </w:p>
    <w:p>
      <w:pPr>
        <w:pStyle w:val="BodyText"/>
      </w:pPr>
      <w:r>
        <w:t xml:space="preserve">[42] W3C. Verifiable Credentials Data Model v2.0. W3C Recommendation, 2025. https://www.w3.org/TR/vc-data-model-2.0/.</w:t>
      </w:r>
    </w:p>
    <w:p>
      <w:pPr>
        <w:pStyle w:val="GreenFixPara"/>
      </w:pPr>
      <w:r>
        <w:rPr>
          <w:rStyle w:val="GreenFix"/>
        </w:rPr>
        <w:t xml:space="preserve">[43] Isabel Román, Jorge Calvillo-Arbizu, Vicente Mayor, Germán Madinabeitia-Luque, Antonio Estepa, and Rafael Estepa. Blockchain-based service-oriented architecture for consent management, access control, and auditing.</w:t>
      </w:r>
      <w:r>
        <w:rPr>
          <w:rStyle w:val="GreenFix"/>
        </w:rPr>
        <w:t xml:space="preserve"> </w:t>
      </w:r>
      <w:r>
        <w:rPr>
          <w:rStyle w:val="GreenFix"/>
          <w:i/>
          <w:iCs/>
        </w:rPr>
        <w:t xml:space="preserve">IEEE Access</w:t>
      </w:r>
      <w:r>
        <w:rPr>
          <w:rStyle w:val="GreenFix"/>
        </w:rPr>
        <w:t xml:space="preserve">, 11:12727–12741, 2023. doi:10.1109/ACCESS.2023.3242605.</w:t>
      </w:r>
    </w:p>
    <w:p>
      <w:pPr>
        <w:pStyle w:val="GreenFixPara"/>
      </w:pPr>
      <w:r>
        <w:rPr>
          <w:rStyle w:val="GreenFix"/>
        </w:rPr>
        <w:t xml:space="preserve">[44] Kheng-Leong Tan, Chi-Hung Chi, and Kwok-Yan Lam. Secure and privacy-preserving sharing of personal health records with multi-party pre-authorization verification.</w:t>
      </w:r>
      <w:r>
        <w:rPr>
          <w:rStyle w:val="GreenFix"/>
        </w:rPr>
        <w:t xml:space="preserve"> </w:t>
      </w:r>
      <w:r>
        <w:rPr>
          <w:rStyle w:val="GreenFix"/>
          <w:i/>
          <w:iCs/>
        </w:rPr>
        <w:t xml:space="preserve">Wireless Networks</w:t>
      </w:r>
      <w:r>
        <w:rPr>
          <w:rStyle w:val="GreenFix"/>
        </w:rPr>
        <w:t xml:space="preserve">, 30:4773–4795, 2024. doi:10.1007/s11276-022-03114-6.</w:t>
      </w:r>
    </w:p>
    <w:p>
      <w:pPr>
        <w:pStyle w:val="GreenFixPara"/>
      </w:pPr>
      <w:r>
        <w:rPr>
          <w:rStyle w:val="GreenFix"/>
        </w:rPr>
        <w:t xml:space="preserve">[45] Cindy Welzel, Max Ostermann, H. Jeff Smith, Timo Minssen, Toralf Kirsten, and Stephen Gilbert. Enabling secure and self determined health data sharing and consent management.</w:t>
      </w:r>
      <w:r>
        <w:rPr>
          <w:rStyle w:val="GreenFix"/>
        </w:rPr>
        <w:t xml:space="preserve"> </w:t>
      </w:r>
      <w:r>
        <w:rPr>
          <w:rStyle w:val="GreenFix"/>
          <w:i/>
          <w:iCs/>
        </w:rPr>
        <w:t xml:space="preserve">npj Digital Medicine</w:t>
      </w:r>
      <w:r>
        <w:rPr>
          <w:rStyle w:val="GreenFix"/>
        </w:rPr>
        <w:t xml:space="preserve">, 8:560, 2025. doi:10.1038/s41746-025-01945-z.</w:t>
      </w:r>
    </w:p>
    <w:p>
      <w:pPr>
        <w:pStyle w:val="GreenFixPara"/>
      </w:pPr>
      <w:r>
        <w:rPr>
          <w:rStyle w:val="GreenFix"/>
        </w:rPr>
        <w:t xml:space="preserve">[46] Faheem Ullah, Jingsha He, Nafei Zhu, Ahsan Wajahat, Ahsan Nazir, Sirajuddin Qureshi, Muhammad Salman Pathan, and Soumyabrata Dev. Blockchain-enabled EHR access auditing: Enhancing healthcare data security.</w:t>
      </w:r>
      <w:r>
        <w:rPr>
          <w:rStyle w:val="GreenFix"/>
        </w:rPr>
        <w:t xml:space="preserve"> </w:t>
      </w:r>
      <w:r>
        <w:rPr>
          <w:rStyle w:val="GreenFix"/>
          <w:i/>
          <w:iCs/>
        </w:rPr>
        <w:t xml:space="preserve">Heliyon</w:t>
      </w:r>
      <w:r>
        <w:rPr>
          <w:rStyle w:val="GreenFix"/>
        </w:rPr>
        <w:t xml:space="preserve">, 10(16):e34407, 2024. doi:10.1016/j.heliyon.2024.e34407.</w:t>
      </w:r>
    </w:p>
    <w:p>
      <w:pPr>
        <w:pStyle w:val="GreenFixPara"/>
      </w:pPr>
      <w:r>
        <w:rPr>
          <w:rStyle w:val="GreenFix"/>
        </w:rPr>
        <w:t xml:space="preserve">[47] Nadeem Yaqub, Jianbiao Zhang, Muhammad Irfan Khalid, Weiru Wang, Markus Helfert, Mansoor Ahmed, and Jungsuk Kim. Blockchain enabled policy-based access control mechanism to restrict unauthorized access to electronic health records.</w:t>
      </w:r>
      <w:r>
        <w:rPr>
          <w:rStyle w:val="GreenFix"/>
        </w:rPr>
        <w:t xml:space="preserve"> </w:t>
      </w:r>
      <w:r>
        <w:rPr>
          <w:rStyle w:val="GreenFix"/>
          <w:i/>
          <w:iCs/>
        </w:rPr>
        <w:t xml:space="preserve">PeerJ Computer Science</w:t>
      </w:r>
      <w:r>
        <w:rPr>
          <w:rStyle w:val="GreenFix"/>
        </w:rPr>
        <w:t xml:space="preserve">, 11:e2647, 2025. doi:10.7717/peerj-cs.2647.</w:t>
      </w:r>
    </w:p>
    <w:bookmarkEnd w:id="40"/>
    <w:sectPr>
      <w:footnotePr>
        <w:numRestart w:val="eachSect"/>
      </w:footnotePr>
      <w:pgSz w:h="16838" w:w="11906"/>
      <w:pgMar w:bottom="1417" w:footer="709" w:gutter="0" w:header="709"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76" w:lineRule="auto"/>
    </w:pPr>
    <w:rPr>
      <w:rFonts w:ascii="Times New Roman" w:cs="Times New Roman" w:eastAsia="Times New Roman" w:hAnsi="Times New Roman"/>
      <w:sz w:val="24"/>
    </w:rPr>
  </w:style>
  <w:style w:styleId="BodyText" w:type="paragraph">
    <w:name w:val="Body Text"/>
    <w:basedOn w:val="Normal"/>
    <w:link w:val="BodyTextChar"/>
    <w:qFormat/>
    <w:pPr>
      <w:spacing w:after="120" w:before="0" w:line="276" w:lineRule="auto"/>
      <w:jc w:val="both"/>
    </w:pPr>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120" w:before="0" w:line="276" w:lineRule="auto"/>
      <w:jc w:val="both"/>
    </w:pPr>
    <w:rPr>
      <w:rFonts w:ascii="Times New Roman" w:cs="Times New Roman" w:eastAsia="Times New Roman" w:hAnsi="Times New Roman"/>
      <w:sz w:val="24"/>
    </w:rPr>
  </w:style>
  <w:style w:customStyle="1" w:styleId="Compact" w:type="paragraph">
    <w:name w:val="Compact"/>
    <w:basedOn w:val="BodyText"/>
    <w:qFormat/>
    <w:pPr>
      <w:spacing w:after="120" w:before="0" w:line="276" w:lineRule="auto"/>
    </w:pPr>
    <w:rPr>
      <w:rFonts w:ascii="Times New Roman" w:cs="Times New Roman" w:eastAsia="Times New Roman" w:hAnsi="Times New Roman"/>
      <w:sz w:val="24"/>
    </w:rPr>
  </w:style>
  <w:style w:styleId="Title" w:type="paragraph">
    <w:name w:val="Title"/>
    <w:basedOn w:val="Normal"/>
    <w:next w:val="BodyText"/>
    <w:link w:val="TitleChar"/>
    <w:uiPriority w:val="10"/>
    <w:qFormat/>
    <w:rsid w:val="00A10FD9"/>
    <w:pPr>
      <w:spacing w:after="720" w:before="2400" w:line="240" w:lineRule="auto"/>
      <w:contextualSpacing/>
      <w:jc w:val="center"/>
    </w:pPr>
    <w:rPr>
      <w:rFonts w:ascii="Times New Roman" w:cs="Times New Roman" w:eastAsia="Times New Roman" w:hAnsi="Times New Roman"/>
      <w:b/>
      <w:color w:val="000000"/>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pPr>
    <w:rPr>
      <w:rFonts w:ascii="Times New Roman" w:cs="Times New Roman" w:eastAsia="Times New Roman" w:hAnsi="Times New Roman"/>
      <w:b/>
      <w:i w:val="0"/>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360"/>
      <w:outlineLvl w:val="0"/>
    </w:pPr>
    <w:rPr>
      <w:rFonts w:ascii="Times New Roman" w:cs="Times New Roman" w:eastAsia="Times New Roman" w:hAnsi="Times New Roman"/>
      <w:b/>
      <w:i w:val="0"/>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40"/>
      <w:outlineLvl w:val="1"/>
    </w:pPr>
    <w:rPr>
      <w:rFonts w:ascii="Times New Roman" w:cs="Times New Roman" w:eastAsia="Times New Roman" w:hAnsi="Times New Roman"/>
      <w:b/>
      <w:i w:val="0"/>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20" w:before="240"/>
      <w:outlineLvl w:val="2"/>
    </w:pPr>
    <w:rPr>
      <w:rFonts w:ascii="Times New Roman" w:cs="Times New Roman" w:eastAsia="Times New Roman" w:hAnsi="Times New Roman"/>
      <w:b/>
      <w:i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0" w:line="276" w:lineRule="auto"/>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cs="Times New Roman" w:eastAsia="Times New Roman" w:hAnsi="Times New Roman"/>
      <w:sz w:val="20"/>
    </w:rPr>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108"/>
        <w:bottom w:type="dxa" w:w="4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00" w:before="0"/>
      <w:jc w:val="center"/>
    </w:pPr>
    <w:rPr>
      <w:rFonts w:ascii="Times New Roman" w:cs="Times New Roman" w:eastAsia="Times New Roman" w:hAnsi="Times New Roman"/>
      <w:b w:val="0"/>
      <w:i w:val="0"/>
      <w:color w:val="000000"/>
      <w:sz w:val="22"/>
    </w:rPr>
  </w:style>
  <w:style w:customStyle="1" w:styleId="TableCaption" w:type="paragraph">
    <w:name w:val="Table Caption"/>
    <w:basedOn w:val="Caption"/>
    <w:pPr>
      <w:keepNext/>
      <w:spacing w:after="200"/>
      <w:jc w:val="center"/>
    </w:pPr>
    <w:rPr>
      <w:rFonts w:ascii="Times New Roman" w:cs="Times New Roman" w:eastAsia="Times New Roman" w:hAnsi="Times New Roman"/>
      <w:b w:val="0"/>
      <w:i w:val="0"/>
      <w:color w:val="000000"/>
      <w:sz w:val="22"/>
    </w:rPr>
  </w:style>
  <w:style w:customStyle="1" w:styleId="ImageCaption" w:type="paragraph">
    <w:name w:val="Image Caption"/>
    <w:basedOn w:val="Caption"/>
    <w:pPr>
      <w:spacing w:after="200"/>
      <w:jc w:val="center"/>
    </w:pPr>
    <w:rPr>
      <w:rFonts w:ascii="Times New Roman" w:cs="Times New Roman" w:eastAsia="Times New Roman" w:hAnsi="Times New Roman"/>
      <w:b w:val="0"/>
      <w:i w:val="0"/>
      <w:color w:val="000000"/>
      <w:sz w:val="22"/>
    </w:rPr>
  </w:style>
  <w:style w:customStyle="1" w:styleId="Figure" w:type="paragraph">
    <w:name w:val="Figure"/>
    <w:basedOn w:val="Normal"/>
    <w:pPr>
      <w:jc w:val="center"/>
    </w:pPr>
  </w:style>
  <w:style w:customStyle="1" w:styleId="CaptionedFigure" w:type="paragraph">
    <w:name w:val="Captioned Figure"/>
    <w:basedOn w:val="Figure"/>
    <w:pPr>
      <w:keepNext/>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Algorithm" w:type="paragraph">
    <w:name w:val="Algorithm"/>
    <w:basedOn w:val="BodyText"/>
    <w:pPr>
      <w:pBdr>
        <w:top w:color="000000" w:space="4" w:sz="6" w:val="single"/>
        <w:left w:color="000000" w:space="4" w:sz="6" w:val="single"/>
        <w:bottom w:color="000000" w:space="4" w:sz="6" w:val="single"/>
        <w:right w:color="000000" w:space="4" w:sz="6" w:val="single"/>
      </w:pBdr>
      <w:spacing w:after="0" w:line="240" w:lineRule="auto"/>
      <w:jc w:val="left"/>
    </w:pPr>
    <w:rPr>
      <w:rFonts w:ascii="Times New Roman" w:cs="Times New Roman" w:eastAsia="Times New Roman" w:hAnsi="Times New Roman"/>
      <w:sz w:val="22"/>
    </w:rPr>
  </w:style>
  <w:style w:customStyle="1" w:styleId="DeletedText" w:type="character">
    <w:name w:val="Deleted Text"/>
    <w:rPr>
      <w:strike/>
      <w:color w:val="C00000"/>
    </w:rPr>
  </w:style>
  <w:style w:customStyle="1" w:styleId="InsertedText" w:type="character">
    <w:name w:val="Inserted Text"/>
    <w:rPr>
      <w:color w:val="C00000"/>
    </w:rPr>
  </w:style>
  <w:style w:customStyle="1" w:styleId="ReviewerNote" w:type="character">
    <w:name w:val="Reviewer Note"/>
    <w:rPr>
      <w:i/>
      <w:color w:val="C00000"/>
      <w:shd w:color="auto" w:fill="FFF2A8" w:val="clear"/>
    </w:rPr>
  </w:style>
  <w:style w:customStyle="1" w:styleId="DeletedPara" w:type="paragraph">
    <w:name w:val="Deleted Para"/>
    <w:basedOn w:val="BodyText"/>
    <w:rPr>
      <w:rFonts w:ascii="Times New Roman" w:cs="Times New Roman" w:eastAsia="Times New Roman" w:hAnsi="Times New Roman"/>
      <w:color w:val="C00000"/>
      <w:sz w:val="24"/>
    </w:rPr>
  </w:style>
  <w:style w:customStyle="1" w:styleId="InsertedPara" w:type="paragraph">
    <w:name w:val="Inserted Para"/>
    <w:basedOn w:val="BodyText"/>
    <w:rPr>
      <w:rFonts w:ascii="Times New Roman" w:cs="Times New Roman" w:eastAsia="Times New Roman" w:hAnsi="Times New Roman"/>
      <w:color w:val="C00000"/>
      <w:sz w:val="24"/>
    </w:rPr>
  </w:style>
  <w:style w:customStyle="1" w:styleId="ReviewerNotePara" w:type="paragraph">
    <w:name w:val="Reviewer Note Para"/>
    <w:basedOn w:val="BodyText"/>
    <w:rPr>
      <w:rFonts w:ascii="Times New Roman" w:cs="Times New Roman" w:eastAsia="Times New Roman" w:hAnsi="Times New Roman"/>
      <w:color w:val="C00000"/>
      <w:sz w:val="22"/>
    </w:rPr>
  </w:style>
  <w:style w:customStyle="1" w:styleId="GreenDelete" w:type="character">
    <w:name w:val="Green Delete"/>
    <w:rPr>
      <w:strike/>
      <w:color w:val="00803C"/>
    </w:rPr>
  </w:style>
  <w:style w:customStyle="1" w:styleId="GreenFix" w:type="character">
    <w:name w:val="Green Fix"/>
    <w:rPr>
      <w:color w:val="00803C"/>
    </w:rPr>
  </w:style>
  <w:style w:customStyle="1" w:styleId="BlueAdd" w:type="character">
    <w:name w:val="Blue Add"/>
    <w:rPr>
      <w:color w:val="0050C8"/>
    </w:rPr>
  </w:style>
  <w:style w:customStyle="1" w:styleId="GreenDeletePara" w:type="paragraph">
    <w:name w:val="Green Delete Para"/>
    <w:basedOn w:val="BodyText"/>
    <w:rPr>
      <w:rFonts w:ascii="Times New Roman" w:cs="Times New Roman" w:eastAsia="Times New Roman" w:hAnsi="Times New Roman"/>
      <w:color w:val="00803C"/>
      <w:sz w:val="24"/>
    </w:rPr>
  </w:style>
  <w:style w:customStyle="1" w:styleId="GreenFixPara" w:type="paragraph">
    <w:name w:val="Green Fix Para"/>
    <w:basedOn w:val="BodyText"/>
    <w:rPr>
      <w:rFonts w:ascii="Times New Roman" w:cs="Times New Roman" w:eastAsia="Times New Roman" w:hAnsi="Times New Roman"/>
      <w:color w:val="00803C"/>
      <w:sz w:val="24"/>
    </w:rPr>
  </w:style>
  <w:style w:customStyle="1" w:styleId="BlueAddPara" w:type="paragraph">
    <w:name w:val="Blue Add Para"/>
    <w:basedOn w:val="BodyText"/>
    <w:rPr>
      <w:rFonts w:ascii="Times New Roman" w:cs="Times New Roman" w:eastAsia="Times New Roman" w:hAnsi="Times New Roman"/>
      <w:color w:val="0050C8"/>
      <w:sz w:val="24"/>
    </w:rPr>
  </w:style>
  <w:style w:customStyle="1" w:styleId="PinkDelete" w:type="character">
    <w:name w:val="Pink Delete"/>
    <w:rPr>
      <w:strike/>
      <w:color w:val="D6008A"/>
    </w:rPr>
  </w:style>
  <w:style w:customStyle="1" w:styleId="PinkFix" w:type="character">
    <w:name w:val="Pink Fix"/>
    <w:rPr>
      <w:color w:val="D6008A"/>
    </w:rPr>
  </w:style>
  <w:style w:customStyle="1" w:styleId="PinkDeletePara" w:type="paragraph">
    <w:name w:val="Pink Delete Para"/>
    <w:basedOn w:val="BodyText"/>
    <w:rPr>
      <w:rFonts w:ascii="Times New Roman" w:cs="Times New Roman" w:eastAsia="Times New Roman" w:hAnsi="Times New Roman"/>
      <w:color w:val="D6008A"/>
      <w:sz w:val="24"/>
    </w:rPr>
  </w:style>
  <w:style w:customStyle="1" w:styleId="PinkFixPara" w:type="paragraph">
    <w:name w:val="Pink Fix Para"/>
    <w:basedOn w:val="BodyText"/>
    <w:rPr>
      <w:rFonts w:ascii="Times New Roman" w:cs="Times New Roman" w:eastAsia="Times New Roman" w:hAnsi="Times New Roman"/>
      <w:color w:val="D6008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2026-09-29T06:38:45Z</dcterms:created>
  <dcterms:modified xsi:type="dcterms:W3CDTF">2026-09-29T06:38:45Z</dcterms:modified>
</cp:coreProperties>
</file>

<file path=docProps/custom.xml><?xml version="1.0" encoding="utf-8"?>
<Properties xmlns="http://schemas.openxmlformats.org/officeDocument/2006/custom-properties" xmlns:vt="http://schemas.openxmlformats.org/officeDocument/2006/docPropsVTypes"/>
</file>