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16].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[13, 29,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[11, 18, 20].</w:t>
      </w:r>
    </w:p>
    <w:p>
      <w:pPr>
        <w:pStyle w:val="BodyText"/>
      </w:pPr>
      <w:r>
        <w:t xml:space="preserve">Traditional access-control architectures are commonly based on centralised identity providers, institution-specific authentication systems, and relatively static permission-management mechanisms [10, 21, 26].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[8, 29].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[3, 4, 7]. More broadly, blockchain-based approaches have demonstrated the potential to improve the integrity, transparency, and traceability of decentralised data-management processes [2, 22].</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[35]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[14, 17].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t xml:space="preserve">1.4 Structure of the Report</w:t>
      </w:r>
    </w:p>
    <w:p>
      <w:pPr>
        <w:pStyle w:val="FirstParagraph"/>
      </w:pPr>
      <w: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MVC-based research architecture, and Chapter 6 presents the proposed solution for each objective through its workflow, procedure and algorithm. Chapter 7 presents the HALAH prototype, its four subsystems, the mapping to the source code, the automated test evidence and the on-chain evidence. Chapter 8 reports the progress of each objective, Chapter 9 summarises the publication plan and Chapter 10 sets out the research plan for the next stage.</w:t>
      </w:r>
    </w:p>
    <w:bookmarkEnd w:id="12"/>
    <w:bookmarkEnd w:id="13"/>
    <w:bookmarkStart w:id="44" w:name="X8d950ebaf958e7860fc944fc7601a3578d63a09"/>
    <w:p>
      <w:pPr>
        <w:pStyle w:val="Heading1"/>
      </w:pPr>
      <w:r>
        <w:t xml:space="preserve">2 A Systematic Literature Review</w:t>
      </w:r>
    </w:p>
    <w:bookmarkStart w:id="14" w:name="overview-introduction"/>
    <w:p>
      <w:pPr>
        <w:pStyle w:val="Heading2"/>
      </w:pPr>
      <w:r>
        <w:t xml:space="preserve">2.1</w:t>
      </w:r>
      <w:r>
        <w:t xml:space="preserve"> </w:t>
      </w:r>
      <w:r>
        <w:t xml:space="preserve"> </w:t>
      </w:r>
      <w: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[11, 13, 18, 20, 24, 29, 30]. Blockchain-based data-governance research has investigated immutable records, distributed auditability, and decentralised consent management [3, 4, 7, 22]. Research on decentralised identity and verifiable credentials has developed mechanisms for self-controlled identity representation, credential verification, selective disclosure, and privacy-preserving authentication [5, 6, 15, 17, 23, 33]. Access-control research has further investigated role-based, attribute-based, risk-aware, and usage-control approaches for protecting sensitive healthcare information [10, 21, 26, 28, 31, 32].</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objective of this chapter is therefore to examine, through a systematic literature review, how far the existing approaches satisfy the conditions of a trustworthy authorisation decision and where the gap addressed by the proposed framework lies.</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14"/>
    <w:bookmarkStart w:id="20"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[34], the</w:t>
      </w:r>
      <w:r>
        <w:t xml:space="preserve"> </w:t>
      </w:r>
      <w:r>
        <w:rPr>
          <w:i/>
          <w:iCs/>
        </w:rPr>
        <w:t xml:space="preserve">My Health Records Act 2012</w:t>
      </w:r>
      <w:r>
        <w:t xml:space="preserve"> </w:t>
      </w:r>
      <w:r>
        <w:t xml:space="preserve">[35] and the</w:t>
      </w:r>
      <w:r>
        <w:t xml:space="preserve"> </w:t>
      </w:r>
      <w:r>
        <w:rPr>
          <w:i/>
          <w:iCs/>
        </w:rPr>
        <w:t xml:space="preserve">Healthcare Identifiers Act 2010</w:t>
      </w:r>
      <w:r>
        <w:t xml:space="preserve"> </w:t>
      </w:r>
      <w:r>
        <w:t xml:space="preserve">[36]. They form the basis on which the shortlisted studies are compared in Section 2.4 and against which the research gaps are stated in Section 2.5.</w:t>
      </w:r>
    </w:p>
    <w:bookmarkStart w:id="15"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[9], dynamic consent models [12, 20] and the legal conditions of valid consent [18] all point in this direction, but they stop at recording consent rather than making it evaluable. Blockchain-backed architectures that execute and audit consents [24] and self-determined consent frameworks [30] add enforcement and tracking, yet they still act on the consent record rather than on an evaluation of the request.</w:t>
      </w:r>
    </w:p>
    <w:bookmarkEnd w:id="15"/>
    <w:bookmarkStart w:id="16"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[5, 17], and the</w:t>
      </w:r>
      <w:r>
        <w:t xml:space="preserve"> </w:t>
      </w:r>
      <w:r>
        <w:rPr>
          <w:i/>
          <w:iCs/>
        </w:rPr>
        <w:t xml:space="preserve">Healthcare Identifiers Act 2010</w:t>
      </w:r>
      <w:r>
        <w:t xml:space="preserve"> </w:t>
      </w:r>
      <w:r>
        <w:t xml:space="preserve">already gives every provider and individual a persistent identifier [36]. The second step is frequently overlooked: a valid credential shows that a person is, for example, a registered practitioner or a legal guardian [29],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[29].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[5], multi-party governance of data trusts [16] and threshold-based pre-authorisation of record access [25] provide building blocks, but none treats the approval threshold as a verifiable condition attached to the consent itself.</w:t>
      </w:r>
    </w:p>
    <w:bookmarkEnd w:id="17"/>
    <w:bookmarkStart w:id="18"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[10, 21, 26, 28, 31, 32],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22, 28], and dynamic identity systems handle revocation at the identity level [33]; the fifth requirement is that the same properties hold for the consent object and for the authorisation decisions made on it.</w:t>
      </w:r>
    </w:p>
    <w:p>
      <w:pPr>
        <w:pStyle w:val="BodyText"/>
      </w:pPr>
      <w: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9"/>
    <w:bookmarkEnd w:id="20"/>
    <w:bookmarkStart w:id="33" w:name="Xc890dc5c16727df01c4dec67a5cc738423fdfed"/>
    <w:p>
      <w:pPr>
        <w:pStyle w:val="Heading2"/>
      </w:pPr>
      <w:r>
        <w:t xml:space="preserve"> </w:t>
      </w:r>
      <w:r>
        <w:t xml:space="preserve">2.3</w:t>
      </w:r>
      <w:r>
        <w:t xml:space="preserve"> </w:t>
      </w:r>
      <w:r>
        <w:t xml:space="preserve"> </w:t>
      </w:r>
      <w: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2.2.Consistent with the four-step approach adopted in this research group, the process is reported as searching the literature (Step 1), applying inclusion and exclusion criteria (Step 2), evaluating quality (Step 3) and extracting and categorising the data (Step 4).</w:t>
      </w:r>
    </w:p>
    <w:bookmarkStart w:id="21" w:name="review-design-and-reporting-framework"/>
    <w:p>
      <w:pPr>
        <w:pStyle w:val="Heading3"/>
      </w:pPr>
      <w:r>
        <w:t xml:space="preserve"> </w:t>
      </w: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21"/>
    <w:bookmarkStart w:id="22" w:name="questions-for-review"/>
    <w:p>
      <w:pPr>
        <w:pStyle w:val="Heading3"/>
      </w:pPr>
      <w:r>
        <w:t xml:space="preserve"> </w:t>
      </w:r>
      <w:r>
        <w:t xml:space="preserve">2.3.2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t xml:space="preserve"> </w:t>
      </w:r>
      <w:r>
        <w:t xml:space="preserve">2.3.3</w:t>
      </w:r>
      <w:r>
        <w:t xml:space="preserve"> </w:t>
      </w:r>
      <w:r>
        <w:t xml:space="preserve"> </w:t>
      </w:r>
      <w: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digital object identifier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one earlier policy statement [29] was retained as a foundational source, as explained in Section 2.3.4.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S9, S11</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S13, S21</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S12</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S30</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14</w:t>
            </w:r>
          </w:p>
        </w:tc>
        <w:tc>
          <w:tcPr/>
          <w:p>
            <w:pPr>
              <w:pStyle w:val="Compact"/>
              <w:jc w:val="left"/>
            </w:pPr>
            <w:r>
              <w:t xml:space="preserve">Applied Sciences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S19</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Digital Health</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22</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S7</w:t>
            </w:r>
          </w:p>
        </w:tc>
      </w:tr>
      <w:tr>
        <w:trPr>
          <w:cantSplit/>
        </w:trPr>
        <w:tc>
          <w:tcPr/>
          <w:p>
            <w:pPr>
              <w:pStyle w:val="Compact"/>
              <w:jc w:val="left"/>
            </w:pPr>
            <w:r>
              <w:t xml:space="preserve">23</w:t>
            </w:r>
          </w:p>
        </w:tc>
        <w:tc>
          <w:tcPr/>
          <w:p>
            <w:pPr>
              <w:pStyle w:val="Compact"/>
              <w:jc w:val="left"/>
            </w:pPr>
            <w:r>
              <w:t xml:space="preserve">Strategic Change</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24</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25</w:t>
            </w:r>
          </w:p>
        </w:tc>
        <w:tc>
          <w:tcPr/>
          <w:p>
            <w:pPr>
              <w:pStyle w:val="Compact"/>
              <w:jc w:val="left"/>
            </w:pPr>
            <w:r>
              <w:t xml:space="preserve">Pediatrics</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S10</w:t>
            </w:r>
          </w:p>
        </w:tc>
      </w:tr>
      <w:tr>
        <w:trPr>
          <w:cantSplit/>
        </w:trPr>
        <w:tc>
          <w:tcPr/>
          <w:p>
            <w:pPr>
              <w:pStyle w:val="Compact"/>
              <w:jc w:val="left"/>
            </w:pPr>
            <w:r>
              <w:t xml:space="preserve">27</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28</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29</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30</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6"/>
    <w:bookmarkStart w:id="27" w:name="X87f2157b1356acc42089dadf522cb794d6b8b71"/>
    <w:p>
      <w:pPr>
        <w:pStyle w:val="Heading3"/>
      </w:pPr>
      <w:r>
        <w:t xml:space="preserve"> </w:t>
      </w:r>
      <w:r>
        <w:t xml:space="preserve">2.3.4</w:t>
      </w:r>
      <w:r>
        <w:t xml:space="preserve"> </w:t>
      </w:r>
      <w:r>
        <w:t xml:space="preserve"> </w:t>
      </w:r>
      <w: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four studies from outside the healthcare domain were retained because the mechanism they contribute transfers directly to healthcare authorisation: decentralised trust in multi-stakeholder data sharing [1], DID/VC-based privacy-preserving authentication [23], and decentralised identity and access control for constrained devices [14, 15]. Studies whose subject matter lies outside healthcare data sharing, consent, identity or access control were excluded at the full-text stage as scope mismatches (Figure 2.2). One book chapter [15] was retained under the exception to exclusion criterion 3 because it provides a foundational overview of decentralised identity, and one earlier policy statement [29] (2019) was retained as a foundational healthcare source on guardian and proxy access to electronic health records, as permitted in Section 2.3.3.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7"/>
    <w:bookmarkStart w:id="31" w:name="Xd7a82ff4baa7a69a0bd33db9f9a267ef3c07ad5"/>
    <w:p>
      <w:pPr>
        <w:pStyle w:val="Heading3"/>
      </w:pPr>
      <w:r>
        <w:t xml:space="preserve"> </w:t>
      </w:r>
      <w:r>
        <w:t xml:space="preserve">2.3.5</w:t>
      </w:r>
      <w:r>
        <w:t xml:space="preserve"> </w:t>
      </w:r>
      <w:r>
        <w:t xml:space="preserve"> </w:t>
      </w:r>
      <w: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 for this review, prepared following PRISMA 2020 [37], which summarises 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31"/>
    <w:bookmarkStart w:id="32" w:name="X25280fe26ef60600cfdb60dc4ea4fc7d14be763"/>
    <w:p>
      <w:pPr>
        <w:pStyle w:val="Heading3"/>
      </w:pPr>
      <w:r>
        <w:t xml:space="preserve"> </w:t>
      </w:r>
      <w:r>
        <w:t xml:space="preserve">2.3.6</w:t>
      </w:r>
      <w:r>
        <w:t xml:space="preserve"> </w:t>
      </w:r>
      <w:r>
        <w:t xml:space="preserve"> </w:t>
      </w:r>
      <w: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[8]</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[9]</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Kaplow et al., 2024 [11]</w:t>
            </w:r>
          </w:p>
        </w:tc>
        <w:tc>
          <w:tcPr/>
          <w:p>
            <w:pPr>
              <w:pStyle w:val="Compact"/>
              <w:jc w:val="left"/>
            </w:pPr>
            <w:r>
              <w:t xml:space="preserve">Data professionals’ attitudes on data privacy, sharing, and consent in healthcare and research</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Khalid et al., 2023 [12]</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Kharlamov et al., 2023 [13]</w:t>
            </w:r>
          </w:p>
        </w:tc>
        <w:tc>
          <w:tcPr/>
          <w:p>
            <w:pPr>
              <w:pStyle w:val="Compact"/>
              <w:jc w:val="left"/>
            </w:pPr>
            <w:r>
              <w:t xml:space="preserve">Data sharing decisions: perceptions and intentions in healthcare</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McClelland and Harper, 2022 [18]</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Narkhede et al., 2025 [20]</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Webber et al., 2019 [29]</w:t>
            </w:r>
          </w:p>
        </w:tc>
        <w:tc>
          <w:tcPr/>
          <w:p>
            <w:pPr>
              <w:pStyle w:val="Compact"/>
              <w:jc w:val="left"/>
            </w:pPr>
            <w:r>
              <w:t xml:space="preserve">Electronic communication of the health record with paediatric patients and their guardians</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Román et al., 2023 [24]</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Welzel et al., 2025 [30]</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S11</w:t>
            </w:r>
          </w:p>
        </w:tc>
        <w:tc>
          <w:tcPr/>
          <w:p>
            <w:pPr>
              <w:pStyle w:val="Compact"/>
              <w:jc w:val="left"/>
            </w:pPr>
            <w:r>
              <w:t xml:space="preserve">Al Mamun et al., 2022 [2]</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Andrew et al., 2023 [3]</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Arbabi et al., 2023 [4]</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Ghosh et al., 2023 [7]</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Nguyen et al., 2025 [22]</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S16</w:t>
            </w:r>
          </w:p>
        </w:tc>
        <w:tc>
          <w:tcPr/>
          <w:p>
            <w:pPr>
              <w:pStyle w:val="Compact"/>
              <w:jc w:val="left"/>
            </w:pPr>
            <w:r>
              <w:t xml:space="preserve">Theodorakopoulos et al., 2024 [27]</w:t>
            </w:r>
          </w:p>
        </w:tc>
        <w:tc>
          <w:tcPr/>
          <w:p>
            <w:pPr>
              <w:pStyle w:val="Compact"/>
              <w:jc w:val="left"/>
            </w:pPr>
            <w:r>
              <w:t xml:space="preserve">Enhancing decentralised decision-making with big data and blockchain technology</w:t>
            </w:r>
          </w:p>
        </w:tc>
        <w:tc>
          <w:tcPr/>
          <w:p>
            <w:pPr>
              <w:pStyle w:val="Compact"/>
              <w:jc w:val="left"/>
            </w:pPr>
            <w:r>
              <w:t xml:space="preserve">Blockchain-based healthcare data governance</w:t>
            </w:r>
          </w:p>
        </w:tc>
      </w:tr>
      <w:tr>
        <w:trPr>
          <w:cantSplit/>
        </w:trPr>
        <w:tc>
          <w:tcPr/>
          <w:p>
            <w:pPr>
              <w:pStyle w:val="Compact"/>
              <w:jc w:val="left"/>
            </w:pPr>
            <w:r>
              <w:t xml:space="preserve">S17</w:t>
            </w:r>
          </w:p>
        </w:tc>
        <w:tc>
          <w:tcPr/>
          <w:p>
            <w:pPr>
              <w:pStyle w:val="Compact"/>
              <w:jc w:val="left"/>
            </w:pPr>
            <w:r>
              <w:t xml:space="preserve">Deng et al., 2024 [5]</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Flamini et al., 2024 [6]</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Khayer et al., 2025 [14]</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Kyriakidou et al., 2023 [15]</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Mazzocca et al., 2025 [17]</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Parameswarath et al., 2022 [23]</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S23</w:t>
            </w:r>
          </w:p>
        </w:tc>
        <w:tc>
          <w:tcPr/>
          <w:p>
            <w:pPr>
              <w:pStyle w:val="Compact"/>
              <w:jc w:val="left"/>
            </w:pPr>
            <w:r>
              <w:t xml:space="preserve">Yin et al., 2025 [33]</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S24</w:t>
            </w:r>
          </w:p>
        </w:tc>
        <w:tc>
          <w:tcPr/>
          <w:p>
            <w:pPr>
              <w:pStyle w:val="Compact"/>
              <w:jc w:val="left"/>
            </w:pPr>
            <w:r>
              <w:t xml:space="preserve">Ghafoor Abbasi et al., 2025 [1]</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Lomotey et al., 2022 [16]</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Tan et al., 2024 [25]</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S27</w:t>
            </w:r>
          </w:p>
        </w:tc>
        <w:tc>
          <w:tcPr/>
          <w:p>
            <w:pPr>
              <w:pStyle w:val="Compact"/>
              <w:jc w:val="left"/>
            </w:pPr>
            <w:r>
              <w:t xml:space="preserve">Jiang et al., 2023 [10]</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Nazir et al., 2026 [21]</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Tawfik et al., 2025 [26]</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Yin et al., 2024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[28]</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[31]</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[19]</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32"/>
    <w:bookmarkEnd w:id="33"/>
    <w:bookmarkStart w:id="41" w:name="X47a7c0cd3439350f5b2bab0a0c72b8d78bf1bcb"/>
    <w:p>
      <w:pPr>
        <w:pStyle w:val="Heading2"/>
      </w:pPr>
      <w:r>
        <w:t xml:space="preserve"> </w:t>
      </w:r>
      <w:r>
        <w:t xml:space="preserve">2.4</w:t>
      </w:r>
      <w:r>
        <w:t xml:space="preserve"> </w:t>
      </w:r>
      <w:r>
        <w:t xml:space="preserve"> </w:t>
      </w:r>
      <w:r>
        <w:t xml:space="preserve">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t xml:space="preserve"> </w:t>
      </w:r>
      <w:r>
        <w:t xml:space="preserve">2.4.1</w:t>
      </w:r>
      <w:r>
        <w:t xml:space="preserve"> </w:t>
      </w:r>
      <w:r>
        <w:t xml:space="preserve"> </w:t>
      </w:r>
      <w: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[11, 13, 18, 29].</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[20]. At the same time, privacy-preserving interoperability remains difficult because healthcare systems must balance individual autonomy with the operational requirements of clinical care, coordination, and legitimate secondary data use [8].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[12]. Consent receipts and auditable consent records have also been proposed to improve transparency and accountability by providing evidence of how consent was obtained and exercised [9].</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[24], and a self-determined consent framework combines blockchain, self-sovereign identity and de-identified tokens so that consent and data use can be tracked across clinical, app and wearable data [30]. Both act on the consent record; neither evaluates the requester’s authority or a collective approval before the record is applied.</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 [8]</w:t>
            </w:r>
          </w:p>
        </w:tc>
        <w:tc>
          <w:tcPr/>
          <w:p>
            <w:pPr>
              <w:pStyle w:val="Compact"/>
              <w:jc w:val="left"/>
            </w:pPr>
            <w: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 [9]</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 [11]</w:t>
            </w:r>
          </w:p>
        </w:tc>
        <w:tc>
          <w:tcPr/>
          <w:p>
            <w:pPr>
              <w:pStyle w:val="Compact"/>
              <w:jc w:val="left"/>
            </w:pPr>
            <w:r>
              <w:t xml:space="preserve">Survey of people who work with health data in the United States on consent, sharing and privacy; most respondents want complete control over their data and specific consent for each use.</w:t>
            </w:r>
          </w:p>
        </w:tc>
        <w:tc>
          <w:tcPr/>
          <w:p>
            <w:pPr>
              <w:pStyle w:val="Compact"/>
              <w:jc w:val="left"/>
            </w:pPr>
            <w:r>
              <w:t xml:space="preserve">Attitudinal evidence only; no technical model of consent or of the access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S4 [12]</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S5 [13]</w:t>
            </w:r>
          </w:p>
        </w:tc>
        <w:tc>
          <w:tcPr/>
          <w:p>
            <w:pPr>
              <w:pStyle w:val="Compact"/>
              <w:jc w:val="left"/>
            </w:pPr>
            <w:r>
              <w:t xml:space="preserve">Survey-based model (129 NHS respondents) of the intention to share healthcare data; perceived information risk and perceived societal benefit dominate the decision.</w:t>
            </w:r>
          </w:p>
        </w:tc>
        <w:tc>
          <w:tcPr/>
          <w:p>
            <w:pPr>
              <w:pStyle w:val="Compact"/>
              <w:jc w:val="left"/>
            </w:pPr>
            <w:r>
              <w:t xml:space="preserve">Explains why individuals consent, not how consent is represented or enforced.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S6 [18]</w:t>
            </w:r>
          </w:p>
        </w:tc>
        <w:tc>
          <w:tcPr/>
          <w:p>
            <w:pPr>
              <w:pStyle w:val="Compact"/>
              <w:jc w:val="left"/>
            </w:pPr>
            <w:r>
              <w:t xml:space="preserve">Legal analysis of informed consent for the use and disclosure of patient information under the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S7 [20]</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S8 [29]</w:t>
            </w:r>
          </w:p>
        </w:tc>
        <w:tc>
          <w:tcPr/>
          <w:p>
            <w:pPr>
              <w:pStyle w:val="Compact"/>
              <w:jc w:val="left"/>
            </w:pPr>
            <w:r>
              <w:t xml:space="preserve">Policy statement on electronic access to the health record by paediatric patients and their guardians, including proxy access and record segmentation.</w:t>
            </w:r>
          </w:p>
        </w:tc>
        <w:tc>
          <w:tcPr/>
          <w:p>
            <w:pPr>
              <w:pStyle w:val="Compact"/>
              <w:jc w:val="left"/>
            </w:pPr>
            <w:r>
              <w:t xml:space="preserve">Identifies guardian and proxy roles but gives no mechanism for verifying authority or for joint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S9 [24]</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S10 [30]</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4"/>
    <w:bookmarkStart w:id="35" w:name="X2b887499669ea90de256e63d16984e9c6f7f03a"/>
    <w:p>
      <w:pPr>
        <w:pStyle w:val="Heading3"/>
      </w:pPr>
      <w:r>
        <w:t xml:space="preserve"> </w:t>
      </w:r>
      <w:r>
        <w:t xml:space="preserve">2.4.2</w:t>
      </w:r>
      <w:r>
        <w:t xml:space="preserve"> </w:t>
      </w:r>
      <w:r>
        <w:t xml:space="preserve"> </w:t>
      </w:r>
      <w: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[2, 3, 4, 7]. More generally, blockchain has been studied as an infrastructure for trustworthy data sharing and decentralised decision-making across organisational boundaries [22, 27].</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[2, 22].</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[3, 4, 7, 26].</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S11 [2]</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S12 [3]</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S13 [4]</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S14 [7]</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S15 [22]</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S16 [27]</w:t>
            </w:r>
          </w:p>
        </w:tc>
        <w:tc>
          <w:tcPr/>
          <w:p>
            <w:pPr>
              <w:pStyle w:val="Compact"/>
              <w:jc w:val="left"/>
            </w:pPr>
            <w:r>
              <w:t xml:space="preserve">Review of decentralised decision-making with big data and blockchain, including DAO governance and the Estonian healthcare case.</w:t>
            </w:r>
          </w:p>
        </w:tc>
        <w:tc>
          <w:tcPr/>
          <w:p>
            <w:pPr>
              <w:pStyle w:val="Compact"/>
              <w:jc w:val="left"/>
            </w:pPr>
            <w:r>
              <w:t xml:space="preserve">Collective decision-making is discussed at governance level, not as a verifiable condition inside a consent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5"/>
    <w:bookmarkStart w:id="36" w:name="Xce8374abd25737680a0ea224e7b0673254898a7"/>
    <w:p>
      <w:pPr>
        <w:pStyle w:val="Heading3"/>
      </w:pPr>
      <w:r>
        <w:t xml:space="preserve"> </w:t>
      </w:r>
      <w:r>
        <w:t xml:space="preserve">2.4.3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[5, 15, 17, 33].</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[5, 33]. Other studies have examined privacy-preserving authentication and selective disclosure, allowing participants to prove selected attributes without unnecessarily revealing additional information [6, 23].</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attributes.Reviews of blockchain-based identity management for the Internet of Things reach the same conclusion for constrained devices [14, 15].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S17 [5]</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S18 [6]</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S19 [14]</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S20 [15]</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S21 [17]</w:t>
            </w:r>
          </w:p>
        </w:tc>
        <w:tc>
          <w:tcPr/>
          <w:p>
            <w:pPr>
              <w:pStyle w:val="Compact"/>
              <w:jc w:val="left"/>
            </w:pPr>
            <w:r>
              <w:t xml:space="preserve">Comprehensive 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S22 [23]</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S23 [33]</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6"/>
    <w:bookmarkStart w:id="37" w:name="X836fdb855249812e1f666cb0298115c8e62a77c"/>
    <w:p>
      <w:pPr>
        <w:pStyle w:val="Heading3"/>
      </w:pPr>
      <w:r>
        <w:t xml:space="preserve"> </w:t>
      </w:r>
      <w:r>
        <w:t xml:space="preserve">2.4.4</w:t>
      </w:r>
      <w:r>
        <w:t xml:space="preserve"> </w:t>
      </w:r>
      <w:r>
        <w:t xml:space="preserve"> </w:t>
      </w:r>
      <w: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[8, 29].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[16].A decentralised trust framework for multi-stakeholder livestock data sharing shows that controlled exposure to authorised entities can be achieved without a central authority [1]. Decentralised decision-making has also been investigated in combination with blockchain and large-scale data systems [27]. FutureDID further demonstrates that multi-party verification can be incorporated into decentralised identity processes [5].</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[25],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S24 [1]</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S25 [16]</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S26 [25]</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7"/>
    <w:bookmarkStart w:id="38" w:name="X65ac327857ae873d38ffe426701abf3e34d1162"/>
    <w:p>
      <w:pPr>
        <w:pStyle w:val="Heading3"/>
      </w:pPr>
      <w:r>
        <w:t xml:space="preserve"> </w:t>
      </w:r>
      <w:r>
        <w:t xml:space="preserve">2.4.5</w:t>
      </w:r>
      <w:r>
        <w:t xml:space="preserve"> </w:t>
      </w:r>
      <w:r>
        <w:t xml:space="preserve"> </w:t>
      </w:r>
      <w: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[10].</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[21, 26].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[28], and policy-based access control governed by smart contracts allows the subject, controller and requester roles of the GDPR to grant, revoke and inspect access rights [31]. In both cases the purpose is checked against a policy rather than against the purpose the patient consented to.</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S27 [10]</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S28 [21]</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S29 [26]</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S30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S31 [28]</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S32 [31]</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8"/>
    <w:bookmarkStart w:id="39" w:name="X70697d1bf80033494359f9b6207e02cd31d6057"/>
    <w:p>
      <w:pPr>
        <w:pStyle w:val="Heading3"/>
      </w:pPr>
      <w:r>
        <w:t xml:space="preserve"> </w:t>
      </w: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[19].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S33 [19]</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9"/>
    <w:bookmarkStart w:id="40" w:name="X825064b2f9c6a59f6907e485e5a8e31c4a70bee"/>
    <w:p>
      <w:pPr>
        <w:pStyle w:val="Heading3"/>
      </w:pPr>
      <w:r>
        <w:t xml:space="preserve"> </w:t>
      </w: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[9, 11, 12, 13, 18, 20, 24, 29, 30]</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[2, 3, 4, 7, 22, 27]</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[5, 6, 15, 17, 23,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 5, 8, 16, 25, 29]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[10, 21, 26, 28, 31,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[19]</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t xml:space="preserve"> </w:t>
      </w:r>
      <w:r>
        <w:t xml:space="preserve">2.5</w:t>
      </w:r>
      <w:r>
        <w:t xml:space="preserve"> </w:t>
      </w:r>
      <w:r>
        <w:t xml:space="preserve"> </w:t>
      </w:r>
      <w: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S4, S6, S7, S9, S10, S15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(S17, S18, S19, S20, S21, S22, S23), the multi-party and access-control studies S24, S26, S28 and the guardian-access policy statement S8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S16, S17, S25, S26: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(S9, S11, S12, S13, S14, S19, S20, S24, S25,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S4, S9, S10, S11, S12, S13, S14, S15, S16, S23, S24, S27, S29,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In particular, the review defined five key requirements for a trust-oriented consent authorisation framework (Section 2.2) and assessed each of the 28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[38]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2: Research Questions, Research Objectives, and Thesis Chapters (continued: RQ4 current stage; RQ5–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0428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0428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94560" cy="7674568"/>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p>
    <w:p>
      <w:pPr>
        <w:pStyle w:val="BodyText"/>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5.1.</w:t>
      </w:r>
    </w:p>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5.2,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593592" cy="7675998"/>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593592" cy="7675998"/>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6"/>
    <w:bookmarkStart w:id="97"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3008376" cy="7679143"/>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3008376" cy="7679143"/>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3584448" cy="7671816"/>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3584448" cy="7671816"/>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 The system retrieves the relevant consent object and verifies the requesting participant.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2907792" cy="7687670"/>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2907792" cy="7687670"/>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4572000" cy="7676734"/>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4572000" cy="7676734"/>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31"/>
    <w:bookmarkStart w:id="132"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[38],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[40]</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3922776" cy="7689606"/>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3922776" cy="7689606"/>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[38]),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41"/>
        <w:gridCol w:w="2163"/>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Computers &amp; Security (Elsevier)</w:t>
            </w:r>
          </w:p>
        </w:tc>
        <w:tc>
          <w:tcPr/>
          <w:p>
            <w:pPr>
              <w:pStyle w:val="Compact"/>
              <w:jc w:val="left"/>
            </w:pPr>
            <w:r>
              <w:t xml:space="preserve">Draft complete; submission planned November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FirstParagraph"/>
      </w:pPr>
      <w:r>
        <w:t xml:space="preserve">[1]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p>
    <w:p>
      <w:pPr>
        <w:pStyle w:val="BodyText"/>
      </w:pPr>
      <w:r>
        <w:t xml:space="preserve">[5]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[6]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Corrigendum: vol. 98, 104383, 2026.</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[9]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[10]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[11]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[12]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[13]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[14]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[15]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[16]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[17]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27(6):3641–3671,2025.</w:t>
      </w:r>
    </w:p>
    <w:p>
      <w:pPr>
        <w:pStyle w:val="BodyText"/>
      </w:pPr>
      <w:r>
        <w:t xml:space="preserve">[18]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[19]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[20]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[21]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[22]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[23]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[24]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[25]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[26]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[27]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[28]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[29]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[30]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[31]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2026-09-29T06:38:51Z</dcterms:created>
  <dcterms:modified xsi:type="dcterms:W3CDTF">2026-09-29T06:38:51Z</dcterms:modified>
</cp:coreProperties>
</file>

<file path=docProps/custom.xml><?xml version="1.0" encoding="utf-8"?>
<Properties xmlns="http://schemas.openxmlformats.org/officeDocument/2006/custom-properties" xmlns:vt="http://schemas.openxmlformats.org/officeDocument/2006/docPropsVTypes"/>
</file>