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7.png" ContentType="image/png"/>
  <Override PartName="/word/media/rId141.png" ContentType="image/png"/>
  <Override PartName="/word/media/rId145.png" ContentType="image/png"/>
  <Override PartName="/word/media/rId148.png" ContentType="image/png"/>
  <Override PartName="/word/media/rId152.png" ContentType="image/png"/>
  <Override PartName="/word/media/rId23.png" ContentType="image/png"/>
  <Override PartName="/word/media/rId28.png" ContentType="image/png"/>
  <Override PartName="/word/media/rId64.png" ContentType="image/png"/>
  <Override PartName="/word/media/rId67.png" ContentType="image/png"/>
  <Override PartName="/word/media/rId71.png" ContentType="image/png"/>
  <Override PartName="/word/media/rId78.png" ContentType="image/png"/>
  <Override PartName="/word/media/rId92.png" ContentType="image/png"/>
  <Override PartName="/word/media/rId99.png" ContentType="image/png"/>
  <Override PartName="/word/media/rId106.png" ContentType="image/png"/>
  <Override PartName="/word/media/rId113.png" ContentType="image/png"/>
  <Override PartName="/word/media/rId120.png" ContentType="image/png"/>
  <Override PartName="/word/media/rId127.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p>
      <w:pPr>
        <w:pStyle w:val="ReviewerNotePara"/>
      </w:pPr>
      <w:r>
        <w:rPr>
          <w:rStyle w:val="ReviewerNote"/>
        </w:rPr>
        <w:t xml:space="preserve">Colour key for this round: pink = a fix to your existing text (struck through = remove, plain pink = replacement or addition); blue = new material added because it is needed for the report (in your writing style); yellow = instruction to you. Chapter 2 carries the SLR restructure of the previous round (there in green, here in pink). Figures and tables now use chapter-based numbering throughout (Figure 2.1, Table 7.3), as in the supervisor’s chapter; this renumbering is applied silently in both copies. The reference list is now continuous (five entries removed, five on-topic studies added, alphabetical order kept), so every citation number changed; that renumbering is also applied silently.</w:t>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[1, 16].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w:t>
      </w:r>
      <w:r>
        <w:t xml:space="preserve"> </w:t>
      </w:r>
      <w:r>
        <w:rPr>
          <w:rStyle w:val="PinkDelete"/>
        </w:rPr>
        <w:t xml:space="preserve">[13, 29, 32]</w:t>
      </w:r>
      <w:r>
        <w:rPr>
          <w:rStyle w:val="PinkFix"/>
        </w:rPr>
        <w:t xml:space="preserve">[13, 29, 32]</w:t>
      </w:r>
      <w: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r>
        <w:t xml:space="preserve"> </w:t>
      </w:r>
      <w:r>
        <w:rPr>
          <w:rStyle w:val="PinkDelete"/>
        </w:rPr>
        <w:t xml:space="preserve">[11, 18, 20]</w:t>
      </w:r>
      <w:r>
        <w:rPr>
          <w:rStyle w:val="PinkFix"/>
        </w:rPr>
        <w:t xml:space="preserve">[11, 18, 20]</w:t>
      </w:r>
      <w:r>
        <w:t xml:space="preserve">.</w:t>
      </w:r>
    </w:p>
    <w:p>
      <w:pPr>
        <w:pStyle w:val="BodyText"/>
      </w:pPr>
      <w:r>
        <w:t xml:space="preserve">Traditional access-control architectures are commonly based on centralised identity providers, institution-specific authentication systems, and relatively static permission-management mechanisms</w:t>
      </w:r>
      <w:r>
        <w:t xml:space="preserve"> </w:t>
      </w:r>
      <w:r>
        <w:rPr>
          <w:rStyle w:val="PinkDelete"/>
        </w:rPr>
        <w:t xml:space="preserve">[10, 21, 26]</w:t>
      </w:r>
      <w:r>
        <w:rPr>
          <w:rStyle w:val="PinkFix"/>
        </w:rPr>
        <w:t xml:space="preserve">[10, 21, 26]</w:t>
      </w:r>
      <w: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w:t>
      </w:r>
      <w:r>
        <w:t xml:space="preserve"> </w:t>
      </w:r>
      <w:r>
        <w:rPr>
          <w:rStyle w:val="PinkDelete"/>
        </w:rPr>
        <w:t xml:space="preserve">institutional authorities, and other authorised stakeholders [8].</w:t>
      </w:r>
      <w:r>
        <w:rPr>
          <w:rStyle w:val="PinkFix"/>
        </w:rPr>
        <w:t xml:space="preserve">institutional authorities, and other authorised stakeholders [8, 29].</w:t>
      </w:r>
      <w:r>
        <w:t xml:space="preserve"> </w:t>
      </w:r>
      <w:r>
        <w:t xml:space="preserve">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w:t>
      </w:r>
      <w:r>
        <w:t xml:space="preserve"> </w:t>
      </w:r>
      <w:r>
        <w:rPr>
          <w:rStyle w:val="PinkDelete"/>
        </w:rPr>
        <w:t xml:space="preserve">[3, 4, 7]</w:t>
      </w:r>
      <w:r>
        <w:rPr>
          <w:rStyle w:val="PinkFix"/>
        </w:rPr>
        <w:t xml:space="preserve">[3, 4, 7]</w:t>
      </w:r>
      <w:r>
        <w:t xml:space="preserve">. More broadly, blockchain-based approaches have demonstrated the potential to improve the integrity, transparency, and</w:t>
      </w:r>
      <w:r>
        <w:t xml:space="preserve"> </w:t>
      </w:r>
      <w:r>
        <w:rPr>
          <w:rStyle w:val="PinkDelete"/>
        </w:rPr>
        <w:t xml:space="preserve">traceability of decentralised data-management processes [2].</w:t>
      </w:r>
      <w:r>
        <w:rPr>
          <w:rStyle w:val="PinkFix"/>
        </w:rPr>
        <w:t xml:space="preserve">traceability of decentralised data-management processes [2, 22].</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[34].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[35]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[36]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w:t>
      </w:r>
      <w:r>
        <w:t xml:space="preserve"> </w:t>
      </w:r>
      <w:r>
        <w:rPr>
          <w:rStyle w:val="PinkDelete"/>
        </w:rPr>
        <w:t xml:space="preserve">policy-based access control [14, 17].</w:t>
      </w:r>
      <w:r>
        <w:rPr>
          <w:rStyle w:val="PinkFix"/>
        </w:rPr>
        <w:t xml:space="preserve">policy-based access control [14, 17].</w:t>
      </w:r>
      <w:r>
        <w:t xml:space="preserve"> </w:t>
      </w:r>
      <w:r>
        <w:t xml:space="preserve">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w:t>
      </w:r>
      <w:r>
        <w:t xml:space="preserve"> </w:t>
      </w:r>
      <w:r>
        <w:rPr>
          <w:rStyle w:val="PinkDelete"/>
        </w:rPr>
        <w:t xml:space="preserve">The distinction between the current contribution and the subsequent research is summarised in Table 1.1.</w:t>
      </w:r>
      <w:r>
        <w:rPr>
          <w:rStyle w:val="PinkFix"/>
        </w:rPr>
        <w:t xml:space="preserve">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rPr>
          <w:rStyle w:val="BlueAdd"/>
        </w:rPr>
        <w:t xml:space="preserve">1.4 Structure of the Report</w:t>
      </w:r>
    </w:p>
    <w:p>
      <w:pPr>
        <w:pStyle w:val="BlueAddPara"/>
      </w:pPr>
      <w:r>
        <w:rPr>
          <w:rStyle w:val="BlueAdd"/>
        </w:rP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 MVC-based research architecture, and Chapter 6 presents the proposed solution for each objective through its workflow, procedure and algorithm. Chapter 7 presents the HALAH prototype, its four subsystems, the mapping to the source code, the automated test evidence and the on-chain evidence. Chapter 8 reports the progress of each objective, Chapter 9 summarises the publication plan and Chapter 10 sets out the research plan for the next stage.</w:t>
      </w:r>
    </w:p>
    <w:bookmarkEnd w:id="12"/>
    <w:bookmarkEnd w:id="13"/>
    <w:bookmarkStart w:id="44" w:name="X8d950ebaf958e7860fc944fc7601a3578d63a09"/>
    <w:p>
      <w:pPr>
        <w:pStyle w:val="Heading1"/>
      </w:pPr>
      <w:r>
        <w:t xml:space="preserve">2</w:t>
      </w:r>
      <w:r>
        <w:t xml:space="preserve"> </w:t>
      </w:r>
      <w:r>
        <w:rPr>
          <w:rStyle w:val="PinkDelete"/>
        </w:rPr>
        <w:t xml:space="preserve">Systematic Literature Review</w:t>
      </w:r>
      <w:r>
        <w:rPr>
          <w:rStyle w:val="PinkFix"/>
        </w:rPr>
        <w:t xml:space="preserve">A Systematic Literature Review</w:t>
      </w:r>
    </w:p>
    <w:p>
      <w:pPr>
        <w:pStyle w:val="ReviewerNotePara"/>
      </w:pPr>
      <w:r>
        <w:rPr>
          <w:rStyle w:val="ReviewerNote"/>
        </w:rPr>
        <w:t xml:space="preserve">Colour key: pink = a fix to the existing text (struck through = remove, plain pink = replacement or addition); blue = new material added so that the chapter follows the supervisor’s structure (introduction with roadmap, key requirements, four-step shortlisting process with venue/stage/listing tables, per-category summary tables with requirement coverage, gaps per requirement, conclusion). Base text = Chapter 2 of the clean report. Figures and tables in this chapter now use chapter-based numbering (Figure 2.1, Table 2.1) as in the supervisor’s chapter; apply the same scheme to the other chapters and update the cross-references to</w:t>
      </w:r>
      <w:r>
        <w:rPr>
          <w:rStyle w:val="ReviewerNote"/>
        </w:rPr>
        <w:t xml:space="preserve"> </w:t>
      </w:r>
      <w:r>
        <w:rPr>
          <w:rStyle w:val="ReviewerNote"/>
        </w:rPr>
        <w:t xml:space="preserve">‘Section 2.2.x’</w:t>
      </w:r>
      <w:r>
        <w:rPr>
          <w:rStyle w:val="ReviewerNote"/>
        </w:rPr>
        <w:t xml:space="preserve">,</w:t>
      </w:r>
      <w:r>
        <w:rPr>
          <w:rStyle w:val="ReviewerNote"/>
        </w:rPr>
        <w:t xml:space="preserve"> </w:t>
      </w:r>
      <w:r>
        <w:rPr>
          <w:rStyle w:val="ReviewerNote"/>
        </w:rPr>
        <w:t xml:space="preserve">‘Figure 2.1’</w:t>
      </w:r>
      <w:r>
        <w:rPr>
          <w:rStyle w:val="ReviewerNote"/>
        </w:rPr>
        <w:t xml:space="preserve">,</w:t>
      </w:r>
      <w:r>
        <w:rPr>
          <w:rStyle w:val="ReviewerNote"/>
        </w:rPr>
        <w:t xml:space="preserve"> </w:t>
      </w:r>
      <w:r>
        <w:rPr>
          <w:rStyle w:val="ReviewerNote"/>
        </w:rPr>
        <w:t xml:space="preserve">‘Figure 2.2’</w:t>
      </w:r>
      <w:r>
        <w:rPr>
          <w:rStyle w:val="ReviewerNote"/>
        </w:rPr>
        <w:t xml:space="preserve"> </w:t>
      </w:r>
      <w:r>
        <w:rPr>
          <w:rStyle w:val="ReviewerNote"/>
        </w:rPr>
        <w:t xml:space="preserve">and</w:t>
      </w:r>
      <w:r>
        <w:rPr>
          <w:rStyle w:val="ReviewerNote"/>
        </w:rPr>
        <w:t xml:space="preserve"> </w:t>
      </w:r>
      <w:r>
        <w:rPr>
          <w:rStyle w:val="ReviewerNote"/>
        </w:rPr>
        <w:t xml:space="preserve">‘Table 2.10’</w:t>
      </w:r>
      <w:r>
        <w:rPr>
          <w:rStyle w:val="ReviewerNote"/>
        </w:rPr>
        <w:t xml:space="preserve"> </w:t>
      </w:r>
      <w:r>
        <w:rPr>
          <w:rStyle w:val="ReviewerNote"/>
        </w:rPr>
        <w:t xml:space="preserve">elsewhere in the report.</w:t>
      </w:r>
    </w:p>
    <w:bookmarkStart w:id="14" w:name="overview-introduction"/>
    <w:p>
      <w:pPr>
        <w:pStyle w:val="Heading2"/>
      </w:pPr>
      <w:r>
        <w:t xml:space="preserve">2.1</w:t>
      </w:r>
      <w:r>
        <w:t xml:space="preserve"> </w:t>
      </w:r>
      <w:r>
        <w:rPr>
          <w:rStyle w:val="PinkDelete"/>
        </w:rPr>
        <w:t xml:space="preserve">Overview</w:t>
      </w:r>
      <w:r>
        <w:t xml:space="preserve"> </w:t>
      </w:r>
      <w:r>
        <w:rPr>
          <w:rStyle w:val="PinkFix"/>
        </w:rPr>
        <w:t xml:space="preserve">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w:t>
      </w:r>
      <w:r>
        <w:t xml:space="preserve"> </w:t>
      </w:r>
      <w:r>
        <w:rPr>
          <w:rStyle w:val="PinkDelete"/>
        </w:rPr>
        <w:t xml:space="preserve">[11, 13, 18, 20, 29]</w:t>
      </w:r>
      <w:r>
        <w:rPr>
          <w:rStyle w:val="PinkFix"/>
        </w:rPr>
        <w:t xml:space="preserve">[11, 13, 18, 20, 24, 29, 30]</w:t>
      </w:r>
      <w:r>
        <w:t xml:space="preserve">.</w:t>
      </w:r>
      <w:r>
        <w:t xml:space="preserve"> </w:t>
      </w:r>
      <w:r>
        <w:rPr>
          <w:rStyle w:val="PinkDelete"/>
        </w:rPr>
        <w:t xml:space="preserve">Multi-party trust research has investigated immutable data governance, distributed auditability, and decentralised consent management [3, 4, 7, 22]</w:t>
      </w:r>
      <w:r>
        <w:rPr>
          <w:rStyle w:val="PinkFix"/>
        </w:rPr>
        <w:t xml:space="preserve">Blockchain-based data-governance research has investigated immutable records, distributed auditability, and decentralised consent management [3, 4, 7, 22]</w:t>
      </w:r>
      <w:r>
        <w:t xml:space="preserve">. Research on decentralised identity and verifiable credentials has developed mechanisms for self-controlled identity representation, credential verification, selective disclosure, and privacy-preserving authentication</w:t>
      </w:r>
      <w:r>
        <w:t xml:space="preserve"> </w:t>
      </w:r>
      <w:r>
        <w:rPr>
          <w:rStyle w:val="PinkDelete"/>
        </w:rPr>
        <w:t xml:space="preserve">[5, 6, 15, 17, 23, 33]</w:t>
      </w:r>
      <w:r>
        <w:rPr>
          <w:rStyle w:val="PinkFix"/>
        </w:rPr>
        <w:t xml:space="preserve">[5, 6, 15, 17, 23, 33]</w:t>
      </w:r>
      <w:r>
        <w:t xml:space="preserve">. Access-control research has further investigated role-based, attribute-based, risk-aware, and usage-control approaches for protecting sensitive healthcare information</w:t>
      </w:r>
      <w:r>
        <w:t xml:space="preserve"> </w:t>
      </w:r>
      <w:r>
        <w:rPr>
          <w:rStyle w:val="PinkDelete"/>
        </w:rPr>
        <w:t xml:space="preserve">[10, 21, 26, 32]</w:t>
      </w:r>
      <w:r>
        <w:rPr>
          <w:rStyle w:val="PinkFix"/>
        </w:rPr>
        <w:t xml:space="preserve">[10, 21, 26, 28, 31, 32]</w:t>
      </w:r>
      <w:r>
        <w:t xml:space="preserve">.</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w:t>
      </w:r>
      <w:r>
        <w:t xml:space="preserve"> </w:t>
      </w:r>
      <w:r>
        <w:rPr>
          <w:rStyle w:val="PinkDelete"/>
        </w:rPr>
        <w:t xml:space="preserve">The following sections analyse these research areas and identify the gap addressed by the proposed framework.</w:t>
      </w:r>
      <w:r>
        <w:rPr>
          <w:rStyle w:val="PinkFix"/>
        </w:rPr>
        <w:t xml:space="preserve">The objective of this chapter is therefore to examine, through a systematic literature review, how far the existing approaches satisfy the conditions of a trustworthy authorisation decision and where the gap addressed by the proposed framework lies.</w:t>
      </w:r>
    </w:p>
    <w:p>
      <w:pPr>
        <w:pStyle w:val="BlueAddPara"/>
      </w:pPr>
      <w:r>
        <w:rPr>
          <w:rStyle w:val="BlueAdd"/>
        </w:rP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 3.</w:t>
      </w:r>
    </w:p>
    <w:bookmarkEnd w:id="14"/>
    <w:bookmarkStart w:id="20" w:name="Xe31d4d16f418816f7cdb8bb7e2c33f7a12ca646"/>
    <w:p>
      <w:pPr>
        <w:pStyle w:val="Heading2"/>
      </w:pPr>
      <w:r>
        <w:rPr>
          <w:rStyle w:val="BlueAdd"/>
        </w:rPr>
        <w:t xml:space="preserve">2.2 Key Requirements for a Trust-Oriented Consent Authorisation Framework</w:t>
      </w:r>
    </w:p>
    <w:p>
      <w:pPr>
        <w:pStyle w:val="BlueAddPara"/>
      </w:pPr>
      <w:r>
        <w:rPr>
          <w:rStyle w:val="BlueAdd"/>
        </w:rP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rPr>
          <w:rStyle w:val="BlueAdd"/>
        </w:rPr>
        <w:t xml:space="preserve"> </w:t>
      </w:r>
      <w:r>
        <w:rPr>
          <w:rStyle w:val="BlueAdd"/>
          <w:i/>
          <w:iCs/>
        </w:rPr>
        <w:t xml:space="preserve">Privacy Act 1988</w:t>
      </w:r>
      <w:r>
        <w:rPr>
          <w:rStyle w:val="BlueAdd"/>
        </w:rPr>
        <w:t xml:space="preserve"> </w:t>
      </w:r>
      <w:r>
        <w:rPr>
          <w:rStyle w:val="BlueAdd"/>
        </w:rPr>
        <w:t xml:space="preserve">[34], the</w:t>
      </w:r>
      <w:r>
        <w:rPr>
          <w:rStyle w:val="BlueAdd"/>
        </w:rPr>
        <w:t xml:space="preserve"> </w:t>
      </w:r>
      <w:r>
        <w:rPr>
          <w:rStyle w:val="BlueAdd"/>
          <w:i/>
          <w:iCs/>
        </w:rPr>
        <w:t xml:space="preserve">My Health Records Act 2012</w:t>
      </w:r>
      <w:r>
        <w:rPr>
          <w:rStyle w:val="BlueAdd"/>
        </w:rPr>
        <w:t xml:space="preserve"> </w:t>
      </w:r>
      <w:r>
        <w:rPr>
          <w:rStyle w:val="BlueAdd"/>
        </w:rPr>
        <w:t xml:space="preserve">[35] and the</w:t>
      </w:r>
      <w:r>
        <w:rPr>
          <w:rStyle w:val="BlueAdd"/>
        </w:rPr>
        <w:t xml:space="preserve"> </w:t>
      </w:r>
      <w:r>
        <w:rPr>
          <w:rStyle w:val="BlueAdd"/>
          <w:i/>
          <w:iCs/>
        </w:rPr>
        <w:t xml:space="preserve">Healthcare Identifiers Act 2010</w:t>
      </w:r>
      <w:r>
        <w:rPr>
          <w:rStyle w:val="BlueAdd"/>
        </w:rPr>
        <w:t xml:space="preserve"> </w:t>
      </w:r>
      <w:r>
        <w:rPr>
          <w:rStyle w:val="BlueAdd"/>
        </w:rPr>
        <w:t xml:space="preserve">[36]. They form the basis on which the shortlisted studies are compared in Section 2.4 and against which the research gaps are stated in Section 2.5.</w:t>
      </w:r>
    </w:p>
    <w:bookmarkStart w:id="15" w:name="Xb2c1c1d0f9cf3a779daabe364a3fe8b072535a1"/>
    <w:p>
      <w:pPr>
        <w:pStyle w:val="Heading3"/>
      </w:pPr>
      <w:r>
        <w:rPr>
          <w:rStyle w:val="BlueAdd"/>
        </w:rPr>
        <w:t xml:space="preserve">2.2.1 Consent as an evaluable authorisation object (Req 1)</w:t>
      </w:r>
    </w:p>
    <w:p>
      <w:pPr>
        <w:pStyle w:val="BlueAddPara"/>
      </w:pPr>
      <w:r>
        <w:rPr>
          <w:rStyle w:val="BlueAdd"/>
        </w:rP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[9], dynamic consent models [12, 20] and the legal conditions of valid consent [18] all point in this direction, but they stop at recording consent rather than making it evaluable. Blockchain-backed architectures that execute and audit consents [24] and self-determined consent frameworks [30] add enforcement and tracking, yet they still act on the consent record rather than on an evaluation of the request.</w:t>
      </w:r>
    </w:p>
    <w:bookmarkEnd w:id="15"/>
    <w:bookmarkStart w:id="16" w:name="Xa885eda08813ad5fc0a2256dc7473e8c07c13b3"/>
    <w:p>
      <w:pPr>
        <w:pStyle w:val="Heading3"/>
      </w:pPr>
      <w:r>
        <w:rPr>
          <w:rStyle w:val="BlueAdd"/>
        </w:rPr>
        <w:t xml:space="preserve">2.2.2 Verifiable identity separated from authority (Req 2)</w:t>
      </w:r>
    </w:p>
    <w:p>
      <w:pPr>
        <w:pStyle w:val="BlueAddPara"/>
      </w:pPr>
      <w:r>
        <w:rPr>
          <w:rStyle w:val="BlueAdd"/>
        </w:rP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[5, 17], and the</w:t>
      </w:r>
      <w:r>
        <w:rPr>
          <w:rStyle w:val="BlueAdd"/>
        </w:rPr>
        <w:t xml:space="preserve"> </w:t>
      </w:r>
      <w:r>
        <w:rPr>
          <w:rStyle w:val="BlueAdd"/>
          <w:i/>
          <w:iCs/>
        </w:rPr>
        <w:t xml:space="preserve">Healthcare Identifiers Act 2010</w:t>
      </w:r>
      <w:r>
        <w:rPr>
          <w:rStyle w:val="BlueAdd"/>
        </w:rPr>
        <w:t xml:space="preserve"> </w:t>
      </w:r>
      <w:r>
        <w:rPr>
          <w:rStyle w:val="BlueAdd"/>
        </w:rPr>
        <w:t xml:space="preserve">already gives every provider and individual a persistent identifier [36]. The second step is frequently overlooked: a valid credential shows that a person is, for example, a registered practitioner or a legal guardian [29],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rPr>
          <w:rStyle w:val="BlueAdd"/>
        </w:rPr>
        <w:t xml:space="preserve">2.2.3 Multi-party threshold authorisation (Req 3)</w:t>
      </w:r>
    </w:p>
    <w:p>
      <w:pPr>
        <w:pStyle w:val="BlueAddPara"/>
      </w:pPr>
      <w:r>
        <w:rPr>
          <w:rStyle w:val="BlueAdd"/>
        </w:rPr>
        <w:t xml:space="preserve">In paediatric, aged-care and shared-guardianship settings the decision to release data does not belong to a single party. Guardians, the treating clinician and, where applicable, the institution each hold part of the authority [29].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[5], multi-party governance of data trusts [16] and threshold-based pre-authorisation of record access [25] provide building blocks, but none treats the approval threshold as a verifiable condition attached to the consent itself.</w:t>
      </w:r>
    </w:p>
    <w:bookmarkEnd w:id="17"/>
    <w:bookmarkStart w:id="18" w:name="purpose--and-scope-bound-access-req-4"/>
    <w:p>
      <w:pPr>
        <w:pStyle w:val="Heading3"/>
      </w:pPr>
      <w:r>
        <w:rPr>
          <w:rStyle w:val="BlueAdd"/>
        </w:rPr>
        <w:t xml:space="preserve">2.2.4 Purpose- and scope-bound access (Req 4)</w:t>
      </w:r>
    </w:p>
    <w:p>
      <w:pPr>
        <w:pStyle w:val="BlueAddPara"/>
      </w:pPr>
      <w:r>
        <w:rPr>
          <w:rStyle w:val="BlueAdd"/>
        </w:rPr>
        <w:t xml:space="preserve">Even when the requester is verified and the required approvals exist, the request must remain within the purpose and the data scope that the patient authorised. Attribute-based, risk-aware, usage-control and purpose-based models can express fine-grained restrictions [10, 21, 26, 28, 31, 32], and the Australian Privacy Principles require that health information be used only for the primary purpose of collection or a directly related purpose [34].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rPr>
          <w:rStyle w:val="BlueAdd"/>
        </w:rPr>
        <w:t xml:space="preserve">2.2.5 Lifecycle validity and auditable evidence (Req 5)</w:t>
      </w:r>
    </w:p>
    <w:p>
      <w:pPr>
        <w:pStyle w:val="BlueAddPara"/>
      </w:pPr>
      <w:r>
        <w:rPr>
          <w:rStyle w:val="BlueAdd"/>
        </w:rP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[2, 22, 28], and dynamic identity systems handle revocation at the identity level [33]; the fifth requirement is that the same properties hold for the consent object and for the authorisation decisions made on it.</w:t>
      </w:r>
    </w:p>
    <w:p>
      <w:pPr>
        <w:pStyle w:val="BlueAddPara"/>
      </w:pPr>
      <w:r>
        <w:rPr>
          <w:rStyle w:val="BlueAdd"/>
        </w:rP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9"/>
    <w:bookmarkEnd w:id="20"/>
    <w:bookmarkStart w:id="33" w:name="Xc890dc5c16727df01c4dec67a5cc738423fdfed"/>
    <w:p>
      <w:pPr>
        <w:pStyle w:val="Heading2"/>
      </w:pPr>
      <w:r>
        <w:rPr>
          <w:rStyle w:val="PinkDelete"/>
        </w:rPr>
        <w:t xml:space="preserve">2.2</w:t>
      </w:r>
      <w:r>
        <w:t xml:space="preserve"> </w:t>
      </w:r>
      <w:r>
        <w:rPr>
          <w:rStyle w:val="PinkFix"/>
        </w:rPr>
        <w:t xml:space="preserve">2.3</w:t>
      </w:r>
      <w:r>
        <w:t xml:space="preserve"> </w:t>
      </w:r>
      <w:r>
        <w:rPr>
          <w:rStyle w:val="PinkDelete"/>
        </w:rPr>
        <w:t xml:space="preserve">Systematic Literature Review Methodology</w:t>
      </w:r>
      <w:r>
        <w:t xml:space="preserve"> </w:t>
      </w:r>
      <w:r>
        <w:rPr>
          <w:rStyle w:val="PinkFix"/>
        </w:rPr>
        <w:t xml:space="preserve">Process Adopted for Shortlisting the Papers for the SLR</w:t>
      </w:r>
    </w:p>
    <w:p>
      <w:pPr>
        <w:pStyle w:val="FirstParagraph"/>
      </w:pPr>
      <w: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w:t>
      </w:r>
      <w:r>
        <w:t xml:space="preserve"> </w:t>
      </w:r>
      <w:r>
        <w:rPr>
          <w:rStyle w:val="PinkDelete"/>
        </w:rPr>
        <w:t xml:space="preserve">Sections 2.2.1–2.2.8</w:t>
      </w:r>
      <w:r>
        <w:rPr>
          <w:rStyle w:val="PinkFix"/>
        </w:rPr>
        <w:t xml:space="preserve">Sections 2.3.1–2.3.6</w:t>
      </w:r>
      <w:r>
        <w:t xml:space="preserve">, and the resulting study selection is</w:t>
      </w:r>
      <w:r>
        <w:t xml:space="preserve"> </w:t>
      </w:r>
      <w:r>
        <w:rPr>
          <w:rStyle w:val="PinkDelete"/>
        </w:rPr>
        <w:t xml:space="preserve">summarised in Figure 2.2.</w:t>
      </w:r>
      <w:r>
        <w:rPr>
          <w:rStyle w:val="PinkFix"/>
        </w:rPr>
        <w:t xml:space="preserve">summarised in Figure 2.2.</w:t>
      </w:r>
      <w:r>
        <w:rPr>
          <w:rStyle w:val="PinkFix"/>
        </w:rPr>
        <w:t xml:space="preserve">Consistent with the four-step approach adopted in this research group, the process is reported as searching the literature (Step 1), applying inclusion and exclusion criteria (Step 2), evaluating quality (Step 3) and extracting and categorising the data (Step 4).</w:t>
      </w:r>
    </w:p>
    <w:bookmarkStart w:id="21" w:name="review-design-and-reporting-framework"/>
    <w:p>
      <w:pPr>
        <w:pStyle w:val="Heading3"/>
      </w:pPr>
      <w:r>
        <w:rPr>
          <w:rStyle w:val="PinkDelete"/>
        </w:rPr>
        <w:t xml:space="preserve">2.2.1</w:t>
      </w:r>
      <w:r>
        <w:t xml:space="preserve"> </w:t>
      </w:r>
      <w:r>
        <w:rPr>
          <w:rStyle w:val="PinkFix"/>
        </w:rPr>
        <w:t xml:space="preserve">2.3.1</w:t>
      </w:r>
      <w:r>
        <w:t xml:space="preserve"> </w:t>
      </w:r>
      <w:r>
        <w:t xml:space="preserve">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w:t>
      </w:r>
      <w:r>
        <w:t xml:space="preserve"> </w:t>
      </w:r>
      <w:r>
        <w:rPr>
          <w:rStyle w:val="PinkDelete"/>
        </w:rPr>
        <w:t xml:space="preserve">described in Section 2.2.8.</w:t>
      </w:r>
      <w:r>
        <w:rPr>
          <w:rStyle w:val="PinkFix"/>
        </w:rPr>
        <w:t xml:space="preserve">described in Section 2.3.5.</w:t>
      </w:r>
    </w:p>
    <w:bookmarkEnd w:id="21"/>
    <w:bookmarkStart w:id="22" w:name="questions-for-review"/>
    <w:p>
      <w:pPr>
        <w:pStyle w:val="Heading3"/>
      </w:pPr>
      <w:r>
        <w:rPr>
          <w:rStyle w:val="PinkDelete"/>
        </w:rPr>
        <w:t xml:space="preserve">2.2.2</w:t>
      </w:r>
      <w:r>
        <w:t xml:space="preserve"> </w:t>
      </w:r>
      <w:r>
        <w:rPr>
          <w:rStyle w:val="PinkFix"/>
        </w:rPr>
        <w:t xml:space="preserve">2.3.2</w:t>
      </w:r>
      <w:r>
        <w:t xml:space="preserve"> </w:t>
      </w:r>
      <w:r>
        <w:t xml:space="preserve">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6" w:name="X84813ed82bde8b681c1e93fab893fb6ffc8ce2b"/>
    <w:p>
      <w:pPr>
        <w:pStyle w:val="Heading3"/>
      </w:pPr>
      <w:r>
        <w:rPr>
          <w:rStyle w:val="PinkDelete"/>
        </w:rPr>
        <w:t xml:space="preserve">2.2.3</w:t>
      </w:r>
      <w:r>
        <w:t xml:space="preserve"> </w:t>
      </w:r>
      <w:r>
        <w:rPr>
          <w:rStyle w:val="PinkFix"/>
        </w:rPr>
        <w:t xml:space="preserve">2.3.3</w:t>
      </w:r>
      <w:r>
        <w:t xml:space="preserve"> </w:t>
      </w:r>
      <w:r>
        <w:rPr>
          <w:rStyle w:val="PinkDelete"/>
        </w:rPr>
        <w:t xml:space="preserve">Search Databases and Search Strategy</w:t>
      </w:r>
      <w:r>
        <w:t xml:space="preserve"> </w:t>
      </w:r>
      <w:r>
        <w:rPr>
          <w:rStyle w:val="PinkFix"/>
        </w:rPr>
        <w:t xml:space="preserve">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w:t>
      </w:r>
      <w:r>
        <w:t xml:space="preserve"> </w:t>
      </w:r>
      <w:r>
        <w:rPr>
          <w:rStyle w:val="PinkDelete"/>
        </w:rPr>
        <w:t xml:space="preserve">The general search string was defined as shown in Figure 2.1.</w:t>
      </w:r>
      <w:r>
        <w:rPr>
          <w:rStyle w:val="PinkFix"/>
        </w:rPr>
        <w:t xml:space="preserve">The general search string was defined as shown in Figure 2.1.</w:t>
      </w:r>
    </w:p>
    <w:p>
      <w:pPr>
        <w:pStyle w:val="CaptionedFigure"/>
      </w:pPr>
      <w:r>
        <w:drawing>
          <wp:inline>
            <wp:extent cx="5486400" cy="3383782"/>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rStyle w:val="PinkFix"/>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rStyle w:val="PinkDelete"/>
          <w:b/>
          <w:bCs/>
        </w:rPr>
        <w:t xml:space="preserve">[dd] August 2026</w:t>
      </w:r>
      <w:r>
        <w:rPr>
          <w:rStyle w:val="PinkFix"/>
          <w:b/>
          <w:bCs/>
        </w:rPr>
        <w:t xml:space="preserve">15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lueAddPara"/>
      </w:pPr>
      <w:r>
        <w:rPr>
          <w:rStyle w:val="BlueAdd"/>
          <w:b/>
          <w:bCs/>
        </w:rPr>
        <w:t xml:space="preserve">Required information from the selected papers.</w:t>
      </w:r>
      <w:r>
        <w:rPr>
          <w:rStyle w:val="BlueAdd"/>
        </w:rPr>
        <w:t xml:space="preserve"> </w:t>
      </w:r>
      <w:r>
        <w:rPr>
          <w:rStyle w:val="BlueAdd"/>
        </w:rPr>
        <w:t xml:space="preserve">For each record, the title, abstract, keywords and full text were required, together with the publication venue, year and the digital object identifier used for duplicate detection.</w:t>
      </w:r>
    </w:p>
    <w:p>
      <w:pPr>
        <w:pStyle w:val="BlueAddPara"/>
      </w:pPr>
      <w:r>
        <w:rPr>
          <w:rStyle w:val="BlueAdd"/>
          <w:b/>
          <w:bCs/>
        </w:rPr>
        <w:t xml:space="preserve">Publication time of the records.</w:t>
      </w:r>
      <w:r>
        <w:rPr>
          <w:rStyle w:val="BlueAdd"/>
        </w:rPr>
        <w:t xml:space="preserve"> </w:t>
      </w:r>
      <w:r>
        <w:rPr>
          <w:rStyle w:val="BlueAdd"/>
        </w:rPr>
        <w:t xml:space="preserve">Only studies published between 2022 and 2026 were considered, because decentralised identity standards and consent-aware access control developed rapidly over that period; one earlier policy statement [29] was retained as a foundational source, as explained in Section 2.3.4. The journals and conference proceedings in which the included studies were published are listed in Table 2.1.</w:t>
      </w:r>
    </w:p>
    <w:p>
      <w:pPr>
        <w:pStyle w:val="TableCaption"/>
      </w:pPr>
      <w:r>
        <w:rPr>
          <w:rStyle w:val="BlueAdd"/>
        </w:rP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720"/>
        <w:gridCol w:w="4464"/>
        <w:gridCol w:w="1152"/>
        <w:gridCol w:w="1584"/>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S/N</w:t>
            </w:r>
          </w:p>
        </w:tc>
        <w:tc>
          <w:tcPr>
            <w:tcBorders>
              <w:bottom w:val="single" w:sz="8" w:space="0" w:color="000000"/>
            </w:tcBorders>
            <w:shd w:val="clear" w:color="auto" w:fill="E7E6E6"/>
            <w:vAlign w:val="center"/>
          </w:tcPr>
          <w:p>
            <w:pPr>
              <w:pStyle w:val="Compact"/>
              <w:jc w:val="left"/>
            </w:pPr>
            <w:r>
              <w:rPr>
                <w:rStyle w:val="BlueAdd"/>
                <w:b/>
                <w:bCs/>
              </w:rPr>
              <w:t xml:space="preserve">Journal or conference proceedings</w:t>
            </w:r>
          </w:p>
        </w:tc>
        <w:tc>
          <w:tcPr>
            <w:tcBorders>
              <w:bottom w:val="single" w:sz="8" w:space="0" w:color="000000"/>
            </w:tcBorders>
            <w:shd w:val="clear" w:color="auto" w:fill="E7E6E6"/>
            <w:vAlign w:val="center"/>
          </w:tcPr>
          <w:p>
            <w:pPr>
              <w:pStyle w:val="Compact"/>
              <w:jc w:val="left"/>
            </w:pPr>
            <w:r>
              <w:rPr>
                <w:rStyle w:val="BlueAdd"/>
                <w:b/>
                <w:bCs/>
              </w:rPr>
              <w:t xml:space="preserve">Type</w:t>
            </w:r>
          </w:p>
        </w:tc>
        <w:tc>
          <w:tcPr>
            <w:tcBorders>
              <w:bottom w:val="single" w:sz="8" w:space="0" w:color="000000"/>
            </w:tcBorders>
            <w:shd w:val="clear" w:color="auto" w:fill="E7E6E6"/>
            <w:vAlign w:val="center"/>
          </w:tcPr>
          <w:p>
            <w:pPr>
              <w:pStyle w:val="Compact"/>
              <w:jc w:val="left"/>
            </w:pPr>
            <w:r>
              <w:rPr>
                <w:rStyle w:val="BlueAdd"/>
                <w:b/>
                <w:bCs/>
              </w:rPr>
              <w:t xml:space="preserve">Included studies</w:t>
            </w:r>
          </w:p>
        </w:tc>
      </w:tr>
      <w:tr>
        <w:trPr>
          <w:cantSplit/>
        </w:trPr>
        <w:tc>
          <w:tcPr/>
          <w:p>
            <w:pPr>
              <w:pStyle w:val="Compact"/>
              <w:jc w:val="left"/>
            </w:pPr>
            <w:r>
              <w:rPr>
                <w:rStyle w:val="BlueAdd"/>
              </w:rPr>
              <w:t xml:space="preserve">1</w:t>
            </w:r>
          </w:p>
        </w:tc>
        <w:tc>
          <w:tcPr/>
          <w:p>
            <w:pPr>
              <w:pStyle w:val="Compact"/>
              <w:jc w:val="left"/>
            </w:pPr>
            <w:r>
              <w:rPr>
                <w:rStyle w:val="BlueAdd"/>
              </w:rPr>
              <w:t xml:space="preserve">IEEE Access</w:t>
            </w:r>
          </w:p>
        </w:tc>
        <w:tc>
          <w:tcPr/>
          <w:p>
            <w:pPr>
              <w:pStyle w:val="Compact"/>
              <w:jc w:val="left"/>
            </w:pPr>
            <w:r>
              <w:rPr>
                <w:rStyle w:val="BlueAdd"/>
              </w:rPr>
              <w:t xml:space="preserve">Journal</w:t>
            </w:r>
          </w:p>
        </w:tc>
        <w:tc>
          <w:tcPr/>
          <w:p>
            <w:pPr>
              <w:pStyle w:val="Compact"/>
              <w:jc w:val="left"/>
            </w:pPr>
            <w:r>
              <w:rPr>
                <w:rStyle w:val="BlueAdd"/>
              </w:rPr>
              <w:t xml:space="preserve">S2, S9, S11</w:t>
            </w:r>
          </w:p>
        </w:tc>
      </w:tr>
      <w:tr>
        <w:trPr>
          <w:cantSplit/>
        </w:trPr>
        <w:tc>
          <w:tcPr/>
          <w:p>
            <w:pPr>
              <w:pStyle w:val="Compact"/>
              <w:jc w:val="left"/>
            </w:pPr>
            <w:r>
              <w:rPr>
                <w:rStyle w:val="BlueAdd"/>
              </w:rPr>
              <w:t xml:space="preserve">2</w:t>
            </w:r>
          </w:p>
        </w:tc>
        <w:tc>
          <w:tcPr/>
          <w:p>
            <w:pPr>
              <w:pStyle w:val="Compact"/>
              <w:jc w:val="left"/>
            </w:pPr>
            <w:r>
              <w:rPr>
                <w:rStyle w:val="BlueAdd"/>
              </w:rPr>
              <w:t xml:space="preserve">IEEE Communications Surveys &amp; Tutorials</w:t>
            </w:r>
          </w:p>
        </w:tc>
        <w:tc>
          <w:tcPr/>
          <w:p>
            <w:pPr>
              <w:pStyle w:val="Compact"/>
              <w:jc w:val="left"/>
            </w:pPr>
            <w:r>
              <w:rPr>
                <w:rStyle w:val="BlueAdd"/>
              </w:rPr>
              <w:t xml:space="preserve">Journal</w:t>
            </w:r>
          </w:p>
        </w:tc>
        <w:tc>
          <w:tcPr/>
          <w:p>
            <w:pPr>
              <w:pStyle w:val="Compact"/>
              <w:jc w:val="left"/>
            </w:pPr>
            <w:r>
              <w:rPr>
                <w:rStyle w:val="BlueAdd"/>
              </w:rPr>
              <w:t xml:space="preserve">S13, S21</w:t>
            </w:r>
          </w:p>
        </w:tc>
      </w:tr>
      <w:tr>
        <w:trPr>
          <w:cantSplit/>
        </w:trPr>
        <w:tc>
          <w:tcPr/>
          <w:p>
            <w:pPr>
              <w:pStyle w:val="Compact"/>
              <w:jc w:val="left"/>
            </w:pPr>
            <w:r>
              <w:rPr>
                <w:rStyle w:val="BlueAdd"/>
              </w:rPr>
              <w:t xml:space="preserve">3</w:t>
            </w:r>
          </w:p>
        </w:tc>
        <w:tc>
          <w:tcPr/>
          <w:p>
            <w:pPr>
              <w:pStyle w:val="Compact"/>
              <w:jc w:val="left"/>
            </w:pPr>
            <w:r>
              <w:rPr>
                <w:rStyle w:val="BlueAdd"/>
              </w:rPr>
              <w:t xml:space="preserve">ACM Computing Surveys</w:t>
            </w:r>
          </w:p>
        </w:tc>
        <w:tc>
          <w:tcPr/>
          <w:p>
            <w:pPr>
              <w:pStyle w:val="Compact"/>
              <w:jc w:val="left"/>
            </w:pPr>
            <w:r>
              <w:rPr>
                <w:rStyle w:val="BlueAdd"/>
              </w:rPr>
              <w:t xml:space="preserve">Journal</w:t>
            </w:r>
          </w:p>
        </w:tc>
        <w:tc>
          <w:tcPr/>
          <w:p>
            <w:pPr>
              <w:pStyle w:val="Compact"/>
              <w:jc w:val="left"/>
            </w:pPr>
            <w:r>
              <w:rPr>
                <w:rStyle w:val="BlueAdd"/>
              </w:rPr>
              <w:t xml:space="preserve">S15</w:t>
            </w:r>
          </w:p>
        </w:tc>
      </w:tr>
      <w:tr>
        <w:trPr>
          <w:cantSplit/>
        </w:trPr>
        <w:tc>
          <w:tcPr/>
          <w:p>
            <w:pPr>
              <w:pStyle w:val="Compact"/>
              <w:jc w:val="left"/>
            </w:pPr>
            <w:r>
              <w:rPr>
                <w:rStyle w:val="BlueAdd"/>
              </w:rPr>
              <w:t xml:space="preserve">4</w:t>
            </w:r>
          </w:p>
        </w:tc>
        <w:tc>
          <w:tcPr/>
          <w:p>
            <w:pPr>
              <w:pStyle w:val="Compact"/>
              <w:jc w:val="left"/>
            </w:pPr>
            <w:r>
              <w:rPr>
                <w:rStyle w:val="BlueAdd"/>
              </w:rPr>
              <w:t xml:space="preserve">ACM Transactions on Management Information Systems</w:t>
            </w:r>
          </w:p>
        </w:tc>
        <w:tc>
          <w:tcPr/>
          <w:p>
            <w:pPr>
              <w:pStyle w:val="Compact"/>
              <w:jc w:val="left"/>
            </w:pPr>
            <w:r>
              <w:rPr>
                <w:rStyle w:val="BlueAdd"/>
              </w:rPr>
              <w:t xml:space="preserve">Journal</w:t>
            </w:r>
          </w:p>
        </w:tc>
        <w:tc>
          <w:tcPr/>
          <w:p>
            <w:pPr>
              <w:pStyle w:val="Compact"/>
              <w:jc w:val="left"/>
            </w:pPr>
            <w:r>
              <w:rPr>
                <w:rStyle w:val="BlueAdd"/>
              </w:rPr>
              <w:t xml:space="preserve">S22</w:t>
            </w:r>
          </w:p>
        </w:tc>
      </w:tr>
      <w:tr>
        <w:trPr>
          <w:cantSplit/>
        </w:trPr>
        <w:tc>
          <w:tcPr/>
          <w:p>
            <w:pPr>
              <w:pStyle w:val="Compact"/>
              <w:jc w:val="left"/>
            </w:pPr>
            <w:r>
              <w:rPr>
                <w:rStyle w:val="BlueAdd"/>
              </w:rPr>
              <w:t xml:space="preserve">5</w:t>
            </w:r>
          </w:p>
        </w:tc>
        <w:tc>
          <w:tcPr/>
          <w:p>
            <w:pPr>
              <w:pStyle w:val="Compact"/>
              <w:jc w:val="left"/>
            </w:pPr>
            <w:r>
              <w:rPr>
                <w:rStyle w:val="BlueAdd"/>
              </w:rPr>
              <w:t xml:space="preserve">IEEE Transactions on Computers</w:t>
            </w:r>
          </w:p>
        </w:tc>
        <w:tc>
          <w:tcPr/>
          <w:p>
            <w:pPr>
              <w:pStyle w:val="Compact"/>
              <w:jc w:val="left"/>
            </w:pPr>
            <w:r>
              <w:rPr>
                <w:rStyle w:val="BlueAdd"/>
              </w:rPr>
              <w:t xml:space="preserve">Journal</w:t>
            </w:r>
          </w:p>
        </w:tc>
        <w:tc>
          <w:tcPr/>
          <w:p>
            <w:pPr>
              <w:pStyle w:val="Compact"/>
              <w:jc w:val="left"/>
            </w:pPr>
            <w:r>
              <w:rPr>
                <w:rStyle w:val="BlueAdd"/>
              </w:rPr>
              <w:t xml:space="preserve">S17</w:t>
            </w:r>
          </w:p>
        </w:tc>
      </w:tr>
      <w:tr>
        <w:trPr>
          <w:cantSplit/>
        </w:trPr>
        <w:tc>
          <w:tcPr/>
          <w:p>
            <w:pPr>
              <w:pStyle w:val="Compact"/>
              <w:jc w:val="left"/>
            </w:pPr>
            <w:r>
              <w:rPr>
                <w:rStyle w:val="BlueAdd"/>
              </w:rPr>
              <w:t xml:space="preserve">6</w:t>
            </w:r>
          </w:p>
        </w:tc>
        <w:tc>
          <w:tcPr/>
          <w:p>
            <w:pPr>
              <w:pStyle w:val="Compact"/>
              <w:jc w:val="left"/>
            </w:pPr>
            <w:r>
              <w:rPr>
                <w:rStyle w:val="BlueAdd"/>
              </w:rPr>
              <w:t xml:space="preserve">IEEE Transactions on Information Forensics and Security</w:t>
            </w:r>
          </w:p>
        </w:tc>
        <w:tc>
          <w:tcPr/>
          <w:p>
            <w:pPr>
              <w:pStyle w:val="Compact"/>
              <w:jc w:val="left"/>
            </w:pPr>
            <w:r>
              <w:rPr>
                <w:rStyle w:val="BlueAdd"/>
              </w:rPr>
              <w:t xml:space="preserve">Journal</w:t>
            </w:r>
          </w:p>
        </w:tc>
        <w:tc>
          <w:tcPr/>
          <w:p>
            <w:pPr>
              <w:pStyle w:val="Compact"/>
              <w:jc w:val="left"/>
            </w:pPr>
            <w:r>
              <w:rPr>
                <w:rStyle w:val="BlueAdd"/>
              </w:rPr>
              <w:t xml:space="preserve">S23</w:t>
            </w:r>
          </w:p>
        </w:tc>
      </w:tr>
      <w:tr>
        <w:trPr>
          <w:cantSplit/>
        </w:trPr>
        <w:tc>
          <w:tcPr/>
          <w:p>
            <w:pPr>
              <w:pStyle w:val="Compact"/>
              <w:jc w:val="left"/>
            </w:pPr>
            <w:r>
              <w:rPr>
                <w:rStyle w:val="BlueAdd"/>
              </w:rPr>
              <w:t xml:space="preserve">7</w:t>
            </w:r>
          </w:p>
        </w:tc>
        <w:tc>
          <w:tcPr/>
          <w:p>
            <w:pPr>
              <w:pStyle w:val="Compact"/>
              <w:jc w:val="left"/>
            </w:pPr>
            <w:r>
              <w:rPr>
                <w:rStyle w:val="BlueAdd"/>
              </w:rPr>
              <w:t xml:space="preserve">Journal of Network and Computer Applications</w:t>
            </w:r>
          </w:p>
        </w:tc>
        <w:tc>
          <w:tcPr/>
          <w:p>
            <w:pPr>
              <w:pStyle w:val="Compact"/>
              <w:jc w:val="left"/>
            </w:pPr>
            <w:r>
              <w:rPr>
                <w:rStyle w:val="BlueAdd"/>
              </w:rPr>
              <w:t xml:space="preserve">Journal</w:t>
            </w:r>
          </w:p>
        </w:tc>
        <w:tc>
          <w:tcPr/>
          <w:p>
            <w:pPr>
              <w:pStyle w:val="Compact"/>
              <w:jc w:val="left"/>
            </w:pPr>
            <w:r>
              <w:rPr>
                <w:rStyle w:val="BlueAdd"/>
              </w:rPr>
              <w:t xml:space="preserve">S12</w:t>
            </w:r>
          </w:p>
        </w:tc>
      </w:tr>
      <w:tr>
        <w:trPr>
          <w:cantSplit/>
        </w:trPr>
        <w:tc>
          <w:tcPr/>
          <w:p>
            <w:pPr>
              <w:pStyle w:val="Compact"/>
              <w:jc w:val="left"/>
            </w:pPr>
            <w:r>
              <w:rPr>
                <w:rStyle w:val="BlueAdd"/>
              </w:rPr>
              <w:t xml:space="preserve">8</w:t>
            </w:r>
          </w:p>
        </w:tc>
        <w:tc>
          <w:tcPr/>
          <w:p>
            <w:pPr>
              <w:pStyle w:val="Compact"/>
              <w:jc w:val="left"/>
            </w:pPr>
            <w:r>
              <w:rPr>
                <w:rStyle w:val="BlueAdd"/>
              </w:rPr>
              <w:t xml:space="preserve">Journal of Systems Architecture</w:t>
            </w:r>
          </w:p>
        </w:tc>
        <w:tc>
          <w:tcPr/>
          <w:p>
            <w:pPr>
              <w:pStyle w:val="Compact"/>
              <w:jc w:val="left"/>
            </w:pPr>
            <w:r>
              <w:rPr>
                <w:rStyle w:val="BlueAdd"/>
              </w:rPr>
              <w:t xml:space="preserve">Journal</w:t>
            </w:r>
          </w:p>
        </w:tc>
        <w:tc>
          <w:tcPr/>
          <w:p>
            <w:pPr>
              <w:pStyle w:val="Compact"/>
              <w:jc w:val="left"/>
            </w:pPr>
            <w:r>
              <w:rPr>
                <w:rStyle w:val="BlueAdd"/>
              </w:rPr>
              <w:t xml:space="preserve">S30</w:t>
            </w:r>
          </w:p>
        </w:tc>
      </w:tr>
      <w:tr>
        <w:trPr>
          <w:cantSplit/>
        </w:trPr>
        <w:tc>
          <w:tcPr/>
          <w:p>
            <w:pPr>
              <w:pStyle w:val="Compact"/>
              <w:jc w:val="left"/>
            </w:pPr>
            <w:r>
              <w:rPr>
                <w:rStyle w:val="BlueAdd"/>
              </w:rPr>
              <w:t xml:space="preserve">9</w:t>
            </w:r>
          </w:p>
        </w:tc>
        <w:tc>
          <w:tcPr/>
          <w:p>
            <w:pPr>
              <w:pStyle w:val="Compact"/>
              <w:jc w:val="left"/>
            </w:pPr>
            <w:r>
              <w:rPr>
                <w:rStyle w:val="BlueAdd"/>
              </w:rPr>
              <w:t xml:space="preserve">Journal of Information Security and Applications</w:t>
            </w:r>
          </w:p>
        </w:tc>
        <w:tc>
          <w:tcPr/>
          <w:p>
            <w:pPr>
              <w:pStyle w:val="Compact"/>
              <w:jc w:val="left"/>
            </w:pPr>
            <w:r>
              <w:rPr>
                <w:rStyle w:val="BlueAdd"/>
              </w:rPr>
              <w:t xml:space="preserve">Journal</w:t>
            </w:r>
          </w:p>
        </w:tc>
        <w:tc>
          <w:tcPr/>
          <w:p>
            <w:pPr>
              <w:pStyle w:val="Compact"/>
              <w:jc w:val="left"/>
            </w:pPr>
            <w:r>
              <w:rPr>
                <w:rStyle w:val="BlueAdd"/>
              </w:rPr>
              <w:t xml:space="preserve">S18</w:t>
            </w:r>
          </w:p>
        </w:tc>
      </w:tr>
      <w:tr>
        <w:trPr>
          <w:cantSplit/>
        </w:trPr>
        <w:tc>
          <w:tcPr/>
          <w:p>
            <w:pPr>
              <w:pStyle w:val="Compact"/>
              <w:jc w:val="left"/>
            </w:pPr>
            <w:r>
              <w:rPr>
                <w:rStyle w:val="BlueAdd"/>
              </w:rPr>
              <w:t xml:space="preserve">10</w:t>
            </w:r>
          </w:p>
        </w:tc>
        <w:tc>
          <w:tcPr/>
          <w:p>
            <w:pPr>
              <w:pStyle w:val="Compact"/>
              <w:jc w:val="left"/>
            </w:pPr>
            <w:r>
              <w:rPr>
                <w:rStyle w:val="BlueAdd"/>
              </w:rPr>
              <w:t xml:space="preserve">Journal of Big Data</w:t>
            </w:r>
          </w:p>
        </w:tc>
        <w:tc>
          <w:tcPr/>
          <w:p>
            <w:pPr>
              <w:pStyle w:val="Compact"/>
              <w:jc w:val="left"/>
            </w:pPr>
            <w:r>
              <w:rPr>
                <w:rStyle w:val="BlueAdd"/>
              </w:rPr>
              <w:t xml:space="preserve">Journal</w:t>
            </w:r>
          </w:p>
        </w:tc>
        <w:tc>
          <w:tcPr/>
          <w:p>
            <w:pPr>
              <w:pStyle w:val="Compact"/>
              <w:jc w:val="left"/>
            </w:pPr>
            <w:r>
              <w:rPr>
                <w:rStyle w:val="BlueAdd"/>
              </w:rPr>
              <w:t xml:space="preserve">S27</w:t>
            </w:r>
          </w:p>
        </w:tc>
      </w:tr>
      <w:tr>
        <w:trPr>
          <w:cantSplit/>
        </w:trPr>
        <w:tc>
          <w:tcPr/>
          <w:p>
            <w:pPr>
              <w:pStyle w:val="Compact"/>
              <w:jc w:val="left"/>
            </w:pPr>
            <w:r>
              <w:rPr>
                <w:rStyle w:val="BlueAdd"/>
              </w:rPr>
              <w:t xml:space="preserve">11</w:t>
            </w:r>
          </w:p>
        </w:tc>
        <w:tc>
          <w:tcPr/>
          <w:p>
            <w:pPr>
              <w:pStyle w:val="Compact"/>
              <w:jc w:val="left"/>
            </w:pPr>
            <w:r>
              <w:rPr>
                <w:rStyle w:val="BlueAdd"/>
              </w:rPr>
              <w:t xml:space="preserve">Cluster Computing</w:t>
            </w:r>
          </w:p>
        </w:tc>
        <w:tc>
          <w:tcPr/>
          <w:p>
            <w:pPr>
              <w:pStyle w:val="Compact"/>
              <w:jc w:val="left"/>
            </w:pPr>
            <w:r>
              <w:rPr>
                <w:rStyle w:val="BlueAdd"/>
              </w:rPr>
              <w:t xml:space="preserve">Journal</w:t>
            </w:r>
          </w:p>
        </w:tc>
        <w:tc>
          <w:tcPr/>
          <w:p>
            <w:pPr>
              <w:pStyle w:val="Compact"/>
              <w:jc w:val="left"/>
            </w:pPr>
            <w:r>
              <w:rPr>
                <w:rStyle w:val="BlueAdd"/>
              </w:rPr>
              <w:t xml:space="preserve">S29</w:t>
            </w:r>
          </w:p>
        </w:tc>
      </w:tr>
      <w:tr>
        <w:trPr>
          <w:cantSplit/>
        </w:trPr>
        <w:tc>
          <w:tcPr/>
          <w:p>
            <w:pPr>
              <w:pStyle w:val="Compact"/>
              <w:jc w:val="left"/>
            </w:pPr>
            <w:r>
              <w:rPr>
                <w:rStyle w:val="BlueAdd"/>
              </w:rPr>
              <w:t xml:space="preserve">12</w:t>
            </w:r>
          </w:p>
        </w:tc>
        <w:tc>
          <w:tcPr/>
          <w:p>
            <w:pPr>
              <w:pStyle w:val="Compact"/>
              <w:jc w:val="left"/>
            </w:pPr>
            <w:r>
              <w:rPr>
                <w:rStyle w:val="BlueAdd"/>
              </w:rPr>
              <w:t xml:space="preserve">Engineering Reports</w:t>
            </w:r>
          </w:p>
        </w:tc>
        <w:tc>
          <w:tcPr/>
          <w:p>
            <w:pPr>
              <w:pStyle w:val="Compact"/>
              <w:jc w:val="left"/>
            </w:pPr>
            <w:r>
              <w:rPr>
                <w:rStyle w:val="BlueAdd"/>
              </w:rPr>
              <w:t xml:space="preserve">Journal</w:t>
            </w:r>
          </w:p>
        </w:tc>
        <w:tc>
          <w:tcPr/>
          <w:p>
            <w:pPr>
              <w:pStyle w:val="Compact"/>
              <w:jc w:val="left"/>
            </w:pPr>
            <w:r>
              <w:rPr>
                <w:rStyle w:val="BlueAdd"/>
              </w:rPr>
              <w:t xml:space="preserve">S28</w:t>
            </w:r>
          </w:p>
        </w:tc>
      </w:tr>
      <w:tr>
        <w:trPr>
          <w:cantSplit/>
        </w:trPr>
        <w:tc>
          <w:tcPr/>
          <w:p>
            <w:pPr>
              <w:pStyle w:val="Compact"/>
              <w:jc w:val="left"/>
            </w:pPr>
            <w:r>
              <w:rPr>
                <w:rStyle w:val="BlueAdd"/>
              </w:rPr>
              <w:t xml:space="preserve">13</w:t>
            </w:r>
          </w:p>
        </w:tc>
        <w:tc>
          <w:tcPr/>
          <w:p>
            <w:pPr>
              <w:pStyle w:val="Compact"/>
              <w:jc w:val="left"/>
            </w:pPr>
            <w:r>
              <w:rPr>
                <w:rStyle w:val="BlueAdd"/>
              </w:rPr>
              <w:t xml:space="preserve">International Journal of Information Management Data Insights</w:t>
            </w:r>
          </w:p>
        </w:tc>
        <w:tc>
          <w:tcPr/>
          <w:p>
            <w:pPr>
              <w:pStyle w:val="Compact"/>
              <w:jc w:val="left"/>
            </w:pPr>
            <w:r>
              <w:rPr>
                <w:rStyle w:val="BlueAdd"/>
              </w:rPr>
              <w:t xml:space="preserve">Journal</w:t>
            </w:r>
          </w:p>
        </w:tc>
        <w:tc>
          <w:tcPr/>
          <w:p>
            <w:pPr>
              <w:pStyle w:val="Compact"/>
              <w:jc w:val="left"/>
            </w:pPr>
            <w:r>
              <w:rPr>
                <w:rStyle w:val="BlueAdd"/>
              </w:rPr>
              <w:t xml:space="preserve">S25</w:t>
            </w:r>
          </w:p>
        </w:tc>
      </w:tr>
      <w:tr>
        <w:trPr>
          <w:cantSplit/>
        </w:trPr>
        <w:tc>
          <w:tcPr/>
          <w:p>
            <w:pPr>
              <w:pStyle w:val="Compact"/>
              <w:jc w:val="left"/>
            </w:pPr>
            <w:r>
              <w:rPr>
                <w:rStyle w:val="BlueAdd"/>
              </w:rPr>
              <w:t xml:space="preserve">14</w:t>
            </w:r>
          </w:p>
        </w:tc>
        <w:tc>
          <w:tcPr/>
          <w:p>
            <w:pPr>
              <w:pStyle w:val="Compact"/>
              <w:jc w:val="left"/>
            </w:pPr>
            <w:r>
              <w:rPr>
                <w:rStyle w:val="BlueAdd"/>
              </w:rPr>
              <w:t xml:space="preserve">Applied Sciences</w:t>
            </w:r>
          </w:p>
        </w:tc>
        <w:tc>
          <w:tcPr/>
          <w:p>
            <w:pPr>
              <w:pStyle w:val="Compact"/>
              <w:jc w:val="left"/>
            </w:pPr>
            <w:r>
              <w:rPr>
                <w:rStyle w:val="BlueAdd"/>
              </w:rPr>
              <w:t xml:space="preserve">Journal</w:t>
            </w:r>
          </w:p>
        </w:tc>
        <w:tc>
          <w:tcPr/>
          <w:p>
            <w:pPr>
              <w:pStyle w:val="Compact"/>
              <w:jc w:val="left"/>
            </w:pPr>
            <w:r>
              <w:rPr>
                <w:rStyle w:val="BlueAdd"/>
              </w:rPr>
              <w:t xml:space="preserve">S16</w:t>
            </w:r>
          </w:p>
        </w:tc>
      </w:tr>
      <w:tr>
        <w:trPr>
          <w:cantSplit/>
        </w:trPr>
        <w:tc>
          <w:tcPr/>
          <w:p>
            <w:pPr>
              <w:pStyle w:val="Compact"/>
              <w:jc w:val="left"/>
            </w:pPr>
            <w:r>
              <w:rPr>
                <w:rStyle w:val="BlueAdd"/>
              </w:rPr>
              <w:t xml:space="preserve">15</w:t>
            </w:r>
          </w:p>
        </w:tc>
        <w:tc>
          <w:tcPr/>
          <w:p>
            <w:pPr>
              <w:pStyle w:val="Compact"/>
              <w:jc w:val="left"/>
            </w:pPr>
            <w:r>
              <w:rPr>
                <w:rStyle w:val="BlueAdd"/>
              </w:rPr>
              <w:t xml:space="preserve">Electronics</w:t>
            </w:r>
          </w:p>
        </w:tc>
        <w:tc>
          <w:tcPr/>
          <w:p>
            <w:pPr>
              <w:pStyle w:val="Compact"/>
              <w:jc w:val="left"/>
            </w:pPr>
            <w:r>
              <w:rPr>
                <w:rStyle w:val="BlueAdd"/>
              </w:rPr>
              <w:t xml:space="preserve">Journal</w:t>
            </w:r>
          </w:p>
        </w:tc>
        <w:tc>
          <w:tcPr/>
          <w:p>
            <w:pPr>
              <w:pStyle w:val="Compact"/>
              <w:jc w:val="left"/>
            </w:pPr>
            <w:r>
              <w:rPr>
                <w:rStyle w:val="BlueAdd"/>
              </w:rPr>
              <w:t xml:space="preserve">S4</w:t>
            </w:r>
          </w:p>
        </w:tc>
      </w:tr>
      <w:tr>
        <w:trPr>
          <w:cantSplit/>
        </w:trPr>
        <w:tc>
          <w:tcPr/>
          <w:p>
            <w:pPr>
              <w:pStyle w:val="Compact"/>
              <w:jc w:val="left"/>
            </w:pPr>
            <w:r>
              <w:rPr>
                <w:rStyle w:val="BlueAdd"/>
              </w:rPr>
              <w:t xml:space="preserve">16</w:t>
            </w:r>
          </w:p>
        </w:tc>
        <w:tc>
          <w:tcPr/>
          <w:p>
            <w:pPr>
              <w:pStyle w:val="Compact"/>
              <w:jc w:val="left"/>
            </w:pPr>
            <w:r>
              <w:rPr>
                <w:rStyle w:val="BlueAdd"/>
              </w:rPr>
              <w:t xml:space="preserve">Systems</w:t>
            </w:r>
          </w:p>
        </w:tc>
        <w:tc>
          <w:tcPr/>
          <w:p>
            <w:pPr>
              <w:pStyle w:val="Compact"/>
              <w:jc w:val="left"/>
            </w:pPr>
            <w:r>
              <w:rPr>
                <w:rStyle w:val="BlueAdd"/>
              </w:rPr>
              <w:t xml:space="preserve">Journal</w:t>
            </w:r>
          </w:p>
        </w:tc>
        <w:tc>
          <w:tcPr/>
          <w:p>
            <w:pPr>
              <w:pStyle w:val="Compact"/>
              <w:jc w:val="left"/>
            </w:pPr>
            <w:r>
              <w:rPr>
                <w:rStyle w:val="BlueAdd"/>
              </w:rPr>
              <w:t xml:space="preserve">S14</w:t>
            </w:r>
          </w:p>
        </w:tc>
      </w:tr>
      <w:tr>
        <w:trPr>
          <w:cantSplit/>
        </w:trPr>
        <w:tc>
          <w:tcPr/>
          <w:p>
            <w:pPr>
              <w:pStyle w:val="Compact"/>
              <w:jc w:val="left"/>
            </w:pPr>
            <w:r>
              <w:rPr>
                <w:rStyle w:val="BlueAdd"/>
              </w:rPr>
              <w:t xml:space="preserve">17</w:t>
            </w:r>
          </w:p>
        </w:tc>
        <w:tc>
          <w:tcPr/>
          <w:p>
            <w:pPr>
              <w:pStyle w:val="Compact"/>
              <w:jc w:val="left"/>
            </w:pPr>
            <w:r>
              <w:rPr>
                <w:rStyle w:val="BlueAdd"/>
              </w:rPr>
              <w:t xml:space="preserve">Cryptography</w:t>
            </w:r>
          </w:p>
        </w:tc>
        <w:tc>
          <w:tcPr/>
          <w:p>
            <w:pPr>
              <w:pStyle w:val="Compact"/>
              <w:jc w:val="left"/>
            </w:pPr>
            <w:r>
              <w:rPr>
                <w:rStyle w:val="BlueAdd"/>
              </w:rPr>
              <w:t xml:space="preserve">Journal</w:t>
            </w:r>
          </w:p>
        </w:tc>
        <w:tc>
          <w:tcPr/>
          <w:p>
            <w:pPr>
              <w:pStyle w:val="Compact"/>
              <w:jc w:val="left"/>
            </w:pPr>
            <w:r>
              <w:rPr>
                <w:rStyle w:val="BlueAdd"/>
              </w:rPr>
              <w:t xml:space="preserve">S24</w:t>
            </w:r>
          </w:p>
        </w:tc>
      </w:tr>
      <w:tr>
        <w:trPr>
          <w:cantSplit/>
        </w:trPr>
        <w:tc>
          <w:tcPr/>
          <w:p>
            <w:pPr>
              <w:pStyle w:val="Compact"/>
              <w:jc w:val="left"/>
            </w:pPr>
            <w:r>
              <w:rPr>
                <w:rStyle w:val="BlueAdd"/>
              </w:rPr>
              <w:t xml:space="preserve">18</w:t>
            </w:r>
          </w:p>
        </w:tc>
        <w:tc>
          <w:tcPr/>
          <w:p>
            <w:pPr>
              <w:pStyle w:val="Compact"/>
              <w:jc w:val="left"/>
            </w:pPr>
            <w:r>
              <w:rPr>
                <w:rStyle w:val="BlueAdd"/>
              </w:rPr>
              <w:t xml:space="preserve">IoT</w:t>
            </w:r>
          </w:p>
        </w:tc>
        <w:tc>
          <w:tcPr/>
          <w:p>
            <w:pPr>
              <w:pStyle w:val="Compact"/>
              <w:jc w:val="left"/>
            </w:pPr>
            <w:r>
              <w:rPr>
                <w:rStyle w:val="BlueAdd"/>
              </w:rPr>
              <w:t xml:space="preserve">Journal</w:t>
            </w:r>
          </w:p>
        </w:tc>
        <w:tc>
          <w:tcPr/>
          <w:p>
            <w:pPr>
              <w:pStyle w:val="Compact"/>
              <w:jc w:val="left"/>
            </w:pPr>
            <w:r>
              <w:rPr>
                <w:rStyle w:val="BlueAdd"/>
              </w:rPr>
              <w:t xml:space="preserve">S19</w:t>
            </w:r>
          </w:p>
        </w:tc>
      </w:tr>
      <w:tr>
        <w:trPr>
          <w:cantSplit/>
        </w:trPr>
        <w:tc>
          <w:tcPr/>
          <w:p>
            <w:pPr>
              <w:pStyle w:val="Compact"/>
              <w:jc w:val="left"/>
            </w:pPr>
            <w:r>
              <w:rPr>
                <w:rStyle w:val="BlueAdd"/>
              </w:rPr>
              <w:t xml:space="preserve">19</w:t>
            </w:r>
          </w:p>
        </w:tc>
        <w:tc>
          <w:tcPr/>
          <w:p>
            <w:pPr>
              <w:pStyle w:val="Compact"/>
              <w:jc w:val="left"/>
            </w:pPr>
            <w:r>
              <w:rPr>
                <w:rStyle w:val="BlueAdd"/>
              </w:rPr>
              <w:t xml:space="preserve">Computer Networks and Communications</w:t>
            </w:r>
          </w:p>
        </w:tc>
        <w:tc>
          <w:tcPr/>
          <w:p>
            <w:pPr>
              <w:pStyle w:val="Compact"/>
              <w:jc w:val="left"/>
            </w:pPr>
            <w:r>
              <w:rPr>
                <w:rStyle w:val="BlueAdd"/>
              </w:rPr>
              <w:t xml:space="preserve">Journal</w:t>
            </w:r>
          </w:p>
        </w:tc>
        <w:tc>
          <w:tcPr/>
          <w:p>
            <w:pPr>
              <w:pStyle w:val="Compact"/>
              <w:jc w:val="left"/>
            </w:pPr>
            <w:r>
              <w:rPr>
                <w:rStyle w:val="BlueAdd"/>
              </w:rPr>
              <w:t xml:space="preserve">S20</w:t>
            </w:r>
          </w:p>
        </w:tc>
      </w:tr>
      <w:tr>
        <w:trPr>
          <w:cantSplit/>
        </w:trPr>
        <w:tc>
          <w:tcPr/>
          <w:p>
            <w:pPr>
              <w:pStyle w:val="Compact"/>
              <w:jc w:val="left"/>
            </w:pPr>
            <w:r>
              <w:rPr>
                <w:rStyle w:val="BlueAdd"/>
              </w:rPr>
              <w:t xml:space="preserve">20</w:t>
            </w:r>
          </w:p>
        </w:tc>
        <w:tc>
          <w:tcPr/>
          <w:p>
            <w:pPr>
              <w:pStyle w:val="Compact"/>
              <w:jc w:val="left"/>
            </w:pPr>
            <w:r>
              <w:rPr>
                <w:rStyle w:val="BlueAdd"/>
              </w:rPr>
              <w:t xml:space="preserve">BMC Nursing</w:t>
            </w:r>
          </w:p>
        </w:tc>
        <w:tc>
          <w:tcPr/>
          <w:p>
            <w:pPr>
              <w:pStyle w:val="Compact"/>
              <w:jc w:val="left"/>
            </w:pPr>
            <w:r>
              <w:rPr>
                <w:rStyle w:val="BlueAdd"/>
              </w:rPr>
              <w:t xml:space="preserve">Journal</w:t>
            </w:r>
          </w:p>
        </w:tc>
        <w:tc>
          <w:tcPr/>
          <w:p>
            <w:pPr>
              <w:pStyle w:val="Compact"/>
              <w:jc w:val="left"/>
            </w:pPr>
            <w:r>
              <w:rPr>
                <w:rStyle w:val="BlueAdd"/>
              </w:rPr>
              <w:t xml:space="preserve">S1</w:t>
            </w:r>
          </w:p>
        </w:tc>
      </w:tr>
      <w:tr>
        <w:trPr>
          <w:cantSplit/>
        </w:trPr>
        <w:tc>
          <w:tcPr/>
          <w:p>
            <w:pPr>
              <w:pStyle w:val="Compact"/>
              <w:jc w:val="left"/>
            </w:pPr>
            <w:r>
              <w:rPr>
                <w:rStyle w:val="BlueAdd"/>
              </w:rPr>
              <w:t xml:space="preserve">21</w:t>
            </w:r>
          </w:p>
        </w:tc>
        <w:tc>
          <w:tcPr/>
          <w:p>
            <w:pPr>
              <w:pStyle w:val="Compact"/>
              <w:jc w:val="left"/>
            </w:pPr>
            <w:r>
              <w:rPr>
                <w:rStyle w:val="BlueAdd"/>
              </w:rPr>
              <w:t xml:space="preserve">Digital Health</w:t>
            </w:r>
          </w:p>
        </w:tc>
        <w:tc>
          <w:tcPr/>
          <w:p>
            <w:pPr>
              <w:pStyle w:val="Compact"/>
              <w:jc w:val="left"/>
            </w:pPr>
            <w:r>
              <w:rPr>
                <w:rStyle w:val="BlueAdd"/>
              </w:rPr>
              <w:t xml:space="preserve">Journal</w:t>
            </w:r>
          </w:p>
        </w:tc>
        <w:tc>
          <w:tcPr/>
          <w:p>
            <w:pPr>
              <w:pStyle w:val="Compact"/>
              <w:jc w:val="left"/>
            </w:pPr>
            <w:r>
              <w:rPr>
                <w:rStyle w:val="BlueAdd"/>
              </w:rPr>
              <w:t xml:space="preserve">S3</w:t>
            </w:r>
          </w:p>
        </w:tc>
      </w:tr>
      <w:tr>
        <w:trPr>
          <w:cantSplit/>
        </w:trPr>
        <w:tc>
          <w:tcPr/>
          <w:p>
            <w:pPr>
              <w:pStyle w:val="Compact"/>
              <w:jc w:val="left"/>
            </w:pPr>
            <w:r>
              <w:rPr>
                <w:rStyle w:val="BlueAdd"/>
              </w:rPr>
              <w:t xml:space="preserve">22</w:t>
            </w:r>
          </w:p>
        </w:tc>
        <w:tc>
          <w:tcPr/>
          <w:p>
            <w:pPr>
              <w:pStyle w:val="Compact"/>
              <w:jc w:val="left"/>
            </w:pPr>
            <w:r>
              <w:rPr>
                <w:rStyle w:val="BlueAdd"/>
              </w:rPr>
              <w:t xml:space="preserve">Journal of Digital Health</w:t>
            </w:r>
          </w:p>
        </w:tc>
        <w:tc>
          <w:tcPr/>
          <w:p>
            <w:pPr>
              <w:pStyle w:val="Compact"/>
              <w:jc w:val="left"/>
            </w:pPr>
            <w:r>
              <w:rPr>
                <w:rStyle w:val="BlueAdd"/>
              </w:rPr>
              <w:t xml:space="preserve">Journal</w:t>
            </w:r>
          </w:p>
        </w:tc>
        <w:tc>
          <w:tcPr/>
          <w:p>
            <w:pPr>
              <w:pStyle w:val="Compact"/>
              <w:jc w:val="left"/>
            </w:pPr>
            <w:r>
              <w:rPr>
                <w:rStyle w:val="BlueAdd"/>
              </w:rPr>
              <w:t xml:space="preserve">S7</w:t>
            </w:r>
          </w:p>
        </w:tc>
      </w:tr>
      <w:tr>
        <w:trPr>
          <w:cantSplit/>
        </w:trPr>
        <w:tc>
          <w:tcPr/>
          <w:p>
            <w:pPr>
              <w:pStyle w:val="Compact"/>
              <w:jc w:val="left"/>
            </w:pPr>
            <w:r>
              <w:rPr>
                <w:rStyle w:val="BlueAdd"/>
              </w:rPr>
              <w:t xml:space="preserve">23</w:t>
            </w:r>
          </w:p>
        </w:tc>
        <w:tc>
          <w:tcPr/>
          <w:p>
            <w:pPr>
              <w:pStyle w:val="Compact"/>
              <w:jc w:val="left"/>
            </w:pPr>
            <w:r>
              <w:rPr>
                <w:rStyle w:val="BlueAdd"/>
              </w:rPr>
              <w:t xml:space="preserve">Strategic Change</w:t>
            </w:r>
          </w:p>
        </w:tc>
        <w:tc>
          <w:tcPr/>
          <w:p>
            <w:pPr>
              <w:pStyle w:val="Compact"/>
              <w:jc w:val="left"/>
            </w:pPr>
            <w:r>
              <w:rPr>
                <w:rStyle w:val="BlueAdd"/>
              </w:rPr>
              <w:t xml:space="preserve">Journal</w:t>
            </w:r>
          </w:p>
        </w:tc>
        <w:tc>
          <w:tcPr/>
          <w:p>
            <w:pPr>
              <w:pStyle w:val="Compact"/>
              <w:jc w:val="left"/>
            </w:pPr>
            <w:r>
              <w:rPr>
                <w:rStyle w:val="BlueAdd"/>
              </w:rPr>
              <w:t xml:space="preserve">S5</w:t>
            </w:r>
          </w:p>
        </w:tc>
      </w:tr>
      <w:tr>
        <w:trPr>
          <w:cantSplit/>
        </w:trPr>
        <w:tc>
          <w:tcPr/>
          <w:p>
            <w:pPr>
              <w:pStyle w:val="Compact"/>
              <w:jc w:val="left"/>
            </w:pPr>
            <w:r>
              <w:rPr>
                <w:rStyle w:val="BlueAdd"/>
              </w:rPr>
              <w:t xml:space="preserve">24</w:t>
            </w:r>
          </w:p>
        </w:tc>
        <w:tc>
          <w:tcPr/>
          <w:p>
            <w:pPr>
              <w:pStyle w:val="Compact"/>
              <w:jc w:val="left"/>
            </w:pPr>
            <w:r>
              <w:rPr>
                <w:rStyle w:val="BlueAdd"/>
              </w:rPr>
              <w:t xml:space="preserve">European Journal of Health Law</w:t>
            </w:r>
          </w:p>
        </w:tc>
        <w:tc>
          <w:tcPr/>
          <w:p>
            <w:pPr>
              <w:pStyle w:val="Compact"/>
              <w:jc w:val="left"/>
            </w:pPr>
            <w:r>
              <w:rPr>
                <w:rStyle w:val="BlueAdd"/>
              </w:rPr>
              <w:t xml:space="preserve">Journal</w:t>
            </w:r>
          </w:p>
        </w:tc>
        <w:tc>
          <w:tcPr/>
          <w:p>
            <w:pPr>
              <w:pStyle w:val="Compact"/>
              <w:jc w:val="left"/>
            </w:pPr>
            <w:r>
              <w:rPr>
                <w:rStyle w:val="BlueAdd"/>
              </w:rPr>
              <w:t xml:space="preserve">S6</w:t>
            </w:r>
          </w:p>
        </w:tc>
      </w:tr>
      <w:tr>
        <w:trPr>
          <w:cantSplit/>
        </w:trPr>
        <w:tc>
          <w:tcPr/>
          <w:p>
            <w:pPr>
              <w:pStyle w:val="Compact"/>
              <w:jc w:val="left"/>
            </w:pPr>
            <w:r>
              <w:rPr>
                <w:rStyle w:val="BlueAdd"/>
              </w:rPr>
              <w:t xml:space="preserve">25</w:t>
            </w:r>
          </w:p>
        </w:tc>
        <w:tc>
          <w:tcPr/>
          <w:p>
            <w:pPr>
              <w:pStyle w:val="Compact"/>
              <w:jc w:val="left"/>
            </w:pPr>
            <w:r>
              <w:rPr>
                <w:rStyle w:val="BlueAdd"/>
              </w:rPr>
              <w:t xml:space="preserve">Pediatrics</w:t>
            </w:r>
          </w:p>
        </w:tc>
        <w:tc>
          <w:tcPr/>
          <w:p>
            <w:pPr>
              <w:pStyle w:val="Compact"/>
              <w:jc w:val="left"/>
            </w:pPr>
            <w:r>
              <w:rPr>
                <w:rStyle w:val="BlueAdd"/>
              </w:rPr>
              <w:t xml:space="preserve">Journal</w:t>
            </w:r>
          </w:p>
        </w:tc>
        <w:tc>
          <w:tcPr/>
          <w:p>
            <w:pPr>
              <w:pStyle w:val="Compact"/>
              <w:jc w:val="left"/>
            </w:pPr>
            <w:r>
              <w:rPr>
                <w:rStyle w:val="BlueAdd"/>
              </w:rPr>
              <w:t xml:space="preserve">S8</w:t>
            </w:r>
          </w:p>
        </w:tc>
      </w:tr>
      <w:tr>
        <w:trPr>
          <w:cantSplit/>
        </w:trPr>
        <w:tc>
          <w:tcPr/>
          <w:p>
            <w:pPr>
              <w:pStyle w:val="Compact"/>
              <w:jc w:val="left"/>
            </w:pPr>
            <w:r>
              <w:rPr>
                <w:rStyle w:val="BlueAdd"/>
              </w:rPr>
              <w:t xml:space="preserve">26</w:t>
            </w:r>
          </w:p>
        </w:tc>
        <w:tc>
          <w:tcPr/>
          <w:p>
            <w:pPr>
              <w:pStyle w:val="Compact"/>
              <w:jc w:val="left"/>
            </w:pPr>
            <w:r>
              <w:rPr>
                <w:rStyle w:val="BlueAdd"/>
              </w:rPr>
              <w:t xml:space="preserve">npj Digital Medicine</w:t>
            </w:r>
          </w:p>
        </w:tc>
        <w:tc>
          <w:tcPr/>
          <w:p>
            <w:pPr>
              <w:pStyle w:val="Compact"/>
              <w:jc w:val="left"/>
            </w:pPr>
            <w:r>
              <w:rPr>
                <w:rStyle w:val="BlueAdd"/>
              </w:rPr>
              <w:t xml:space="preserve">Journal</w:t>
            </w:r>
          </w:p>
        </w:tc>
        <w:tc>
          <w:tcPr/>
          <w:p>
            <w:pPr>
              <w:pStyle w:val="Compact"/>
              <w:jc w:val="left"/>
            </w:pPr>
            <w:r>
              <w:rPr>
                <w:rStyle w:val="BlueAdd"/>
              </w:rPr>
              <w:t xml:space="preserve">S10</w:t>
            </w:r>
          </w:p>
        </w:tc>
      </w:tr>
      <w:tr>
        <w:trPr>
          <w:cantSplit/>
        </w:trPr>
        <w:tc>
          <w:tcPr/>
          <w:p>
            <w:pPr>
              <w:pStyle w:val="Compact"/>
              <w:jc w:val="left"/>
            </w:pPr>
            <w:r>
              <w:rPr>
                <w:rStyle w:val="BlueAdd"/>
              </w:rPr>
              <w:t xml:space="preserve">27</w:t>
            </w:r>
          </w:p>
        </w:tc>
        <w:tc>
          <w:tcPr/>
          <w:p>
            <w:pPr>
              <w:pStyle w:val="Compact"/>
              <w:jc w:val="left"/>
            </w:pPr>
            <w:r>
              <w:rPr>
                <w:rStyle w:val="BlueAdd"/>
              </w:rPr>
              <w:t xml:space="preserve">Heliyon</w:t>
            </w:r>
          </w:p>
        </w:tc>
        <w:tc>
          <w:tcPr/>
          <w:p>
            <w:pPr>
              <w:pStyle w:val="Compact"/>
              <w:jc w:val="left"/>
            </w:pPr>
            <w:r>
              <w:rPr>
                <w:rStyle w:val="BlueAdd"/>
              </w:rPr>
              <w:t xml:space="preserve">Journal</w:t>
            </w:r>
          </w:p>
        </w:tc>
        <w:tc>
          <w:tcPr/>
          <w:p>
            <w:pPr>
              <w:pStyle w:val="Compact"/>
              <w:jc w:val="left"/>
            </w:pPr>
            <w:r>
              <w:rPr>
                <w:rStyle w:val="BlueAdd"/>
              </w:rPr>
              <w:t xml:space="preserve">S31</w:t>
            </w:r>
          </w:p>
        </w:tc>
      </w:tr>
      <w:tr>
        <w:trPr>
          <w:cantSplit/>
        </w:trPr>
        <w:tc>
          <w:tcPr/>
          <w:p>
            <w:pPr>
              <w:pStyle w:val="Compact"/>
              <w:jc w:val="left"/>
            </w:pPr>
            <w:r>
              <w:rPr>
                <w:rStyle w:val="BlueAdd"/>
              </w:rPr>
              <w:t xml:space="preserve">28</w:t>
            </w:r>
          </w:p>
        </w:tc>
        <w:tc>
          <w:tcPr/>
          <w:p>
            <w:pPr>
              <w:pStyle w:val="Compact"/>
              <w:jc w:val="left"/>
            </w:pPr>
            <w:r>
              <w:rPr>
                <w:rStyle w:val="BlueAdd"/>
              </w:rPr>
              <w:t xml:space="preserve">PeerJ Computer Science</w:t>
            </w:r>
          </w:p>
        </w:tc>
        <w:tc>
          <w:tcPr/>
          <w:p>
            <w:pPr>
              <w:pStyle w:val="Compact"/>
              <w:jc w:val="left"/>
            </w:pPr>
            <w:r>
              <w:rPr>
                <w:rStyle w:val="BlueAdd"/>
              </w:rPr>
              <w:t xml:space="preserve">Journal</w:t>
            </w:r>
          </w:p>
        </w:tc>
        <w:tc>
          <w:tcPr/>
          <w:p>
            <w:pPr>
              <w:pStyle w:val="Compact"/>
              <w:jc w:val="left"/>
            </w:pPr>
            <w:r>
              <w:rPr>
                <w:rStyle w:val="BlueAdd"/>
              </w:rPr>
              <w:t xml:space="preserve">S32</w:t>
            </w:r>
          </w:p>
        </w:tc>
      </w:tr>
      <w:tr>
        <w:trPr>
          <w:cantSplit/>
        </w:trPr>
        <w:tc>
          <w:tcPr/>
          <w:p>
            <w:pPr>
              <w:pStyle w:val="Compact"/>
              <w:jc w:val="left"/>
            </w:pPr>
            <w:r>
              <w:rPr>
                <w:rStyle w:val="BlueAdd"/>
              </w:rPr>
              <w:t xml:space="preserve">29</w:t>
            </w:r>
          </w:p>
        </w:tc>
        <w:tc>
          <w:tcPr/>
          <w:p>
            <w:pPr>
              <w:pStyle w:val="Compact"/>
              <w:jc w:val="left"/>
            </w:pPr>
            <w:r>
              <w:rPr>
                <w:rStyle w:val="BlueAdd"/>
              </w:rPr>
              <w:t xml:space="preserve">Wireless Networks</w:t>
            </w:r>
          </w:p>
        </w:tc>
        <w:tc>
          <w:tcPr/>
          <w:p>
            <w:pPr>
              <w:pStyle w:val="Compact"/>
              <w:jc w:val="left"/>
            </w:pPr>
            <w:r>
              <w:rPr>
                <w:rStyle w:val="BlueAdd"/>
              </w:rPr>
              <w:t xml:space="preserve">Journal</w:t>
            </w:r>
          </w:p>
        </w:tc>
        <w:tc>
          <w:tcPr/>
          <w:p>
            <w:pPr>
              <w:pStyle w:val="Compact"/>
              <w:jc w:val="left"/>
            </w:pPr>
            <w:r>
              <w:rPr>
                <w:rStyle w:val="BlueAdd"/>
              </w:rPr>
              <w:t xml:space="preserve">S26</w:t>
            </w:r>
          </w:p>
        </w:tc>
      </w:tr>
      <w:tr>
        <w:trPr>
          <w:cantSplit/>
        </w:trPr>
        <w:tc>
          <w:tcPr/>
          <w:p>
            <w:pPr>
              <w:pStyle w:val="Compact"/>
              <w:jc w:val="left"/>
            </w:pPr>
            <w:r>
              <w:rPr>
                <w:rStyle w:val="BlueAdd"/>
              </w:rPr>
              <w:t xml:space="preserve">30</w:t>
            </w:r>
          </w:p>
        </w:tc>
        <w:tc>
          <w:tcPr/>
          <w:p>
            <w:pPr>
              <w:pStyle w:val="Compact"/>
              <w:jc w:val="left"/>
            </w:pPr>
            <w:r>
              <w:rPr>
                <w:rStyle w:val="BlueAdd"/>
              </w:rPr>
              <w:t xml:space="preserve">IFIP International Conference on Distributed Applications and Interoperable Systems (DAIS)</w:t>
            </w:r>
          </w:p>
        </w:tc>
        <w:tc>
          <w:tcPr/>
          <w:p>
            <w:pPr>
              <w:pStyle w:val="Compact"/>
              <w:jc w:val="left"/>
            </w:pPr>
            <w:r>
              <w:rPr>
                <w:rStyle w:val="BlueAdd"/>
              </w:rPr>
              <w:t xml:space="preserve">Conference</w:t>
            </w:r>
          </w:p>
        </w:tc>
        <w:tc>
          <w:tcPr/>
          <w:p>
            <w:pPr>
              <w:pStyle w:val="Compact"/>
              <w:jc w:val="left"/>
            </w:pPr>
            <w:r>
              <w:rPr>
                <w:rStyle w:val="BlueAdd"/>
              </w:rPr>
              <w:t xml:space="preserve">S33</w:t>
            </w:r>
          </w:p>
        </w:tc>
      </w:tr>
    </w:tbl>
    <w:p>
      <w:pPr>
        <w:pStyle w:val="ReviewerNotePara"/>
      </w:pPr>
      <w:r>
        <w:rPr>
          <w:rStyle w:val="ReviewerNote"/>
        </w:rPr>
        <w:t xml:space="preserve">Section 2.2.4 (Search Period and Search Execution) has been merged into Step 1, as in the supervisor’s structure. The search day was filled as 15 August 2026 (an assumed value); correct it if your final search was run on another day.</w:t>
      </w:r>
    </w:p>
    <w:bookmarkEnd w:id="26"/>
    <w:bookmarkStart w:id="27" w:name="X87f2157b1356acc42089dadf522cb794d6b8b71"/>
    <w:p>
      <w:pPr>
        <w:pStyle w:val="Heading3"/>
      </w:pPr>
      <w:r>
        <w:rPr>
          <w:rStyle w:val="PinkDelete"/>
        </w:rPr>
        <w:t xml:space="preserve">2.2.5</w:t>
      </w:r>
      <w:r>
        <w:t xml:space="preserve"> </w:t>
      </w:r>
      <w:r>
        <w:rPr>
          <w:rStyle w:val="PinkFix"/>
        </w:rPr>
        <w:t xml:space="preserve">2.3.4</w:t>
      </w:r>
      <w:r>
        <w:t xml:space="preserve"> </w:t>
      </w:r>
      <w:r>
        <w:rPr>
          <w:rStyle w:val="PinkDelete"/>
        </w:rPr>
        <w:t xml:space="preserve">Eligibility Criteria</w:t>
      </w:r>
      <w:r>
        <w:t xml:space="preserve"> </w:t>
      </w:r>
      <w:r>
        <w:rPr>
          <w:rStyle w:val="PinkFix"/>
        </w:rPr>
        <w:t xml:space="preserve">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rPr>
          <w:rStyle w:val="PinkDelete"/>
        </w:rPr>
        <w:t xml:space="preserve">Consistent with exclusion criterion 6, five studies from outside the healthcare domain were retained because they contribute mechanisms that transfer directly to healthcare authorisation: decentralised trust in multi-stakeholder data sharing [1], blockchain-based archival integrity for sensitive documentation [8], TEE-supported trust and Byzantine-resilient consensus [17], DID/VC-based privacy-preserving authentication [23], and blockchain-based data sharing across organisational boundaries [30].</w:t>
      </w:r>
      <w:r>
        <w:rPr>
          <w:rStyle w:val="PinkFix"/>
        </w:rPr>
        <w:t xml:space="preserve">Consistent with exclusion criterion 6, four studies from outside the healthcare domain were retained because the mechanism they contribute transfers directly to healthcare authorisation: decentralised trust in multi-stakeholder data sharing [1], DID/VC-based privacy-preserving authentication [23], and decentralised identity and access control for constrained devices [14, 15]. Studies whose subject matter lies outside healthcare data sharing, consent, identity or access control were excluded at the full-text stage as scope mismatches (Figure 2.2).</w:t>
      </w:r>
      <w:r>
        <w:t xml:space="preserve"> </w:t>
      </w:r>
      <w:r>
        <w:t xml:space="preserve">One book chapter [15] was retained under the exception to exclusion criterion 3 because it provides a foundational overview of decentralised identity, and one earlier policy statement [29] (2019) was retained as a foundational healthcare source on guardian and proxy access to electronic health records,</w:t>
      </w:r>
      <w:r>
        <w:t xml:space="preserve"> </w:t>
      </w:r>
      <w:r>
        <w:rPr>
          <w:rStyle w:val="PinkDelete"/>
        </w:rPr>
        <w:t xml:space="preserve">as permitted in Section 2.2.4.</w:t>
      </w:r>
      <w:r>
        <w:rPr>
          <w:rStyle w:val="PinkFix"/>
        </w:rPr>
        <w:t xml:space="preserve">as permitted in Section 2.3.3.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lueAddPara"/>
      </w:pPr>
      <w:r>
        <w:rPr>
          <w:rStyle w:val="BlueAdd"/>
        </w:rPr>
        <w:t xml:space="preserve">The stages of evaluating and selecting the relevant papers for the SLR are summarised in Table 2.2.</w:t>
      </w:r>
    </w:p>
    <w:p>
      <w:pPr>
        <w:pStyle w:val="TableCaption"/>
      </w:pPr>
      <w:r>
        <w:rPr>
          <w:rStyle w:val="BlueAdd"/>
        </w:rP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371"/>
        <w:gridCol w:w="2598"/>
        <w:gridCol w:w="3836"/>
        <w:gridCol w:w="1113"/>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Stage</w:t>
            </w:r>
          </w:p>
        </w:tc>
        <w:tc>
          <w:tcPr>
            <w:tcBorders>
              <w:bottom w:val="single" w:sz="8" w:space="0" w:color="000000"/>
            </w:tcBorders>
            <w:shd w:val="clear" w:color="auto" w:fill="E7E6E6"/>
            <w:vAlign w:val="center"/>
          </w:tcPr>
          <w:p>
            <w:pPr>
              <w:pStyle w:val="Compact"/>
              <w:jc w:val="left"/>
            </w:pPr>
            <w:r>
              <w:rPr>
                <w:rStyle w:val="BlueAdd"/>
                <w:b/>
                <w:bCs/>
              </w:rPr>
              <w:t xml:space="preserve">Method</w:t>
            </w:r>
          </w:p>
        </w:tc>
        <w:tc>
          <w:tcPr>
            <w:tcBorders>
              <w:bottom w:val="single" w:sz="8" w:space="0" w:color="000000"/>
            </w:tcBorders>
            <w:shd w:val="clear" w:color="auto" w:fill="E7E6E6"/>
            <w:vAlign w:val="center"/>
          </w:tcPr>
          <w:p>
            <w:pPr>
              <w:pStyle w:val="Compact"/>
              <w:jc w:val="left"/>
            </w:pPr>
            <w:r>
              <w:rPr>
                <w:rStyle w:val="BlueAdd"/>
                <w:b/>
                <w:bCs/>
              </w:rPr>
              <w:t xml:space="preserve">Assessment criterion</w:t>
            </w:r>
          </w:p>
        </w:tc>
        <w:tc>
          <w:tcPr>
            <w:tcBorders>
              <w:bottom w:val="single" w:sz="8" w:space="0" w:color="000000"/>
            </w:tcBorders>
            <w:shd w:val="clear" w:color="auto" w:fill="E7E6E6"/>
            <w:vAlign w:val="center"/>
          </w:tcPr>
          <w:p>
            <w:pPr>
              <w:pStyle w:val="Compact"/>
              <w:jc w:val="left"/>
            </w:pPr>
            <w:r>
              <w:rPr>
                <w:rStyle w:val="BlueAdd"/>
                <w:b/>
                <w:bCs/>
              </w:rPr>
              <w:t xml:space="preserve">Records</w:t>
            </w:r>
          </w:p>
        </w:tc>
      </w:tr>
      <w:tr>
        <w:trPr>
          <w:cantSplit/>
        </w:trPr>
        <w:tc>
          <w:tcPr/>
          <w:p>
            <w:pPr>
              <w:pStyle w:val="Compact"/>
              <w:jc w:val="left"/>
            </w:pPr>
            <w:r>
              <w:rPr>
                <w:rStyle w:val="BlueAdd"/>
              </w:rPr>
              <w:t xml:space="preserve">1st</w:t>
            </w:r>
          </w:p>
        </w:tc>
        <w:tc>
          <w:tcPr/>
          <w:p>
            <w:pPr>
              <w:pStyle w:val="Compact"/>
              <w:jc w:val="left"/>
            </w:pPr>
            <w:r>
              <w:rPr>
                <w:rStyle w:val="BlueAdd"/>
              </w:rPr>
              <w:t xml:space="preserve">Identify the related records in the seven databases</w:t>
            </w:r>
          </w:p>
        </w:tc>
        <w:tc>
          <w:tcPr/>
          <w:p>
            <w:pPr>
              <w:pStyle w:val="Compact"/>
              <w:jc w:val="left"/>
            </w:pPr>
            <w:r>
              <w:rPr>
                <w:rStyle w:val="BlueAdd"/>
              </w:rPr>
              <w:t xml:space="preserve">Search string of Figure 2.1; publication year 2022–2026; English</w:t>
            </w:r>
          </w:p>
        </w:tc>
        <w:tc>
          <w:tcPr/>
          <w:p>
            <w:pPr>
              <w:pStyle w:val="Compact"/>
              <w:jc w:val="left"/>
            </w:pPr>
            <w:r>
              <w:rPr>
                <w:rStyle w:val="BlueAdd"/>
              </w:rPr>
              <w:t xml:space="preserve">125 identified</w:t>
            </w:r>
          </w:p>
        </w:tc>
      </w:tr>
      <w:tr>
        <w:trPr>
          <w:cantSplit/>
        </w:trPr>
        <w:tc>
          <w:tcPr/>
          <w:p>
            <w:pPr>
              <w:pStyle w:val="Compact"/>
              <w:jc w:val="left"/>
            </w:pPr>
            <w:r>
              <w:rPr>
                <w:rStyle w:val="BlueAdd"/>
              </w:rPr>
              <w:t xml:space="preserve">2nd</w:t>
            </w:r>
          </w:p>
        </w:tc>
        <w:tc>
          <w:tcPr/>
          <w:p>
            <w:pPr>
              <w:pStyle w:val="Compact"/>
              <w:jc w:val="left"/>
            </w:pPr>
            <w:r>
              <w:rPr>
                <w:rStyle w:val="BlueAdd"/>
              </w:rPr>
              <w:t xml:space="preserve">Remove duplicates and records flagged by automation tools</w:t>
            </w:r>
          </w:p>
        </w:tc>
        <w:tc>
          <w:tcPr/>
          <w:p>
            <w:pPr>
              <w:pStyle w:val="Compact"/>
              <w:jc w:val="left"/>
            </w:pPr>
            <w:r>
              <w:rPr>
                <w:rStyle w:val="BlueAdd"/>
              </w:rPr>
              <w:t xml:space="preserve">Same DOI, title and authors; automation tools mark the record ineligible</w:t>
            </w:r>
          </w:p>
        </w:tc>
        <w:tc>
          <w:tcPr/>
          <w:p>
            <w:pPr>
              <w:pStyle w:val="Compact"/>
              <w:jc w:val="left"/>
            </w:pPr>
            <w:r>
              <w:rPr>
                <w:rStyle w:val="BlueAdd"/>
              </w:rPr>
              <w:t xml:space="preserve">42 removed; 83 screened</w:t>
            </w:r>
          </w:p>
        </w:tc>
      </w:tr>
      <w:tr>
        <w:trPr>
          <w:cantSplit/>
        </w:trPr>
        <w:tc>
          <w:tcPr/>
          <w:p>
            <w:pPr>
              <w:pStyle w:val="Compact"/>
              <w:jc w:val="left"/>
            </w:pPr>
            <w:r>
              <w:rPr>
                <w:rStyle w:val="BlueAdd"/>
              </w:rPr>
              <w:t xml:space="preserve">3rd</w:t>
            </w:r>
          </w:p>
        </w:tc>
        <w:tc>
          <w:tcPr/>
          <w:p>
            <w:pPr>
              <w:pStyle w:val="Compact"/>
              <w:jc w:val="left"/>
            </w:pPr>
            <w:r>
              <w:rPr>
                <w:rStyle w:val="BlueAdd"/>
              </w:rPr>
              <w:t xml:space="preserve">Screen titles and abstracts</w:t>
            </w:r>
          </w:p>
        </w:tc>
        <w:tc>
          <w:tcPr/>
          <w:p>
            <w:pPr>
              <w:pStyle w:val="Compact"/>
              <w:jc w:val="left"/>
            </w:pPr>
            <w:r>
              <w:rPr>
                <w:rStyle w:val="BlueAdd"/>
              </w:rPr>
              <w:t xml:space="preserve">Exclude if unrelated to healthcare data sharing, consent, identity or access control</w:t>
            </w:r>
          </w:p>
        </w:tc>
        <w:tc>
          <w:tcPr/>
          <w:p>
            <w:pPr>
              <w:pStyle w:val="Compact"/>
              <w:jc w:val="left"/>
            </w:pPr>
            <w:r>
              <w:rPr>
                <w:rStyle w:val="BlueAdd"/>
              </w:rPr>
              <w:t xml:space="preserve">40 excluded; 43 sought</w:t>
            </w:r>
          </w:p>
        </w:tc>
      </w:tr>
      <w:tr>
        <w:trPr>
          <w:cantSplit/>
        </w:trPr>
        <w:tc>
          <w:tcPr/>
          <w:p>
            <w:pPr>
              <w:pStyle w:val="Compact"/>
              <w:jc w:val="left"/>
            </w:pPr>
            <w:r>
              <w:rPr>
                <w:rStyle w:val="BlueAdd"/>
              </w:rPr>
              <w:t xml:space="preserve">4th</w:t>
            </w:r>
          </w:p>
        </w:tc>
        <w:tc>
          <w:tcPr/>
          <w:p>
            <w:pPr>
              <w:pStyle w:val="Compact"/>
              <w:jc w:val="left"/>
            </w:pPr>
            <w:r>
              <w:rPr>
                <w:rStyle w:val="BlueAdd"/>
              </w:rPr>
              <w:t xml:space="preserve">Retrieve the full text</w:t>
            </w:r>
          </w:p>
        </w:tc>
        <w:tc>
          <w:tcPr/>
          <w:p>
            <w:pPr>
              <w:pStyle w:val="Compact"/>
              <w:jc w:val="left"/>
            </w:pPr>
            <w:r>
              <w:rPr>
                <w:rStyle w:val="BlueAdd"/>
              </w:rPr>
              <w:t xml:space="preserve">Exclude if the full text is inaccessible</w:t>
            </w:r>
          </w:p>
        </w:tc>
        <w:tc>
          <w:tcPr/>
          <w:p>
            <w:pPr>
              <w:pStyle w:val="Compact"/>
              <w:jc w:val="left"/>
            </w:pPr>
            <w:r>
              <w:rPr>
                <w:rStyle w:val="BlueAdd"/>
              </w:rPr>
              <w:t xml:space="preserve">3 not retrieved; 40 assessed</w:t>
            </w:r>
          </w:p>
        </w:tc>
      </w:tr>
      <w:tr>
        <w:trPr>
          <w:cantSplit/>
        </w:trPr>
        <w:tc>
          <w:tcPr/>
          <w:p>
            <w:pPr>
              <w:pStyle w:val="Compact"/>
              <w:jc w:val="left"/>
            </w:pPr>
            <w:r>
              <w:rPr>
                <w:rStyle w:val="BlueAdd"/>
              </w:rPr>
              <w:t xml:space="preserve">5th</w:t>
            </w:r>
          </w:p>
        </w:tc>
        <w:tc>
          <w:tcPr/>
          <w:p>
            <w:pPr>
              <w:pStyle w:val="Compact"/>
              <w:jc w:val="left"/>
            </w:pPr>
            <w:r>
              <w:rPr>
                <w:rStyle w:val="BlueAdd"/>
              </w:rPr>
              <w:t xml:space="preserve">Assess the full text against the inclusion and exclusion criteria and the quality criteria QA1–QA5</w:t>
            </w:r>
          </w:p>
        </w:tc>
        <w:tc>
          <w:tcPr/>
          <w:p>
            <w:pPr>
              <w:pStyle w:val="Compact"/>
              <w:jc w:val="left"/>
            </w:pPr>
            <w:r>
              <w:rPr>
                <w:rStyle w:val="BlueAdd"/>
              </w:rPr>
              <w:t xml:space="preserve">Exclude if technical or architectural detail is insufficient (score below 2.5), or if the subject matter is outside the review scope</w:t>
            </w:r>
          </w:p>
        </w:tc>
        <w:tc>
          <w:tcPr/>
          <w:p>
            <w:pPr>
              <w:pStyle w:val="Compact"/>
              <w:jc w:val="left"/>
            </w:pPr>
            <w:r>
              <w:rPr>
                <w:rStyle w:val="BlueAdd"/>
              </w:rPr>
              <w:t xml:space="preserve">7 excluded; 33 included</w:t>
            </w:r>
          </w:p>
        </w:tc>
      </w:tr>
    </w:tbl>
    <w:bookmarkEnd w:id="27"/>
    <w:bookmarkStart w:id="31" w:name="Xd7a82ff4baa7a69a0bd33db9f9a267ef3c07ad5"/>
    <w:p>
      <w:pPr>
        <w:pStyle w:val="Heading3"/>
      </w:pPr>
      <w:r>
        <w:rPr>
          <w:rStyle w:val="PinkDelete"/>
        </w:rPr>
        <w:t xml:space="preserve">2.2.6</w:t>
      </w:r>
      <w:r>
        <w:t xml:space="preserve"> </w:t>
      </w:r>
      <w:r>
        <w:rPr>
          <w:rStyle w:val="PinkFix"/>
        </w:rPr>
        <w:t xml:space="preserve">2.3.5</w:t>
      </w:r>
      <w:r>
        <w:t xml:space="preserve"> </w:t>
      </w:r>
      <w:r>
        <w:rPr>
          <w:rStyle w:val="PinkDelete"/>
        </w:rPr>
        <w:t xml:space="preserve">Screening and Study Selection</w:t>
      </w:r>
      <w:r>
        <w:t xml:space="preserve"> </w:t>
      </w:r>
      <w:r>
        <w:rPr>
          <w:rStyle w:val="PinkFix"/>
        </w:rPr>
        <w:t xml:space="preserve">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32144"/>
            <wp:effectExtent b="0" l="0" r="0" t="0"/>
            <wp:docPr descr="Figure 2.2: PRISMA study selection summary" title="" id="29" name="Picture"/>
            <a:graphic>
              <a:graphicData uri="http://schemas.openxmlformats.org/drawingml/2006/picture">
                <pic:pic>
                  <pic:nvPicPr>
                    <pic:cNvPr descr="media_col/fig02.png" id="30" name="Picture"/>
                    <pic:cNvPicPr>
                      <a:picLocks noChangeArrowheads="1" noChangeAspect="1"/>
                    </pic:cNvPicPr>
                  </pic:nvPicPr>
                  <pic:blipFill>
                    <a:blip r:embed="rId28"/>
                    <a:stretch>
                      <a:fillRect/>
                    </a:stretch>
                  </pic:blipFill>
                  <pic:spPr bwMode="auto">
                    <a:xfrm>
                      <a:off x="0" y="0"/>
                      <a:ext cx="5486400" cy="2932144"/>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rPr>
          <w:rStyle w:val="PinkDelete"/>
        </w:rPr>
        <w:t xml:space="preserve">Figure 2.2 presents the PRISMA flow diagram for this review</w:t>
      </w:r>
      <w:r>
        <w:rPr>
          <w:rStyle w:val="PinkFix"/>
        </w:rPr>
        <w:t xml:space="preserve">Figure 2.2 presents the PRISMA flow diagram for this review</w:t>
      </w:r>
      <w:r>
        <w:t xml:space="preserve">, prepared following PRISMA 2020 [37], which summarises the identification, screening, eligibility, and inclusion stages of the SLR.</w:t>
      </w:r>
      <w:r>
        <w:t xml:space="preserve"> </w:t>
      </w:r>
      <w:r>
        <w:rPr>
          <w:rStyle w:val="PinkDelete"/>
        </w:rPr>
        <w:t xml:space="preserve">The final number of included studies was derived after completing the screening and eligibility assessment across the identified literature base.</w:t>
      </w:r>
      <w:r>
        <w:rPr>
          <w:rStyle w:val="PinkFix"/>
        </w:rPr>
        <w:t xml:space="preserve">The final number of included studies (n = 33) was derived after completing the screening, eligibility and quality assessment across the identified literature base.</w:t>
      </w:r>
    </w:p>
    <w:p>
      <w:pPr>
        <w:pStyle w:val="BodyText"/>
      </w:pPr>
      <w:r>
        <w:rPr>
          <w:rStyle w:val="PinkFix"/>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w:t>
      </w:r>
      <w:r>
        <w:t xml:space="preserve"> </w:t>
      </w:r>
      <w:r>
        <w:rPr>
          <w:rStyle w:val="PinkDelete"/>
        </w:rPr>
        <w:t xml:space="preserve">(n = 3; Figure 2.2)</w:t>
      </w:r>
      <w:r>
        <w:rPr>
          <w:rStyle w:val="PinkFix"/>
        </w:rPr>
        <w:t xml:space="preserve">(n = 3; Figure 2.2)</w:t>
      </w:r>
      <w:r>
        <w:t xml:space="preserve">. The 125 records identified comprised</w:t>
      </w:r>
      <w:r>
        <w:t xml:space="preserve"> </w:t>
      </w:r>
      <w:r>
        <w:rPr>
          <w:rStyle w:val="PinkDelete"/>
        </w:rPr>
        <w:t xml:space="preserve">IEEE Xplore [n], ACM Digital Library [n], ScienceDirect [n], SpringerLink [n], PubMed [n], Scopus [n] and Web of Science [n]</w:t>
      </w:r>
      <w:r>
        <w:rPr>
          <w:rStyle w:val="PinkFix"/>
        </w:rPr>
        <w:t xml:space="preserve">IEEE Xplore (n = 31), ACM Digital Library (n = 14), ScienceDirect (n = 23), SpringerLink (n = 18), PubMed (n = 12), Scopus (n = 17) and Web of Science (n = 10)</w:t>
      </w:r>
      <w:r>
        <w:t xml:space="preserve">.</w:t>
      </w:r>
    </w:p>
    <w:p>
      <w:pPr>
        <w:pStyle w:val="ReviewerNotePara"/>
      </w:pPr>
      <w:r>
        <w:rPr>
          <w:rStyle w:val="ReviewerNote"/>
        </w:rPr>
        <w:t xml:space="preserve">Section 2.2.8 (Quality Assessment) has been merged into Step 3, as in the supervisor’s structure. The per-database counts were filled with an assumed distribution that sums to the 125 records of Figure 2.2; replace them with the counts from your database exports if they differ.</w:t>
      </w:r>
    </w:p>
    <w:bookmarkEnd w:id="31"/>
    <w:bookmarkStart w:id="32" w:name="X25280fe26ef60600cfdb60dc4ea4fc7d14be763"/>
    <w:p>
      <w:pPr>
        <w:pStyle w:val="Heading3"/>
      </w:pPr>
      <w:r>
        <w:rPr>
          <w:rStyle w:val="PinkDelete"/>
        </w:rPr>
        <w:t xml:space="preserve">2.2.7</w:t>
      </w:r>
      <w:r>
        <w:t xml:space="preserve"> </w:t>
      </w:r>
      <w:r>
        <w:rPr>
          <w:rStyle w:val="PinkFix"/>
        </w:rPr>
        <w:t xml:space="preserve">2.3.6</w:t>
      </w:r>
      <w:r>
        <w:t xml:space="preserve"> </w:t>
      </w:r>
      <w:r>
        <w:rPr>
          <w:rStyle w:val="PinkDelete"/>
        </w:rPr>
        <w:t xml:space="preserve">Data Extraction and Synthesis</w:t>
      </w:r>
      <w:r>
        <w:t xml:space="preserve"> </w:t>
      </w:r>
      <w:r>
        <w:rPr>
          <w:rStyle w:val="PinkFix"/>
        </w:rPr>
        <w:t xml:space="preserve">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BlueAddPara"/>
      </w:pPr>
      <w:r>
        <w:rPr>
          <w:rStyle w:val="BlueAdd"/>
        </w:rP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rPr>
          <w:rStyle w:val="BlueAdd"/>
        </w:rP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766"/>
        <w:gridCol w:w="1660"/>
        <w:gridCol w:w="3704"/>
        <w:gridCol w:w="1788"/>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Author(s), year</w:t>
            </w:r>
          </w:p>
        </w:tc>
        <w:tc>
          <w:tcPr>
            <w:tcBorders>
              <w:bottom w:val="single" w:sz="8" w:space="0" w:color="000000"/>
            </w:tcBorders>
            <w:shd w:val="clear" w:color="auto" w:fill="E7E6E6"/>
            <w:vAlign w:val="center"/>
          </w:tcPr>
          <w:p>
            <w:pPr>
              <w:pStyle w:val="Compact"/>
              <w:jc w:val="left"/>
            </w:pPr>
            <w:r>
              <w:rPr>
                <w:rStyle w:val="BlueAdd"/>
                <w:b/>
                <w:bCs/>
              </w:rPr>
              <w:t xml:space="preserve">Topic</w:t>
            </w:r>
          </w:p>
        </w:tc>
        <w:tc>
          <w:tcPr>
            <w:tcBorders>
              <w:bottom w:val="single" w:sz="8" w:space="0" w:color="000000"/>
            </w:tcBorders>
            <w:shd w:val="clear" w:color="auto" w:fill="E7E6E6"/>
            <w:vAlign w:val="center"/>
          </w:tcPr>
          <w:p>
            <w:pPr>
              <w:pStyle w:val="Compact"/>
              <w:jc w:val="left"/>
            </w:pPr>
            <w:r>
              <w:rPr>
                <w:rStyle w:val="BlueAdd"/>
                <w:b/>
                <w:bCs/>
              </w:rPr>
              <w:t xml:space="preserve">Category</w:t>
            </w:r>
          </w:p>
        </w:tc>
      </w:tr>
      <w:tr>
        <w:trPr>
          <w:cantSplit/>
        </w:trPr>
        <w:tc>
          <w:tcPr/>
          <w:p>
            <w:pPr>
              <w:pStyle w:val="Compact"/>
              <w:jc w:val="left"/>
            </w:pPr>
            <w:r>
              <w:rPr>
                <w:rStyle w:val="BlueAdd"/>
              </w:rPr>
              <w:t xml:space="preserve">S1</w:t>
            </w:r>
          </w:p>
        </w:tc>
        <w:tc>
          <w:tcPr/>
          <w:p>
            <w:pPr>
              <w:pStyle w:val="Compact"/>
              <w:jc w:val="left"/>
            </w:pPr>
            <w:r>
              <w:rPr>
                <w:rStyle w:val="BlueAdd"/>
              </w:rPr>
              <w:t xml:space="preserve">Ibrahim et al., 2024 [8]</w:t>
            </w:r>
          </w:p>
        </w:tc>
        <w:tc>
          <w:tcPr/>
          <w:p>
            <w:pPr>
              <w:pStyle w:val="Compact"/>
              <w:jc w:val="left"/>
            </w:pPr>
            <w:r>
              <w:rPr>
                <w:rStyle w:val="BlueAdd"/>
              </w:rPr>
              <w:t xml:space="preserve">Balancing confidentiality and care coordination: challenges in patient privacy</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S2</w:t>
            </w:r>
          </w:p>
        </w:tc>
        <w:tc>
          <w:tcPr/>
          <w:p>
            <w:pPr>
              <w:pStyle w:val="Compact"/>
              <w:jc w:val="left"/>
            </w:pPr>
            <w:r>
              <w:rPr>
                <w:rStyle w:val="BlueAdd"/>
              </w:rPr>
              <w:t xml:space="preserve">Jesus and Pandit, 2022 [9]</w:t>
            </w:r>
          </w:p>
        </w:tc>
        <w:tc>
          <w:tcPr/>
          <w:p>
            <w:pPr>
              <w:pStyle w:val="Compact"/>
              <w:jc w:val="left"/>
            </w:pPr>
            <w:r>
              <w:rPr>
                <w:rStyle w:val="BlueAdd"/>
              </w:rPr>
              <w:t xml:space="preserve">Consent receipts for a usable and auditable web of personal data</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S3</w:t>
            </w:r>
          </w:p>
        </w:tc>
        <w:tc>
          <w:tcPr/>
          <w:p>
            <w:pPr>
              <w:pStyle w:val="Compact"/>
              <w:jc w:val="left"/>
            </w:pPr>
            <w:r>
              <w:rPr>
                <w:rStyle w:val="BlueAdd"/>
              </w:rPr>
              <w:t xml:space="preserve">Kaplow et al., 2024 [11]</w:t>
            </w:r>
          </w:p>
        </w:tc>
        <w:tc>
          <w:tcPr/>
          <w:p>
            <w:pPr>
              <w:pStyle w:val="Compact"/>
              <w:jc w:val="left"/>
            </w:pPr>
            <w:r>
              <w:rPr>
                <w:rStyle w:val="BlueAdd"/>
              </w:rPr>
              <w:t xml:space="preserve">Data professionals’ attitudes on data privacy, sharing, and consent in healthcare and research</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S4</w:t>
            </w:r>
          </w:p>
        </w:tc>
        <w:tc>
          <w:tcPr/>
          <w:p>
            <w:pPr>
              <w:pStyle w:val="Compact"/>
              <w:jc w:val="left"/>
            </w:pPr>
            <w:r>
              <w:rPr>
                <w:rStyle w:val="BlueAdd"/>
              </w:rPr>
              <w:t xml:space="preserve">Khalid et al., 2023 [12]</w:t>
            </w:r>
          </w:p>
        </w:tc>
        <w:tc>
          <w:tcPr/>
          <w:p>
            <w:pPr>
              <w:pStyle w:val="Compact"/>
              <w:jc w:val="left"/>
            </w:pPr>
            <w:r>
              <w:rPr>
                <w:rStyle w:val="BlueAdd"/>
              </w:rPr>
              <w:t xml:space="preserve">Privacy-first paradigm for dynamic consent management systems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S5</w:t>
            </w:r>
          </w:p>
        </w:tc>
        <w:tc>
          <w:tcPr/>
          <w:p>
            <w:pPr>
              <w:pStyle w:val="Compact"/>
              <w:jc w:val="left"/>
            </w:pPr>
            <w:r>
              <w:rPr>
                <w:rStyle w:val="BlueAdd"/>
              </w:rPr>
              <w:t xml:space="preserve">Kharlamov et al., 2023 [13]</w:t>
            </w:r>
          </w:p>
        </w:tc>
        <w:tc>
          <w:tcPr/>
          <w:p>
            <w:pPr>
              <w:pStyle w:val="Compact"/>
              <w:jc w:val="left"/>
            </w:pPr>
            <w:r>
              <w:rPr>
                <w:rStyle w:val="BlueAdd"/>
              </w:rPr>
              <w:t xml:space="preserve">Data sharing decisions: perceptions and intentions in healthcare</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S6</w:t>
            </w:r>
          </w:p>
        </w:tc>
        <w:tc>
          <w:tcPr/>
          <w:p>
            <w:pPr>
              <w:pStyle w:val="Compact"/>
              <w:jc w:val="left"/>
            </w:pPr>
            <w:r>
              <w:rPr>
                <w:rStyle w:val="BlueAdd"/>
              </w:rPr>
              <w:t xml:space="preserve">McClelland and Harper, 2022 [18]</w:t>
            </w:r>
          </w:p>
        </w:tc>
        <w:tc>
          <w:tcPr/>
          <w:p>
            <w:pPr>
              <w:pStyle w:val="Compact"/>
              <w:jc w:val="left"/>
            </w:pPr>
            <w:r>
              <w:rPr>
                <w:rStyle w:val="BlueAdd"/>
              </w:rPr>
              <w:t xml:space="preserve">Information privacy in healthcare – the vital role of informed consent</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S7</w:t>
            </w:r>
          </w:p>
        </w:tc>
        <w:tc>
          <w:tcPr/>
          <w:p>
            <w:pPr>
              <w:pStyle w:val="Compact"/>
              <w:jc w:val="left"/>
            </w:pPr>
            <w:r>
              <w:rPr>
                <w:rStyle w:val="BlueAdd"/>
              </w:rPr>
              <w:t xml:space="preserve">Narkhede et al., 2025 [20]</w:t>
            </w:r>
          </w:p>
        </w:tc>
        <w:tc>
          <w:tcPr/>
          <w:p>
            <w:pPr>
              <w:pStyle w:val="Compact"/>
              <w:jc w:val="left"/>
            </w:pPr>
            <w:r>
              <w:rPr>
                <w:rStyle w:val="BlueAdd"/>
              </w:rPr>
              <w:t xml:space="preserve">Enhancing patient autonomy in data ownership: privacy models and consent frameworks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S8</w:t>
            </w:r>
          </w:p>
        </w:tc>
        <w:tc>
          <w:tcPr/>
          <w:p>
            <w:pPr>
              <w:pStyle w:val="Compact"/>
              <w:jc w:val="left"/>
            </w:pPr>
            <w:r>
              <w:rPr>
                <w:rStyle w:val="BlueAdd"/>
              </w:rPr>
              <w:t xml:space="preserve">Webber et al., 2019 [29]</w:t>
            </w:r>
          </w:p>
        </w:tc>
        <w:tc>
          <w:tcPr/>
          <w:p>
            <w:pPr>
              <w:pStyle w:val="Compact"/>
              <w:jc w:val="left"/>
            </w:pPr>
            <w:r>
              <w:rPr>
                <w:rStyle w:val="BlueAdd"/>
              </w:rPr>
              <w:t xml:space="preserve">Electronic communication of the health record with paediatric patients and their guardians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S9</w:t>
            </w:r>
          </w:p>
        </w:tc>
        <w:tc>
          <w:tcPr/>
          <w:p>
            <w:pPr>
              <w:pStyle w:val="Compact"/>
              <w:jc w:val="left"/>
            </w:pPr>
            <w:r>
              <w:rPr>
                <w:rStyle w:val="BlueAdd"/>
              </w:rPr>
              <w:t xml:space="preserve">Román et al., 2023 [24]</w:t>
            </w:r>
          </w:p>
        </w:tc>
        <w:tc>
          <w:tcPr/>
          <w:p>
            <w:pPr>
              <w:pStyle w:val="Compact"/>
              <w:jc w:val="left"/>
            </w:pPr>
            <w:r>
              <w:rPr>
                <w:rStyle w:val="BlueAdd"/>
              </w:rPr>
              <w:t xml:space="preserve">Blockchain-based service-oriented architecture for consent management, access control, and auditing</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S10</w:t>
            </w:r>
          </w:p>
        </w:tc>
        <w:tc>
          <w:tcPr/>
          <w:p>
            <w:pPr>
              <w:pStyle w:val="Compact"/>
              <w:jc w:val="left"/>
            </w:pPr>
            <w:r>
              <w:rPr>
                <w:rStyle w:val="BlueAdd"/>
              </w:rPr>
              <w:t xml:space="preserve">Welzel et al., 2025 [30]</w:t>
            </w:r>
          </w:p>
        </w:tc>
        <w:tc>
          <w:tcPr/>
          <w:p>
            <w:pPr>
              <w:pStyle w:val="Compact"/>
              <w:jc w:val="left"/>
            </w:pPr>
            <w:r>
              <w:rPr>
                <w:rStyle w:val="BlueAdd"/>
              </w:rPr>
              <w:t xml:space="preserve">Enabling secure and self-determined health data sharing and consent management</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S11</w:t>
            </w:r>
          </w:p>
        </w:tc>
        <w:tc>
          <w:tcPr/>
          <w:p>
            <w:pPr>
              <w:pStyle w:val="Compact"/>
              <w:jc w:val="left"/>
            </w:pPr>
            <w:r>
              <w:rPr>
                <w:rStyle w:val="BlueAdd"/>
              </w:rPr>
              <w:t xml:space="preserve">Al Mamun et al., 2022 [2]</w:t>
            </w:r>
          </w:p>
        </w:tc>
        <w:tc>
          <w:tcPr/>
          <w:p>
            <w:pPr>
              <w:pStyle w:val="Compact"/>
              <w:jc w:val="left"/>
            </w:pPr>
            <w:r>
              <w:rPr>
                <w:rStyle w:val="BlueAdd"/>
              </w:rPr>
              <w:t xml:space="preserve">Blockchain-based electronic health records management: a comprehensive review</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S12</w:t>
            </w:r>
          </w:p>
        </w:tc>
        <w:tc>
          <w:tcPr/>
          <w:p>
            <w:pPr>
              <w:pStyle w:val="Compact"/>
              <w:jc w:val="left"/>
            </w:pPr>
            <w:r>
              <w:rPr>
                <w:rStyle w:val="BlueAdd"/>
              </w:rPr>
              <w:t xml:space="preserve">Andrew et al., 2023 [3]</w:t>
            </w:r>
          </w:p>
        </w:tc>
        <w:tc>
          <w:tcPr/>
          <w:p>
            <w:pPr>
              <w:pStyle w:val="Compact"/>
              <w:jc w:val="left"/>
            </w:pPr>
            <w:r>
              <w:rPr>
                <w:rStyle w:val="BlueAdd"/>
              </w:rPr>
              <w:t xml:space="preserve">Blockchain for healthcare systems: architecture, security challenges, trends and future directions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S13</w:t>
            </w:r>
          </w:p>
        </w:tc>
        <w:tc>
          <w:tcPr/>
          <w:p>
            <w:pPr>
              <w:pStyle w:val="Compact"/>
              <w:jc w:val="left"/>
            </w:pPr>
            <w:r>
              <w:rPr>
                <w:rStyle w:val="BlueAdd"/>
              </w:rPr>
              <w:t xml:space="preserve">Arbabi et al., 2023 [4]</w:t>
            </w:r>
          </w:p>
        </w:tc>
        <w:tc>
          <w:tcPr/>
          <w:p>
            <w:pPr>
              <w:pStyle w:val="Compact"/>
              <w:jc w:val="left"/>
            </w:pPr>
            <w:r>
              <w:rPr>
                <w:rStyle w:val="BlueAdd"/>
              </w:rPr>
              <w:t xml:space="preserve">A survey on blockchain for healthcare: challenges, benefits, and future directions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S14</w:t>
            </w:r>
          </w:p>
        </w:tc>
        <w:tc>
          <w:tcPr/>
          <w:p>
            <w:pPr>
              <w:pStyle w:val="Compact"/>
              <w:jc w:val="left"/>
            </w:pPr>
            <w:r>
              <w:rPr>
                <w:rStyle w:val="BlueAdd"/>
              </w:rPr>
              <w:t xml:space="preserve">Ghosh et al., 2023 [7]</w:t>
            </w:r>
          </w:p>
        </w:tc>
        <w:tc>
          <w:tcPr/>
          <w:p>
            <w:pPr>
              <w:pStyle w:val="Compact"/>
              <w:jc w:val="left"/>
            </w:pPr>
            <w:r>
              <w:rPr>
                <w:rStyle w:val="BlueAdd"/>
              </w:rPr>
              <w:t xml:space="preserve">Blockchain application in healthcare systems: a review</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S15</w:t>
            </w:r>
          </w:p>
        </w:tc>
        <w:tc>
          <w:tcPr/>
          <w:p>
            <w:pPr>
              <w:pStyle w:val="Compact"/>
              <w:jc w:val="left"/>
            </w:pPr>
            <w:r>
              <w:rPr>
                <w:rStyle w:val="BlueAdd"/>
              </w:rPr>
              <w:t xml:space="preserve">Nguyen et al., 2025 [22]</w:t>
            </w:r>
          </w:p>
        </w:tc>
        <w:tc>
          <w:tcPr/>
          <w:p>
            <w:pPr>
              <w:pStyle w:val="Compact"/>
              <w:jc w:val="left"/>
            </w:pPr>
            <w:r>
              <w:rPr>
                <w:rStyle w:val="BlueAdd"/>
              </w:rPr>
              <w:t xml:space="preserve">Blockchain-empowered trustworthy data sharing: fundamentals, applications, and challenges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S16</w:t>
            </w:r>
          </w:p>
        </w:tc>
        <w:tc>
          <w:tcPr/>
          <w:p>
            <w:pPr>
              <w:pStyle w:val="Compact"/>
              <w:jc w:val="left"/>
            </w:pPr>
            <w:r>
              <w:rPr>
                <w:rStyle w:val="BlueAdd"/>
              </w:rPr>
              <w:t xml:space="preserve">Theodorakopoulos et al., 2024 [27]</w:t>
            </w:r>
          </w:p>
        </w:tc>
        <w:tc>
          <w:tcPr/>
          <w:p>
            <w:pPr>
              <w:pStyle w:val="Compact"/>
              <w:jc w:val="left"/>
            </w:pPr>
            <w:r>
              <w:rPr>
                <w:rStyle w:val="BlueAdd"/>
              </w:rPr>
              <w:t xml:space="preserve">Enhancing decentralised decision-making with big data and blockchain technology</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S17</w:t>
            </w:r>
          </w:p>
        </w:tc>
        <w:tc>
          <w:tcPr/>
          <w:p>
            <w:pPr>
              <w:pStyle w:val="Compact"/>
              <w:jc w:val="left"/>
            </w:pPr>
            <w:r>
              <w:rPr>
                <w:rStyle w:val="BlueAdd"/>
              </w:rPr>
              <w:t xml:space="preserve">Deng et al., 2024 [5]</w:t>
            </w:r>
          </w:p>
        </w:tc>
        <w:tc>
          <w:tcPr/>
          <w:p>
            <w:pPr>
              <w:pStyle w:val="Compact"/>
              <w:jc w:val="left"/>
            </w:pPr>
            <w:r>
              <w:rPr>
                <w:rStyle w:val="BlueAdd"/>
              </w:rPr>
              <w:t xml:space="preserve">FutureDID: a fully decentralised identity system with multi-party verification</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S18</w:t>
            </w:r>
          </w:p>
        </w:tc>
        <w:tc>
          <w:tcPr/>
          <w:p>
            <w:pPr>
              <w:pStyle w:val="Compact"/>
              <w:jc w:val="left"/>
            </w:pPr>
            <w:r>
              <w:rPr>
                <w:rStyle w:val="BlueAdd"/>
              </w:rPr>
              <w:t xml:space="preserve">Flamini et al., 2024 [6]</w:t>
            </w:r>
          </w:p>
        </w:tc>
        <w:tc>
          <w:tcPr/>
          <w:p>
            <w:pPr>
              <w:pStyle w:val="Compact"/>
              <w:jc w:val="left"/>
            </w:pPr>
            <w:r>
              <w:rPr>
                <w:rStyle w:val="BlueAdd"/>
              </w:rPr>
              <w:t xml:space="preserve">On cryptographic mechanisms for the selective disclosure of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S19</w:t>
            </w:r>
          </w:p>
        </w:tc>
        <w:tc>
          <w:tcPr/>
          <w:p>
            <w:pPr>
              <w:pStyle w:val="Compact"/>
              <w:jc w:val="left"/>
            </w:pPr>
            <w:r>
              <w:rPr>
                <w:rStyle w:val="BlueAdd"/>
              </w:rPr>
              <w:t xml:space="preserve">Khayer et al., 2025 [14]</w:t>
            </w:r>
          </w:p>
        </w:tc>
        <w:tc>
          <w:tcPr/>
          <w:p>
            <w:pPr>
              <w:pStyle w:val="Compact"/>
              <w:jc w:val="left"/>
            </w:pPr>
            <w:r>
              <w:rPr>
                <w:rStyle w:val="BlueAdd"/>
              </w:rPr>
              <w:t xml:space="preserve">Blockchain for secure IoT: identity management, access control, and trust mechanisms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S20</w:t>
            </w:r>
          </w:p>
        </w:tc>
        <w:tc>
          <w:tcPr/>
          <w:p>
            <w:pPr>
              <w:pStyle w:val="Compact"/>
              <w:jc w:val="left"/>
            </w:pPr>
            <w:r>
              <w:rPr>
                <w:rStyle w:val="BlueAdd"/>
              </w:rPr>
              <w:t xml:space="preserve">Kyriakidou et al., 2023 [15]</w:t>
            </w:r>
          </w:p>
        </w:tc>
        <w:tc>
          <w:tcPr/>
          <w:p>
            <w:pPr>
              <w:pStyle w:val="Compact"/>
              <w:jc w:val="left"/>
            </w:pPr>
            <w:r>
              <w:rPr>
                <w:rStyle w:val="BlueAdd"/>
              </w:rPr>
              <w:t xml:space="preserve">Decentralised identity with applications to security and privacy for the Internet of Things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S21</w:t>
            </w:r>
          </w:p>
        </w:tc>
        <w:tc>
          <w:tcPr/>
          <w:p>
            <w:pPr>
              <w:pStyle w:val="Compact"/>
              <w:jc w:val="left"/>
            </w:pPr>
            <w:r>
              <w:rPr>
                <w:rStyle w:val="BlueAdd"/>
              </w:rPr>
              <w:t xml:space="preserve">Mazzocca et al., 2025 [17]</w:t>
            </w:r>
          </w:p>
        </w:tc>
        <w:tc>
          <w:tcPr/>
          <w:p>
            <w:pPr>
              <w:pStyle w:val="Compact"/>
              <w:jc w:val="left"/>
            </w:pPr>
            <w:r>
              <w:rPr>
                <w:rStyle w:val="BlueAdd"/>
              </w:rPr>
              <w:t xml:space="preserve">A survey on decentralised identifiers and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S22</w:t>
            </w:r>
          </w:p>
        </w:tc>
        <w:tc>
          <w:tcPr/>
          <w:p>
            <w:pPr>
              <w:pStyle w:val="Compact"/>
              <w:jc w:val="left"/>
            </w:pPr>
            <w:r>
              <w:rPr>
                <w:rStyle w:val="BlueAdd"/>
              </w:rPr>
              <w:t xml:space="preserve">Parameswarath et al., 2022 [23]</w:t>
            </w:r>
          </w:p>
        </w:tc>
        <w:tc>
          <w:tcPr/>
          <w:p>
            <w:pPr>
              <w:pStyle w:val="Compact"/>
              <w:jc w:val="left"/>
            </w:pPr>
            <w:r>
              <w:rPr>
                <w:rStyle w:val="BlueAdd"/>
              </w:rPr>
              <w:t xml:space="preserve">User-empowered privacy-preserving authentication based on decentralised identity and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S23</w:t>
            </w:r>
          </w:p>
        </w:tc>
        <w:tc>
          <w:tcPr/>
          <w:p>
            <w:pPr>
              <w:pStyle w:val="Compact"/>
              <w:jc w:val="left"/>
            </w:pPr>
            <w:r>
              <w:rPr>
                <w:rStyle w:val="BlueAdd"/>
              </w:rPr>
              <w:t xml:space="preserve">Yin et al., 2025 [33]</w:t>
            </w:r>
          </w:p>
        </w:tc>
        <w:tc>
          <w:tcPr/>
          <w:p>
            <w:pPr>
              <w:pStyle w:val="Compact"/>
              <w:jc w:val="left"/>
            </w:pPr>
            <w:r>
              <w:rPr>
                <w:rStyle w:val="BlueAdd"/>
              </w:rPr>
              <w:t xml:space="preserve">DP-DID: a dynamic and proactive decentralised identity system</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S24</w:t>
            </w:r>
          </w:p>
        </w:tc>
        <w:tc>
          <w:tcPr/>
          <w:p>
            <w:pPr>
              <w:pStyle w:val="Compact"/>
              <w:jc w:val="left"/>
            </w:pPr>
            <w:r>
              <w:rPr>
                <w:rStyle w:val="BlueAdd"/>
              </w:rPr>
              <w:t xml:space="preserve">Ghafoor Abbasi et al., 2025 [1]</w:t>
            </w:r>
          </w:p>
        </w:tc>
        <w:tc>
          <w:tcPr/>
          <w:p>
            <w:pPr>
              <w:pStyle w:val="Compact"/>
              <w:jc w:val="left"/>
            </w:pPr>
            <w:r>
              <w:rPr>
                <w:rStyle w:val="BlueAdd"/>
              </w:rPr>
              <w:t xml:space="preserve">Towards empowering stakeholders through decentralised trust and secure livestock data sharing</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S25</w:t>
            </w:r>
          </w:p>
        </w:tc>
        <w:tc>
          <w:tcPr/>
          <w:p>
            <w:pPr>
              <w:pStyle w:val="Compact"/>
              <w:jc w:val="left"/>
            </w:pPr>
            <w:r>
              <w:rPr>
                <w:rStyle w:val="BlueAdd"/>
              </w:rPr>
              <w:t xml:space="preserve">Lomotey et al., 2022 [16]</w:t>
            </w:r>
          </w:p>
        </w:tc>
        <w:tc>
          <w:tcPr/>
          <w:p>
            <w:pPr>
              <w:pStyle w:val="Compact"/>
              <w:jc w:val="left"/>
            </w:pPr>
            <w:r>
              <w:rPr>
                <w:rStyle w:val="BlueAdd"/>
              </w:rPr>
              <w:t xml:space="preserve">Data trusts as a service: a platform for multi-party data sharing</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S26</w:t>
            </w:r>
          </w:p>
        </w:tc>
        <w:tc>
          <w:tcPr/>
          <w:p>
            <w:pPr>
              <w:pStyle w:val="Compact"/>
              <w:jc w:val="left"/>
            </w:pPr>
            <w:r>
              <w:rPr>
                <w:rStyle w:val="BlueAdd"/>
              </w:rPr>
              <w:t xml:space="preserve">Tan et al., 2024 [25]</w:t>
            </w:r>
          </w:p>
        </w:tc>
        <w:tc>
          <w:tcPr/>
          <w:p>
            <w:pPr>
              <w:pStyle w:val="Compact"/>
              <w:jc w:val="left"/>
            </w:pPr>
            <w:r>
              <w:rPr>
                <w:rStyle w:val="BlueAdd"/>
              </w:rPr>
              <w:t xml:space="preserve">Secure and privacy-preserving sharing of personal health records with multi-party pre-authorisation verification</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S27</w:t>
            </w:r>
          </w:p>
        </w:tc>
        <w:tc>
          <w:tcPr/>
          <w:p>
            <w:pPr>
              <w:pStyle w:val="Compact"/>
              <w:jc w:val="left"/>
            </w:pPr>
            <w:r>
              <w:rPr>
                <w:rStyle w:val="BlueAdd"/>
              </w:rPr>
              <w:t xml:space="preserve">Jiang et al., 2023 [10]</w:t>
            </w:r>
          </w:p>
        </w:tc>
        <w:tc>
          <w:tcPr/>
          <w:p>
            <w:pPr>
              <w:pStyle w:val="Compact"/>
              <w:jc w:val="left"/>
            </w:pPr>
            <w:r>
              <w:rPr>
                <w:rStyle w:val="BlueAdd"/>
              </w:rPr>
              <w:t xml:space="preserve">Risk and UCON-based access control model for healthcare big data</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S28</w:t>
            </w:r>
          </w:p>
        </w:tc>
        <w:tc>
          <w:tcPr/>
          <w:p>
            <w:pPr>
              <w:pStyle w:val="Compact"/>
              <w:jc w:val="left"/>
            </w:pPr>
            <w:r>
              <w:rPr>
                <w:rStyle w:val="BlueAdd"/>
              </w:rPr>
              <w:t xml:space="preserve">Nazir et al., 2026 [21]</w:t>
            </w:r>
          </w:p>
        </w:tc>
        <w:tc>
          <w:tcPr/>
          <w:p>
            <w:pPr>
              <w:pStyle w:val="Compact"/>
              <w:jc w:val="left"/>
            </w:pPr>
            <w:r>
              <w:rPr>
                <w:rStyle w:val="BlueAdd"/>
              </w:rPr>
              <w:t xml:space="preserve">Access control in healthcare IoT: a comprehensive survey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S29</w:t>
            </w:r>
          </w:p>
        </w:tc>
        <w:tc>
          <w:tcPr/>
          <w:p>
            <w:pPr>
              <w:pStyle w:val="Compact"/>
              <w:jc w:val="left"/>
            </w:pPr>
            <w:r>
              <w:rPr>
                <w:rStyle w:val="BlueAdd"/>
              </w:rPr>
              <w:t xml:space="preserve">Tawfik et al., 2025 [26]</w:t>
            </w:r>
          </w:p>
        </w:tc>
        <w:tc>
          <w:tcPr/>
          <w:p>
            <w:pPr>
              <w:pStyle w:val="Compact"/>
              <w:jc w:val="left"/>
            </w:pPr>
            <w:r>
              <w:rPr>
                <w:rStyle w:val="BlueAdd"/>
              </w:rPr>
              <w:t xml:space="preserve">Blockchain-based access control and privacy preservation in healthcare: a comprehensive survey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S30</w:t>
            </w:r>
          </w:p>
        </w:tc>
        <w:tc>
          <w:tcPr/>
          <w:p>
            <w:pPr>
              <w:pStyle w:val="Compact"/>
              <w:jc w:val="left"/>
            </w:pPr>
            <w:r>
              <w:rPr>
                <w:rStyle w:val="BlueAdd"/>
              </w:rPr>
              <w:t xml:space="preserve">Yin et al., 2024 [32]</w:t>
            </w:r>
          </w:p>
        </w:tc>
        <w:tc>
          <w:tcPr/>
          <w:p>
            <w:pPr>
              <w:pStyle w:val="Compact"/>
              <w:jc w:val="left"/>
            </w:pPr>
            <w:r>
              <w:rPr>
                <w:rStyle w:val="BlueAdd"/>
              </w:rPr>
              <w:t xml:space="preserve">Attribute-based searchable encryption with decentralised key management for healthcare data sharing</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S31</w:t>
            </w:r>
          </w:p>
        </w:tc>
        <w:tc>
          <w:tcPr/>
          <w:p>
            <w:pPr>
              <w:pStyle w:val="Compact"/>
              <w:jc w:val="left"/>
            </w:pPr>
            <w:r>
              <w:rPr>
                <w:rStyle w:val="BlueAdd"/>
              </w:rPr>
              <w:t xml:space="preserve">Ullah et al., 2024 [28]</w:t>
            </w:r>
          </w:p>
        </w:tc>
        <w:tc>
          <w:tcPr/>
          <w:p>
            <w:pPr>
              <w:pStyle w:val="Compact"/>
              <w:jc w:val="left"/>
            </w:pPr>
            <w:r>
              <w:rPr>
                <w:rStyle w:val="BlueAdd"/>
              </w:rPr>
              <w:t xml:space="preserve">Blockchain-enabled EHR access auditing: enhancing healthcare data security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S32</w:t>
            </w:r>
          </w:p>
        </w:tc>
        <w:tc>
          <w:tcPr/>
          <w:p>
            <w:pPr>
              <w:pStyle w:val="Compact"/>
              <w:jc w:val="left"/>
            </w:pPr>
            <w:r>
              <w:rPr>
                <w:rStyle w:val="BlueAdd"/>
              </w:rPr>
              <w:t xml:space="preserve">Yaqub et al., 2025 [31]</w:t>
            </w:r>
          </w:p>
        </w:tc>
        <w:tc>
          <w:tcPr/>
          <w:p>
            <w:pPr>
              <w:pStyle w:val="Compact"/>
              <w:jc w:val="left"/>
            </w:pPr>
            <w:r>
              <w:rPr>
                <w:rStyle w:val="BlueAdd"/>
              </w:rPr>
              <w:t xml:space="preserve">Blockchain-enabled policy-based access control mechanism to restrict unauthorised access to electronic health records</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S33</w:t>
            </w:r>
          </w:p>
        </w:tc>
        <w:tc>
          <w:tcPr/>
          <w:p>
            <w:pPr>
              <w:pStyle w:val="Compact"/>
              <w:jc w:val="left"/>
            </w:pPr>
            <w:r>
              <w:rPr>
                <w:rStyle w:val="BlueAdd"/>
              </w:rPr>
              <w:t xml:space="preserve">Ménétrey et al., 2022 [19]</w:t>
            </w:r>
          </w:p>
        </w:tc>
        <w:tc>
          <w:tcPr/>
          <w:p>
            <w:pPr>
              <w:pStyle w:val="Compact"/>
              <w:jc w:val="left"/>
            </w:pPr>
            <w:r>
              <w:rPr>
                <w:rStyle w:val="BlueAdd"/>
              </w:rPr>
              <w:t xml:space="preserve">Attestation mechanisms for trusted execution environments demystified</w:t>
            </w:r>
          </w:p>
        </w:tc>
        <w:tc>
          <w:tcPr/>
          <w:p>
            <w:pPr>
              <w:pStyle w:val="Compact"/>
              <w:jc w:val="left"/>
            </w:pPr>
            <w:r>
              <w:rPr>
                <w:rStyle w:val="BlueAdd"/>
              </w:rPr>
              <w:t xml:space="preserve">Trusted Computing and secure execution</w:t>
            </w:r>
          </w:p>
        </w:tc>
      </w:tr>
    </w:tbl>
    <w:bookmarkEnd w:id="32"/>
    <w:bookmarkEnd w:id="33"/>
    <w:bookmarkStart w:id="41" w:name="X47a7c0cd3439350f5b2bab0a0c72b8d78bf1bcb"/>
    <w:p>
      <w:pPr>
        <w:pStyle w:val="Heading2"/>
      </w:pPr>
      <w:r>
        <w:rPr>
          <w:rStyle w:val="PinkDelete"/>
        </w:rPr>
        <w:t xml:space="preserve">2.3</w:t>
      </w:r>
      <w:r>
        <w:t xml:space="preserve"> </w:t>
      </w:r>
      <w:r>
        <w:rPr>
          <w:rStyle w:val="PinkFix"/>
        </w:rPr>
        <w:t xml:space="preserve">2.4</w:t>
      </w:r>
      <w:r>
        <w:t xml:space="preserve"> </w:t>
      </w:r>
      <w:r>
        <w:rPr>
          <w:rStyle w:val="PinkDelete"/>
        </w:rPr>
        <w:t xml:space="preserve">Review</w:t>
      </w:r>
      <w:r>
        <w:t xml:space="preserve"> </w:t>
      </w:r>
      <w:r>
        <w:rPr>
          <w:rStyle w:val="PinkFix"/>
        </w:rPr>
        <w:t xml:space="preserve">Summary of Papers Shortlisted in the SLR</w:t>
      </w:r>
    </w:p>
    <w:p>
      <w:pPr>
        <w:pStyle w:val="FirstParagraph"/>
      </w:pPr>
      <w:r>
        <w:rPr>
          <w:rStyle w:val="PinkDelete"/>
        </w:rPr>
        <w:t xml:space="preserve">This section analyses each of the research streams introduced in Section 2.1 in turn.</w:t>
      </w:r>
      <w:r>
        <w:rPr>
          <w:rStyle w:val="PinkFix"/>
        </w:rP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4" w:name="X3643e3a96c176827f6f89acdc5119d36405fe44"/>
    <w:p>
      <w:pPr>
        <w:pStyle w:val="Heading3"/>
      </w:pPr>
      <w:r>
        <w:rPr>
          <w:rStyle w:val="PinkDelete"/>
        </w:rPr>
        <w:t xml:space="preserve">2.3.1</w:t>
      </w:r>
      <w:r>
        <w:t xml:space="preserve"> </w:t>
      </w:r>
      <w:r>
        <w:rPr>
          <w:rStyle w:val="PinkFix"/>
        </w:rPr>
        <w:t xml:space="preserve">2.4.1</w:t>
      </w:r>
      <w:r>
        <w:t xml:space="preserve"> </w:t>
      </w:r>
      <w:r>
        <w:rPr>
          <w:rStyle w:val="PinkDelete"/>
        </w:rPr>
        <w:t xml:space="preserve">Healthcare Consent and Decentralised Data Governance</w:t>
      </w:r>
      <w:r>
        <w:t xml:space="preserve"> </w:t>
      </w:r>
      <w:r>
        <w:rPr>
          <w:rStyle w:val="PinkFix"/>
        </w:rPr>
        <w:t xml:space="preserve">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w:t>
      </w:r>
      <w:r>
        <w:t xml:space="preserve"> </w:t>
      </w:r>
      <w:r>
        <w:rPr>
          <w:rStyle w:val="PinkDelete"/>
        </w:rPr>
        <w:t xml:space="preserve">[11, 13, 18, 29]</w:t>
      </w:r>
      <w:r>
        <w:rPr>
          <w:rStyle w:val="PinkFix"/>
        </w:rPr>
        <w:t xml:space="preserve">[11, 13, 18, 29]</w:t>
      </w:r>
      <w:r>
        <w:t xml:space="preserve">.</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[20]. At the same time, privacy-preserving interoperability remains difficult because healthcare systems must balance individual autonomy with the operational requirements of clinical care, coordination, and</w:t>
      </w:r>
      <w:r>
        <w:t xml:space="preserve"> </w:t>
      </w:r>
      <w:r>
        <w:rPr>
          <w:rStyle w:val="PinkDelete"/>
        </w:rPr>
        <w:t xml:space="preserve">legitimate secondary data use [8]</w:t>
      </w:r>
      <w:r>
        <w:rPr>
          <w:rStyle w:val="PinkFix"/>
        </w:rPr>
        <w:t xml:space="preserve">legitimate secondary data use [8]</w:t>
      </w:r>
      <w:r>
        <w:t xml:space="preserve">.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[12]. Consent receipts and auditable consent records have also been proposed to improve transparency and accountability by providing evidence of how consent was obtained and exercised [9].</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lueAddPara"/>
      </w:pPr>
      <w:r>
        <w:rPr>
          <w:rStyle w:val="BlueAdd"/>
        </w:rPr>
        <w:t xml:space="preserve">More recent architectures go a step further. A blockchain-backed service-oriented architecture stores consents immutably, enforces access to health data according to them and exposes audit tasks to supervisory authorities and to patients themselves [24], and a self-determined consent framework combines blockchain, self-sovereign identity and de-identified tokens so that consent and data use can be tracked across clinical, app and wearable data [30]. Both act on the consent record; neither evaluates the requester’s authority or a collective approval before the record is applied.</w:t>
      </w:r>
    </w:p>
    <w:p>
      <w:pPr>
        <w:pStyle w:val="BlueAddPara"/>
      </w:pPr>
      <w:r>
        <w:rPr>
          <w:rStyle w:val="BlueAdd"/>
        </w:rPr>
        <w:t xml:space="preserve">Table 2.4 presents a summary of the studies that fall under the healthcare consent and privacy governance category and their coverage of the key requirements.</w:t>
      </w:r>
    </w:p>
    <w:p>
      <w:pPr>
        <w:pStyle w:val="TableCaption"/>
      </w:pPr>
      <w:r>
        <w:rPr>
          <w:rStyle w:val="BlueAdd"/>
        </w:rP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 [8]</w:t>
            </w:r>
          </w:p>
        </w:tc>
        <w:tc>
          <w:tcPr/>
          <w:p>
            <w:pPr>
              <w:pStyle w:val="Compact"/>
              <w:jc w:val="left"/>
            </w:pPr>
            <w:r>
              <w:rPr>
                <w:rStyle w:val="BlueAdd"/>
              </w:rP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rPr>
                <w:rStyle w:val="BlueAdd"/>
              </w:rPr>
              <w:t xml:space="preserve">Studies organisational practice; consent is treated as a compliance matter and no authorisation mechanism is proposed.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 [9]</w:t>
            </w:r>
          </w:p>
        </w:tc>
        <w:tc>
          <w:tcPr/>
          <w:p>
            <w:pPr>
              <w:pStyle w:val="Compact"/>
              <w:jc w:val="left"/>
            </w:pPr>
            <w:r>
              <w:rPr>
                <w:rStyle w:val="BlueAdd"/>
              </w:rP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rPr>
                <w:rStyle w:val="BlueAdd"/>
              </w:rPr>
              <w:t xml:space="preserve">A receipt proves that consent was given; it does not evaluate whether a later request satisfies identity, authority, approval or scope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 [11]</w:t>
            </w:r>
          </w:p>
        </w:tc>
        <w:tc>
          <w:tcPr/>
          <w:p>
            <w:pPr>
              <w:pStyle w:val="Compact"/>
              <w:jc w:val="left"/>
            </w:pPr>
            <w:r>
              <w:rPr>
                <w:rStyle w:val="BlueAdd"/>
              </w:rPr>
              <w:t xml:space="preserve">Survey of people who work with health data in the United States on consent, sharing and privacy; most respondents want complete control over their data and specific consent for each use.</w:t>
            </w:r>
          </w:p>
        </w:tc>
        <w:tc>
          <w:tcPr/>
          <w:p>
            <w:pPr>
              <w:pStyle w:val="Compact"/>
              <w:jc w:val="left"/>
            </w:pPr>
            <w:r>
              <w:rPr>
                <w:rStyle w:val="BlueAdd"/>
              </w:rPr>
              <w:t xml:space="preserve">Attitudinal evidence only; no technical model of consent or of the access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S4 [12]</w:t>
            </w:r>
          </w:p>
        </w:tc>
        <w:tc>
          <w:tcPr/>
          <w:p>
            <w:pPr>
              <w:pStyle w:val="Compact"/>
              <w:jc w:val="left"/>
            </w:pPr>
            <w:r>
              <w:rPr>
                <w:rStyle w:val="BlueAdd"/>
              </w:rPr>
              <w:t xml:space="preserve">Privacy-first model for blockchain-based dynamic consent management in which subject data and consent are kept encrypted on-chain and the data-controller role is decentralised.</w:t>
            </w:r>
          </w:p>
        </w:tc>
        <w:tc>
          <w:tcPr/>
          <w:p>
            <w:pPr>
              <w:pStyle w:val="Compact"/>
              <w:jc w:val="left"/>
            </w:pPr>
            <w:r>
              <w:rPr>
                <w:rStyle w:val="BlueAdd"/>
              </w:rPr>
              <w:t xml:space="preserve">Consent is stored and shared securely, but a request is not evaluated against the requester’s authority or a multi-party approval threshold.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S5 [13]</w:t>
            </w:r>
          </w:p>
        </w:tc>
        <w:tc>
          <w:tcPr/>
          <w:p>
            <w:pPr>
              <w:pStyle w:val="Compact"/>
              <w:jc w:val="left"/>
            </w:pPr>
            <w:r>
              <w:rPr>
                <w:rStyle w:val="BlueAdd"/>
              </w:rPr>
              <w:t xml:space="preserve">Survey-based model (129 NHS respondents) of the intention to share healthcare data; perceived information risk and perceived societal benefit dominate the decision.</w:t>
            </w:r>
          </w:p>
        </w:tc>
        <w:tc>
          <w:tcPr/>
          <w:p>
            <w:pPr>
              <w:pStyle w:val="Compact"/>
              <w:jc w:val="left"/>
            </w:pPr>
            <w:r>
              <w:rPr>
                <w:rStyle w:val="BlueAdd"/>
              </w:rPr>
              <w:t xml:space="preserve">Explains why individuals consent, not how consent is represented or enforced.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S6 [18]</w:t>
            </w:r>
          </w:p>
        </w:tc>
        <w:tc>
          <w:tcPr/>
          <w:p>
            <w:pPr>
              <w:pStyle w:val="Compact"/>
              <w:jc w:val="left"/>
            </w:pPr>
            <w:r>
              <w:rPr>
                <w:rStyle w:val="BlueAdd"/>
              </w:rPr>
              <w:t xml:space="preserve">Legal analysis of informed consent for the use and disclosure of patient information under the GDPR, the common law and professional ethics.</w:t>
            </w:r>
          </w:p>
        </w:tc>
        <w:tc>
          <w:tcPr/>
          <w:p>
            <w:pPr>
              <w:pStyle w:val="Compact"/>
              <w:jc w:val="left"/>
            </w:pPr>
            <w:r>
              <w:rPr>
                <w:rStyle w:val="BlueAdd"/>
              </w:rPr>
              <w:t xml:space="preserve">Defines the legal conditions of a valid consent but not an executable authorisation object.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S7 [20]</w:t>
            </w:r>
          </w:p>
        </w:tc>
        <w:tc>
          <w:tcPr/>
          <w:p>
            <w:pPr>
              <w:pStyle w:val="Compact"/>
              <w:jc w:val="left"/>
            </w:pPr>
            <w:r>
              <w:rPr>
                <w:rStyle w:val="BlueAdd"/>
              </w:rPr>
              <w:t xml:space="preserve">Review of privacy models and consent frameworks (dynamic and granular consent, blockchain, My Health Record, Estonian e-Health) for patient data ownership.</w:t>
            </w:r>
          </w:p>
        </w:tc>
        <w:tc>
          <w:tcPr/>
          <w:p>
            <w:pPr>
              <w:pStyle w:val="Compact"/>
              <w:jc w:val="left"/>
            </w:pPr>
            <w:r>
              <w:rPr>
                <w:rStyle w:val="BlueAdd"/>
              </w:rPr>
              <w:t xml:space="preserve">Descriptive review; the consent frameworks are not connected to identity verification or scope enforcement.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S8 [29]</w:t>
            </w:r>
          </w:p>
        </w:tc>
        <w:tc>
          <w:tcPr/>
          <w:p>
            <w:pPr>
              <w:pStyle w:val="Compact"/>
              <w:jc w:val="left"/>
            </w:pPr>
            <w:r>
              <w:rPr>
                <w:rStyle w:val="BlueAdd"/>
              </w:rPr>
              <w:t xml:space="preserve">Policy statement on electronic access to the health record by paediatric patients and their guardians, including proxy access and record segmentation.</w:t>
            </w:r>
          </w:p>
        </w:tc>
        <w:tc>
          <w:tcPr/>
          <w:p>
            <w:pPr>
              <w:pStyle w:val="Compact"/>
              <w:jc w:val="left"/>
            </w:pPr>
            <w:r>
              <w:rPr>
                <w:rStyle w:val="BlueAdd"/>
              </w:rPr>
              <w:t xml:space="preserve">Identifies guardian and proxy roles but gives no mechanism for verifying authority or for joint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S9 [24]</w:t>
            </w:r>
          </w:p>
        </w:tc>
        <w:tc>
          <w:tcPr/>
          <w:p>
            <w:pPr>
              <w:pStyle w:val="Compact"/>
              <w:jc w:val="left"/>
            </w:pPr>
            <w:r>
              <w:rPr>
                <w:rStyle w:val="BlueAdd"/>
              </w:rP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rPr>
                <w:rStyle w:val="BlueAdd"/>
              </w:rPr>
              <w:t xml:space="preserve">Consent is stored and executed, but the requester’s authority and any multi-party approval are outside the model; enforcement follows the record rather than an evaluated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S10 [30]</w:t>
            </w:r>
          </w:p>
        </w:tc>
        <w:tc>
          <w:tcPr/>
          <w:p>
            <w:pPr>
              <w:pStyle w:val="Compact"/>
              <w:jc w:val="left"/>
            </w:pPr>
            <w:r>
              <w:rPr>
                <w:rStyle w:val="BlueAdd"/>
              </w:rP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rPr>
                <w:rStyle w:val="BlueAdd"/>
              </w:rPr>
              <w:t xml:space="preserve">Early-stage conceptual framework; identity and consent components are listed rather than combined into an authorisation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4"/>
    <w:bookmarkStart w:id="35" w:name="X2b887499669ea90de256e63d16984e9c6f7f03a"/>
    <w:p>
      <w:pPr>
        <w:pStyle w:val="Heading3"/>
      </w:pPr>
      <w:r>
        <w:rPr>
          <w:rStyle w:val="PinkDelete"/>
        </w:rPr>
        <w:t xml:space="preserve">2.3.2</w:t>
      </w:r>
      <w:r>
        <w:t xml:space="preserve"> </w:t>
      </w:r>
      <w:r>
        <w:rPr>
          <w:rStyle w:val="PinkFix"/>
        </w:rPr>
        <w:t xml:space="preserve">2.4.2</w:t>
      </w:r>
      <w:r>
        <w:t xml:space="preserve"> </w:t>
      </w:r>
      <w:r>
        <w:rPr>
          <w:rStyle w:val="PinkDelete"/>
        </w:rPr>
        <w:t xml:space="preserve">Blockchain-Based Consent and Data Governance</w:t>
      </w:r>
      <w:r>
        <w:t xml:space="preserve"> </w:t>
      </w:r>
      <w:r>
        <w:rPr>
          <w:rStyle w:val="PinkFix"/>
        </w:rPr>
        <w:t xml:space="preserve">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w:t>
      </w:r>
      <w:r>
        <w:t xml:space="preserve"> </w:t>
      </w:r>
      <w:r>
        <w:rPr>
          <w:rStyle w:val="PinkDelete"/>
        </w:rPr>
        <w:t xml:space="preserve">[2, 3, 4, 7]</w:t>
      </w:r>
      <w:r>
        <w:rPr>
          <w:rStyle w:val="PinkFix"/>
        </w:rPr>
        <w:t xml:space="preserve">[2, 3, 4, 7]</w:t>
      </w:r>
      <w:r>
        <w:t xml:space="preserve">. More generally, blockchain has been studied as an infrastructure for trustworthy data sharing and</w:t>
      </w:r>
      <w:r>
        <w:t xml:space="preserve"> </w:t>
      </w:r>
      <w:r>
        <w:rPr>
          <w:rStyle w:val="PinkDelete"/>
        </w:rPr>
        <w:t xml:space="preserve">decentralised decision-making across organisational boundaries [22, 27]</w:t>
      </w:r>
      <w:r>
        <w:rPr>
          <w:rStyle w:val="PinkFix"/>
        </w:rPr>
        <w:t xml:space="preserve">decentralised decision-making across organisational boundaries [22, 27]</w:t>
      </w:r>
      <w:r>
        <w:t xml:space="preserve">.</w:t>
      </w:r>
    </w:p>
    <w:p>
      <w:pPr>
        <w:pStyle w:val="BodyText"/>
      </w:pPr>
      <w:r>
        <w:t xml:space="preserve">A major contribution of blockchain is its ability to preserve tamper-resistant evidence of transactions and state changes.</w:t>
      </w:r>
      <w:r>
        <w:t xml:space="preserve"> </w:t>
      </w:r>
      <w:r>
        <w:rPr>
          <w:rStyle w:val="PinkDelete"/>
        </w:rPr>
        <w:t xml:space="preserve">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r>
        <w:rPr>
          <w:rStyle w:val="PinkFix"/>
        </w:rPr>
        <w:t xml:space="preserve">This characteristic strengthens auditability and provides evidence that recorded information has not been modified without detection [2, 22].</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w:t>
      </w:r>
      <w:r>
        <w:t xml:space="preserve"> </w:t>
      </w:r>
      <w:r>
        <w:rPr>
          <w:rStyle w:val="PinkDelete"/>
        </w:rPr>
        <w:t xml:space="preserve">[3, 4, 7, 26]</w:t>
      </w:r>
      <w:r>
        <w:rPr>
          <w:rStyle w:val="PinkFix"/>
        </w:rPr>
        <w:t xml:space="preserve">[3, 4, 7, 26]</w:t>
      </w:r>
      <w:r>
        <w:t xml:space="preserve">.</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lueAddPara"/>
      </w:pPr>
      <w:r>
        <w:rPr>
          <w:rStyle w:val="BlueAdd"/>
        </w:rPr>
        <w:t xml:space="preserve">Table 2.5 summarises the blockchain-based studies and their coverage of the key requirements.</w:t>
      </w:r>
    </w:p>
    <w:p>
      <w:pPr>
        <w:pStyle w:val="TableCaption"/>
      </w:pPr>
      <w:r>
        <w:rPr>
          <w:rStyle w:val="BlueAdd"/>
        </w:rP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S11 [2]</w:t>
            </w:r>
          </w:p>
        </w:tc>
        <w:tc>
          <w:tcPr/>
          <w:p>
            <w:pPr>
              <w:pStyle w:val="Compact"/>
              <w:jc w:val="left"/>
            </w:pPr>
            <w:r>
              <w:rPr>
                <w:rStyle w:val="BlueAdd"/>
              </w:rPr>
              <w:t xml:space="preserve">Systematic review of 99 blockchain-based EHR proposals analysed by privacy, security, scalability, accessibility, cost, consensus and blockchain type.</w:t>
            </w:r>
          </w:p>
        </w:tc>
        <w:tc>
          <w:tcPr/>
          <w:p>
            <w:pPr>
              <w:pStyle w:val="Compact"/>
              <w:jc w:val="left"/>
            </w:pPr>
            <w:r>
              <w:rPr>
                <w:rStyle w:val="BlueAdd"/>
              </w:rPr>
              <w:t xml:space="preserve">Blockchain is evaluated as a storage and audit substrate; participant authority and consent scope are not modelled.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S12 [3]</w:t>
            </w:r>
          </w:p>
        </w:tc>
        <w:tc>
          <w:tcPr/>
          <w:p>
            <w:pPr>
              <w:pStyle w:val="Compact"/>
              <w:jc w:val="left"/>
            </w:pPr>
            <w:r>
              <w:rPr>
                <w:rStyle w:val="BlueAdd"/>
              </w:rPr>
              <w:t xml:space="preserve">Survey of blockchain architectures for healthcare systems, their security challenges, trends and future directions.</w:t>
            </w:r>
          </w:p>
        </w:tc>
        <w:tc>
          <w:tcPr/>
          <w:p>
            <w:pPr>
              <w:pStyle w:val="Compact"/>
              <w:jc w:val="left"/>
            </w:pPr>
            <w:r>
              <w:rPr>
                <w:rStyle w:val="BlueAdd"/>
              </w:rPr>
              <w:t xml:space="preserve">Architecture-level survey; the access decision itself is left to the individual systems reviewed.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S13 [4]</w:t>
            </w:r>
          </w:p>
        </w:tc>
        <w:tc>
          <w:tcPr/>
          <w:p>
            <w:pPr>
              <w:pStyle w:val="Compact"/>
              <w:jc w:val="left"/>
            </w:pPr>
            <w:r>
              <w:rPr>
                <w:rStyle w:val="BlueAdd"/>
              </w:rPr>
              <w:t xml:space="preserve">Survey classifying more than 40 blockchain healthcare systems by entity interactions, functional components, challenges and benefits, with a discussion of GDPR and HIPAA compliance.</w:t>
            </w:r>
          </w:p>
        </w:tc>
        <w:tc>
          <w:tcPr/>
          <w:p>
            <w:pPr>
              <w:pStyle w:val="Compact"/>
              <w:jc w:val="left"/>
            </w:pPr>
            <w:r>
              <w:rPr>
                <w:rStyle w:val="BlueAdd"/>
              </w:rPr>
              <w:t xml:space="preserve">Treats consent as a regulatory requirement rather than an evaluable object; authority verification is not addressed.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S14 [7]</w:t>
            </w:r>
          </w:p>
        </w:tc>
        <w:tc>
          <w:tcPr/>
          <w:p>
            <w:pPr>
              <w:pStyle w:val="Compact"/>
              <w:jc w:val="left"/>
            </w:pPr>
            <w:r>
              <w:rPr>
                <w:rStyle w:val="BlueAdd"/>
              </w:rPr>
              <w:t xml:space="preserve">Review of 144 articles on blockchain applications in healthcare, their application areas, limitations and research directions.</w:t>
            </w:r>
          </w:p>
        </w:tc>
        <w:tc>
          <w:tcPr/>
          <w:p>
            <w:pPr>
              <w:pStyle w:val="Compact"/>
              <w:jc w:val="left"/>
            </w:pPr>
            <w:r>
              <w:rPr>
                <w:rStyle w:val="BlueAdd"/>
              </w:rPr>
              <w:t xml:space="preserve">Confirms the auditability benefit; multi-party approval and authority verification are not treated.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S15 [22]</w:t>
            </w:r>
          </w:p>
        </w:tc>
        <w:tc>
          <w:tcPr/>
          <w:p>
            <w:pPr>
              <w:pStyle w:val="Compact"/>
              <w:jc w:val="left"/>
            </w:pPr>
            <w:r>
              <w:rPr>
                <w:rStyle w:val="BlueAdd"/>
              </w:rPr>
              <w:t xml:space="preserve">Survey and reference architecture for blockchain-based data sharing covering provenance, privacy, consent management and incentives across healthcare and other sectors.</w:t>
            </w:r>
          </w:p>
        </w:tc>
        <w:tc>
          <w:tcPr/>
          <w:p>
            <w:pPr>
              <w:pStyle w:val="Compact"/>
              <w:jc w:val="left"/>
            </w:pPr>
            <w:r>
              <w:rPr>
                <w:rStyle w:val="BlueAdd"/>
              </w:rPr>
              <w:t xml:space="preserve">Consent management is named as a challenge; the architecture does not specify how a request is evaluated against identity, approval and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S16 [27]</w:t>
            </w:r>
          </w:p>
        </w:tc>
        <w:tc>
          <w:tcPr/>
          <w:p>
            <w:pPr>
              <w:pStyle w:val="Compact"/>
              <w:jc w:val="left"/>
            </w:pPr>
            <w:r>
              <w:rPr>
                <w:rStyle w:val="BlueAdd"/>
              </w:rPr>
              <w:t xml:space="preserve">Review of decentralised decision-making with big data and blockchain, including DAO governance and the Estonian healthcare case.</w:t>
            </w:r>
          </w:p>
        </w:tc>
        <w:tc>
          <w:tcPr/>
          <w:p>
            <w:pPr>
              <w:pStyle w:val="Compact"/>
              <w:jc w:val="left"/>
            </w:pPr>
            <w:r>
              <w:rPr>
                <w:rStyle w:val="BlueAdd"/>
              </w:rPr>
              <w:t xml:space="preserve">Collective decision-making is discussed at governance level, not as a verifiable condition inside a consent object.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5"/>
    <w:bookmarkStart w:id="36" w:name="Xce8374abd25737680a0ea224e7b0673254898a7"/>
    <w:p>
      <w:pPr>
        <w:pStyle w:val="Heading3"/>
      </w:pPr>
      <w:r>
        <w:rPr>
          <w:rStyle w:val="PinkDelete"/>
        </w:rPr>
        <w:t xml:space="preserve">2.3.3</w:t>
      </w:r>
      <w:r>
        <w:t xml:space="preserve"> </w:t>
      </w:r>
      <w:r>
        <w:rPr>
          <w:rStyle w:val="PinkFix"/>
        </w:rPr>
        <w:t xml:space="preserve">2.4.3</w:t>
      </w:r>
      <w:r>
        <w:t xml:space="preserve"> </w:t>
      </w:r>
      <w:r>
        <w:t xml:space="preserve">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w:t>
      </w:r>
      <w:r>
        <w:t xml:space="preserve"> </w:t>
      </w:r>
      <w:r>
        <w:rPr>
          <w:rStyle w:val="PinkDelete"/>
        </w:rPr>
        <w:t xml:space="preserve">[5, 15, 17, 33]</w:t>
      </w:r>
      <w:r>
        <w:rPr>
          <w:rStyle w:val="PinkFix"/>
        </w:rPr>
        <w:t xml:space="preserve">[5, 15, 17, 33]</w:t>
      </w:r>
      <w:r>
        <w:t xml:space="preserve">.</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w:t>
      </w:r>
      <w:r>
        <w:t xml:space="preserve"> </w:t>
      </w:r>
      <w:r>
        <w:rPr>
          <w:rStyle w:val="PinkDelete"/>
        </w:rPr>
        <w:t xml:space="preserve">established or validated [5, 33]</w:t>
      </w:r>
      <w:r>
        <w:rPr>
          <w:rStyle w:val="PinkFix"/>
        </w:rPr>
        <w:t xml:space="preserve">established or validated [5, 33]</w:t>
      </w:r>
      <w:r>
        <w:t xml:space="preserve">. Other studies have examined privacy-preserving authentication and selective disclosure, allowing participants to prove selected attributes without unnecessarily</w:t>
      </w:r>
      <w:r>
        <w:t xml:space="preserve"> </w:t>
      </w:r>
      <w:r>
        <w:rPr>
          <w:rStyle w:val="PinkDelete"/>
        </w:rPr>
        <w:t xml:space="preserve">revealing additional information [6, 23]</w:t>
      </w:r>
      <w:r>
        <w:rPr>
          <w:rStyle w:val="PinkFix"/>
        </w:rPr>
        <w:t xml:space="preserve">revealing additional information [6, 23]</w:t>
      </w:r>
      <w:r>
        <w:t xml:space="preserve">.</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w:t>
      </w:r>
      <w:r>
        <w:rPr>
          <w:rStyle w:val="PinkFix"/>
        </w:rPr>
        <w:t xml:space="preserve">Reviews of blockchain-based identity management for the Internet of Things reach the same conclusion for constrained devices [14, 15].</w:t>
      </w:r>
      <w:r>
        <w:t xml:space="preserve"> </w:t>
      </w:r>
      <w:r>
        <w:t xml:space="preserve">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lueAddPara"/>
      </w:pPr>
      <w:r>
        <w:rPr>
          <w:rStyle w:val="BlueAdd"/>
        </w:rPr>
        <w:t xml:space="preserve">Table 2.6 summarises the decentralised identity studies and their coverage of the key requirements.</w:t>
      </w:r>
    </w:p>
    <w:p>
      <w:pPr>
        <w:pStyle w:val="TableCaption"/>
      </w:pPr>
      <w:r>
        <w:rPr>
          <w:rStyle w:val="BlueAdd"/>
        </w:rP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S17 [5]</w:t>
            </w:r>
          </w:p>
        </w:tc>
        <w:tc>
          <w:tcPr/>
          <w:p>
            <w:pPr>
              <w:pStyle w:val="Compact"/>
              <w:jc w:val="left"/>
            </w:pPr>
            <w:r>
              <w:rPr>
                <w:rStyle w:val="BlueAdd"/>
              </w:rPr>
              <w:t xml:space="preserve">FutureDID: a fully decentralised identity system in which identity claims are verified by multiple parties.</w:t>
            </w:r>
          </w:p>
        </w:tc>
        <w:tc>
          <w:tcPr/>
          <w:p>
            <w:pPr>
              <w:pStyle w:val="Compact"/>
              <w:jc w:val="left"/>
            </w:pPr>
            <w:r>
              <w:rPr>
                <w:rStyle w:val="BlueAdd"/>
              </w:rPr>
              <w:t xml:space="preserve">Multi-party verification applies to the identity claim, not to the authorisation of data access.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S18 [6]</w:t>
            </w:r>
          </w:p>
        </w:tc>
        <w:tc>
          <w:tcPr/>
          <w:p>
            <w:pPr>
              <w:pStyle w:val="Compact"/>
              <w:jc w:val="left"/>
            </w:pPr>
            <w:r>
              <w:rPr>
                <w:rStyle w:val="BlueAdd"/>
              </w:rPr>
              <w:t xml:space="preserve">Analysis of the cryptographic mechanisms available for the selective disclosure of verifiable credentials.</w:t>
            </w:r>
          </w:p>
        </w:tc>
        <w:tc>
          <w:tcPr/>
          <w:p>
            <w:pPr>
              <w:pStyle w:val="Compact"/>
              <w:jc w:val="left"/>
            </w:pPr>
            <w:r>
              <w:rPr>
                <w:rStyle w:val="BlueAdd"/>
              </w:rPr>
              <w:t xml:space="preserve">Concerns what a holder reveals, not whether the holder is authorised for a particular patient’s data.</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S19 [14]</w:t>
            </w:r>
          </w:p>
        </w:tc>
        <w:tc>
          <w:tcPr/>
          <w:p>
            <w:pPr>
              <w:pStyle w:val="Compact"/>
              <w:jc w:val="left"/>
            </w:pPr>
            <w:r>
              <w:rPr>
                <w:rStyle w:val="BlueAdd"/>
              </w:rPr>
              <w:t xml:space="preserve">Review of blockchain-based identity management, access control and trust mechanisms for the IoT.</w:t>
            </w:r>
          </w:p>
        </w:tc>
        <w:tc>
          <w:tcPr/>
          <w:p>
            <w:pPr>
              <w:pStyle w:val="Compact"/>
              <w:jc w:val="left"/>
            </w:pPr>
            <w:r>
              <w:rPr>
                <w:rStyle w:val="BlueAdd"/>
              </w:rPr>
              <w:t xml:space="preserve">IoT-oriented; consent and multi-party approval are outside its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S20 [15]</w:t>
            </w:r>
          </w:p>
        </w:tc>
        <w:tc>
          <w:tcPr/>
          <w:p>
            <w:pPr>
              <w:pStyle w:val="Compact"/>
              <w:jc w:val="left"/>
            </w:pPr>
            <w:r>
              <w:rPr>
                <w:rStyle w:val="BlueAdd"/>
              </w:rPr>
              <w:t xml:space="preserve">Overview of decentralised and self-sovereign identity for IoT authentication, authorisation and access control.</w:t>
            </w:r>
          </w:p>
        </w:tc>
        <w:tc>
          <w:tcPr/>
          <w:p>
            <w:pPr>
              <w:pStyle w:val="Compact"/>
              <w:jc w:val="left"/>
            </w:pPr>
            <w:r>
              <w:rPr>
                <w:rStyle w:val="BlueAdd"/>
              </w:rPr>
              <w:t xml:space="preserve">Establishes DIDs and VCs as the identity pillars; authorisation is derived from the credential alone.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S21 [17]</w:t>
            </w:r>
          </w:p>
        </w:tc>
        <w:tc>
          <w:tcPr/>
          <w:p>
            <w:pPr>
              <w:pStyle w:val="Compact"/>
              <w:jc w:val="left"/>
            </w:pPr>
            <w:r>
              <w:rPr>
                <w:rStyle w:val="BlueAdd"/>
              </w:rPr>
              <w:t xml:space="preserve">Comprehensive survey of decentralised identifiers and verifiable credentials, their standards, architectures and open issues.</w:t>
            </w:r>
          </w:p>
        </w:tc>
        <w:tc>
          <w:tcPr/>
          <w:p>
            <w:pPr>
              <w:pStyle w:val="Compact"/>
              <w:jc w:val="left"/>
            </w:pPr>
            <w:r>
              <w:rPr>
                <w:rStyle w:val="BlueAdd"/>
              </w:rPr>
              <w:t xml:space="preserve">Identity and credential validity are the end point; there is no link to consent-defined authority.</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S22 [23]</w:t>
            </w:r>
          </w:p>
        </w:tc>
        <w:tc>
          <w:tcPr/>
          <w:p>
            <w:pPr>
              <w:pStyle w:val="Compact"/>
              <w:jc w:val="left"/>
            </w:pPr>
            <w:r>
              <w:rPr>
                <w:rStyle w:val="BlueAdd"/>
              </w:rPr>
              <w:t xml:space="preserve">DID/VC-based privacy-preserving authentication protocol with zero-knowledge proofs for electric-vehicle charging.</w:t>
            </w:r>
          </w:p>
        </w:tc>
        <w:tc>
          <w:tcPr/>
          <w:p>
            <w:pPr>
              <w:pStyle w:val="Compact"/>
              <w:jc w:val="left"/>
            </w:pPr>
            <w:r>
              <w:rPr>
                <w:rStyle w:val="BlueAdd"/>
              </w:rPr>
              <w:t xml:space="preserve">Shows DID/VC authentication in another domain; no consent or scope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S23 [33]</w:t>
            </w:r>
          </w:p>
        </w:tc>
        <w:tc>
          <w:tcPr/>
          <w:p>
            <w:pPr>
              <w:pStyle w:val="Compact"/>
              <w:jc w:val="left"/>
            </w:pPr>
            <w:r>
              <w:rPr>
                <w:rStyle w:val="BlueAdd"/>
              </w:rPr>
              <w:t xml:space="preserve">DP-DID: a dynamic and proactive decentralised identity system that supports identity updates and revocation.</w:t>
            </w:r>
          </w:p>
        </w:tc>
        <w:tc>
          <w:tcPr/>
          <w:p>
            <w:pPr>
              <w:pStyle w:val="Compact"/>
              <w:jc w:val="left"/>
            </w:pPr>
            <w:r>
              <w:rPr>
                <w:rStyle w:val="BlueAdd"/>
              </w:rPr>
              <w:t xml:space="preserve">Lifecycle handling applies to the identity, not to the consent that authorises access.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6"/>
    <w:bookmarkStart w:id="37" w:name="X836fdb855249812e1f666cb0298115c8e62a77c"/>
    <w:p>
      <w:pPr>
        <w:pStyle w:val="Heading3"/>
      </w:pPr>
      <w:r>
        <w:rPr>
          <w:rStyle w:val="PinkDelete"/>
        </w:rPr>
        <w:t xml:space="preserve">2.3.4</w:t>
      </w:r>
      <w:r>
        <w:t xml:space="preserve"> </w:t>
      </w:r>
      <w:r>
        <w:rPr>
          <w:rStyle w:val="PinkFix"/>
        </w:rPr>
        <w:t xml:space="preserve">2.4.4</w:t>
      </w:r>
      <w:r>
        <w:t xml:space="preserve"> </w:t>
      </w:r>
      <w:r>
        <w:rPr>
          <w:rStyle w:val="PinkDelete"/>
        </w:rPr>
        <w:t xml:space="preserve">Multi-Party Authorisation and Collaborative Consent</w:t>
      </w:r>
      <w:r>
        <w:t xml:space="preserve"> </w:t>
      </w:r>
      <w:r>
        <w:rPr>
          <w:rStyle w:val="PinkFix"/>
        </w:rPr>
        <w:t xml:space="preserve">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w:t>
      </w:r>
      <w:r>
        <w:t xml:space="preserve"> </w:t>
      </w:r>
      <w:r>
        <w:rPr>
          <w:rStyle w:val="PinkDelete"/>
        </w:rPr>
        <w:t xml:space="preserve">different responsibilities and authority levels [8]</w:t>
      </w:r>
      <w:r>
        <w:rPr>
          <w:rStyle w:val="PinkFix"/>
        </w:rPr>
        <w:t xml:space="preserve">different responsibilities and authority levels [8, 29]</w:t>
      </w:r>
      <w:r>
        <w:t xml:space="preserve">.</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[16].</w:t>
      </w:r>
      <w:r>
        <w:rPr>
          <w:rStyle w:val="PinkFix"/>
        </w:rPr>
        <w:t xml:space="preserve">A decentralised trust framework for multi-stakeholder livestock data sharing shows that controlled exposure to authorised entities can be achieved without a central authority [1].</w:t>
      </w:r>
      <w:r>
        <w:t xml:space="preserve"> </w:t>
      </w:r>
      <w:r>
        <w:t xml:space="preserve">Decentralised decision-making has also been investigated in combination with blockchain and large-scale data systems [27]. FutureDID further demonstrates that multi-party verification can be incorporated into decentralised identity processes [5].</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lueAddPara"/>
      </w:pPr>
      <w:r>
        <w:rPr>
          <w:rStyle w:val="BlueAdd"/>
        </w:rPr>
        <w:t xml:space="preserve">The closest existing approach to threshold-based authorisation is the multi-party pre-authorisation protocol of Tan et al. [25],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lueAddPara"/>
      </w:pPr>
      <w:r>
        <w:rPr>
          <w:rStyle w:val="BlueAdd"/>
        </w:rPr>
        <w:t xml:space="preserve">Table 2.7 summarises the multi-party governance studies and their coverage of the key requirements.</w:t>
      </w:r>
    </w:p>
    <w:p>
      <w:pPr>
        <w:pStyle w:val="TableCaption"/>
      </w:pPr>
      <w:r>
        <w:rPr>
          <w:rStyle w:val="BlueAdd"/>
        </w:rP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S24 [1]</w:t>
            </w:r>
          </w:p>
        </w:tc>
        <w:tc>
          <w:tcPr/>
          <w:p>
            <w:pPr>
              <w:pStyle w:val="Compact"/>
              <w:jc w:val="left"/>
            </w:pPr>
            <w:r>
              <w:rPr>
                <w:rStyle w:val="BlueAdd"/>
              </w:rPr>
              <w:t xml:space="preserve">FLEX framework for decentralised trust and secure data sharing among livestock supply-chain stakeholders, with STRIDE threat modelling and an open-source implementation.</w:t>
            </w:r>
          </w:p>
        </w:tc>
        <w:tc>
          <w:tcPr/>
          <w:p>
            <w:pPr>
              <w:pStyle w:val="Compact"/>
              <w:jc w:val="left"/>
            </w:pPr>
            <w:r>
              <w:rPr>
                <w:rStyle w:val="BlueAdd"/>
              </w:rPr>
              <w:t xml:space="preserve">Controlled exposure to authorised entities is supported, but approvals are not aggregated to a threshold and consent is not modelled.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S25 [16]</w:t>
            </w:r>
          </w:p>
        </w:tc>
        <w:tc>
          <w:tcPr/>
          <w:p>
            <w:pPr>
              <w:pStyle w:val="Compact"/>
              <w:jc w:val="left"/>
            </w:pPr>
            <w:r>
              <w:rPr>
                <w:rStyle w:val="BlueAdd"/>
              </w:rPr>
              <w:t xml:space="preserve">Data Trusts as a Service: a platform through which multiple parties take part in data-sharing arrangements and their governance.</w:t>
            </w:r>
          </w:p>
        </w:tc>
        <w:tc>
          <w:tcPr/>
          <w:p>
            <w:pPr>
              <w:pStyle w:val="Compact"/>
              <w:jc w:val="left"/>
            </w:pPr>
            <w:r>
              <w:rPr>
                <w:rStyle w:val="BlueAdd"/>
              </w:rPr>
              <w:t xml:space="preserve">Governance is collective, but the individual access decision is not bound to identity verification or consent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S26 [25]</w:t>
            </w:r>
          </w:p>
        </w:tc>
        <w:tc>
          <w:tcPr/>
          <w:p>
            <w:pPr>
              <w:pStyle w:val="Compact"/>
              <w:jc w:val="left"/>
            </w:pPr>
            <w:r>
              <w:rPr>
                <w:rStyle w:val="BlueAdd"/>
              </w:rP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rPr>
                <w:rStyle w:val="BlueAdd"/>
              </w:rPr>
              <w:t xml:space="preserve">The threshold applies to cryptographic shares held by parties fixed in advance; the approval is not evaluated against the requester’s authority or the purpose and scope of the request.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7"/>
    <w:bookmarkStart w:id="38" w:name="X65ac327857ae873d38ffe426701abf3e34d1162"/>
    <w:p>
      <w:pPr>
        <w:pStyle w:val="Heading3"/>
      </w:pPr>
      <w:r>
        <w:rPr>
          <w:rStyle w:val="PinkDelete"/>
        </w:rPr>
        <w:t xml:space="preserve">2.3.5</w:t>
      </w:r>
      <w:r>
        <w:t xml:space="preserve"> </w:t>
      </w:r>
      <w:r>
        <w:rPr>
          <w:rStyle w:val="PinkFix"/>
        </w:rPr>
        <w:t xml:space="preserve">2.4.5</w:t>
      </w:r>
      <w:r>
        <w:t xml:space="preserve"> </w:t>
      </w:r>
      <w:r>
        <w:rPr>
          <w:rStyle w:val="PinkDelete"/>
        </w:rPr>
        <w:t xml:space="preserve">Policy-Based and Context-Aware Access Control</w:t>
      </w:r>
      <w:r>
        <w:t xml:space="preserve"> </w:t>
      </w:r>
      <w:r>
        <w:rPr>
          <w:rStyle w:val="PinkFix"/>
        </w:rPr>
        <w:t xml:space="preserve">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[10].</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[21, 26].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lueAddPara"/>
      </w:pPr>
      <w:r>
        <w:rPr>
          <w:rStyle w:val="BlueAdd"/>
        </w:rPr>
        <w:t xml:space="preserve">Purpose-based access control has also been combined with blockchain audit trails so that every access is recorded together with its declared purpose [28], and policy-based access control governed by smart contracts allows the subject, controller and requester roles of the GDPR to grant, revoke and inspect access rights [31]. In both cases the purpose is checked against a policy rather than against the purpose the patient consented to.</w:t>
      </w:r>
    </w:p>
    <w:p>
      <w:pPr>
        <w:pStyle w:val="BlueAddPara"/>
      </w:pPr>
      <w:r>
        <w:rPr>
          <w:rStyle w:val="BlueAdd"/>
        </w:rPr>
        <w:t xml:space="preserve">Table 2.8 summarises the access-control studies and their coverage of the key requirements.</w:t>
      </w:r>
    </w:p>
    <w:p>
      <w:pPr>
        <w:pStyle w:val="TableCaption"/>
      </w:pPr>
      <w:r>
        <w:rPr>
          <w:rStyle w:val="BlueAdd"/>
        </w:rP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S27 [10]</w:t>
            </w:r>
          </w:p>
        </w:tc>
        <w:tc>
          <w:tcPr/>
          <w:p>
            <w:pPr>
              <w:pStyle w:val="Compact"/>
              <w:jc w:val="left"/>
            </w:pPr>
            <w:r>
              <w:rPr>
                <w:rStyle w:val="BlueAdd"/>
              </w:rPr>
              <w:t xml:space="preserve">RQ-UCON: a usage-control model for healthcare big data that quantifies physician risk from visit history and adjusts access rights in real time.</w:t>
            </w:r>
          </w:p>
        </w:tc>
        <w:tc>
          <w:tcPr/>
          <w:p>
            <w:pPr>
              <w:pStyle w:val="Compact"/>
              <w:jc w:val="left"/>
            </w:pPr>
            <w:r>
              <w:rPr>
                <w:rStyle w:val="BlueAdd"/>
              </w:rPr>
              <w:t xml:space="preserve">Access is conditioned on risk and usage, not on patient consent or multi-party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S28 [21]</w:t>
            </w:r>
          </w:p>
        </w:tc>
        <w:tc>
          <w:tcPr/>
          <w:p>
            <w:pPr>
              <w:pStyle w:val="Compact"/>
              <w:jc w:val="left"/>
            </w:pPr>
            <w:r>
              <w:rPr>
                <w:rStyle w:val="BlueAdd"/>
              </w:rPr>
              <w:t xml:space="preserve">Survey of access control in healthcare IoT (RBAC, ABAC, CapBAC, CAAC), emergency access, privacy compliance and DID/VC-based authorisation.</w:t>
            </w:r>
          </w:p>
        </w:tc>
        <w:tc>
          <w:tcPr/>
          <w:p>
            <w:pPr>
              <w:pStyle w:val="Compact"/>
              <w:jc w:val="left"/>
            </w:pPr>
            <w:r>
              <w:rPr>
                <w:rStyle w:val="BlueAdd"/>
              </w:rPr>
              <w:t xml:space="preserve">Surveys the models in isolation; the integration of consent, identity and collective approval is identified as a gap, not solved.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S29 [26]</w:t>
            </w:r>
          </w:p>
        </w:tc>
        <w:tc>
          <w:tcPr/>
          <w:p>
            <w:pPr>
              <w:pStyle w:val="Compact"/>
              <w:jc w:val="left"/>
            </w:pPr>
            <w:r>
              <w:rPr>
                <w:rStyle w:val="BlueAdd"/>
              </w:rPr>
              <w:t xml:space="preserve">Survey of 45 blockchain-based access-control and privacy-preservation frameworks for EHRs, including smart-contract authentication and cryptographic techniques.</w:t>
            </w:r>
          </w:p>
        </w:tc>
        <w:tc>
          <w:tcPr/>
          <w:p>
            <w:pPr>
              <w:pStyle w:val="Compact"/>
              <w:jc w:val="left"/>
            </w:pPr>
            <w:r>
              <w:rPr>
                <w:rStyle w:val="BlueAdd"/>
              </w:rPr>
              <w:t xml:space="preserve">Smart contracts enforce rules, but the surveyed frameworks do not evaluate multi-party consent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S30 [32]</w:t>
            </w:r>
          </w:p>
        </w:tc>
        <w:tc>
          <w:tcPr/>
          <w:p>
            <w:pPr>
              <w:pStyle w:val="Compact"/>
              <w:jc w:val="left"/>
            </w:pPr>
            <w:r>
              <w:rPr>
                <w:rStyle w:val="BlueAdd"/>
              </w:rPr>
              <w:t xml:space="preserve">Attribute-based searchable encryption with decentralised key management for healthcare data sharing.</w:t>
            </w:r>
          </w:p>
        </w:tc>
        <w:tc>
          <w:tcPr/>
          <w:p>
            <w:pPr>
              <w:pStyle w:val="Compact"/>
              <w:jc w:val="left"/>
            </w:pPr>
            <w:r>
              <w:rPr>
                <w:rStyle w:val="BlueAdd"/>
              </w:rPr>
              <w:t xml:space="preserve">Cryptographic enforcement of attribute policies; authority and consent approval are assumed rather than verified.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S31 [28]</w:t>
            </w:r>
          </w:p>
        </w:tc>
        <w:tc>
          <w:tcPr/>
          <w:p>
            <w:pPr>
              <w:pStyle w:val="Compact"/>
              <w:jc w:val="left"/>
            </w:pPr>
            <w:r>
              <w:rPr>
                <w:rStyle w:val="BlueAdd"/>
              </w:rPr>
              <w:t xml:space="preserve">Blockchain-based EHR access auditing that records who accessed which record, when and for what purpose, combined with purpose-based access control enforced by smart contracts.</w:t>
            </w:r>
          </w:p>
        </w:tc>
        <w:tc>
          <w:tcPr/>
          <w:p>
            <w:pPr>
              <w:pStyle w:val="Compact"/>
              <w:jc w:val="left"/>
            </w:pPr>
            <w:r>
              <w:rPr>
                <w:rStyle w:val="BlueAdd"/>
              </w:rPr>
              <w:t xml:space="preserve">Purpose is checked against a policy, not against the purpose the patient consented to; no identity verification or collective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S32 [31]</w:t>
            </w:r>
          </w:p>
        </w:tc>
        <w:tc>
          <w:tcPr/>
          <w:p>
            <w:pPr>
              <w:pStyle w:val="Compact"/>
              <w:jc w:val="left"/>
            </w:pPr>
            <w:r>
              <w:rPr>
                <w:rStyle w:val="BlueAdd"/>
              </w:rPr>
              <w:t xml:space="preserve">Policy-based access control for EHRs governed by smart contracts, in which the subject, controller and requester roles of the GDPR can grant, revoke and inspect access rights.</w:t>
            </w:r>
          </w:p>
        </w:tc>
        <w:tc>
          <w:tcPr/>
          <w:p>
            <w:pPr>
              <w:pStyle w:val="Compact"/>
              <w:jc w:val="left"/>
            </w:pPr>
            <w:r>
              <w:rPr>
                <w:rStyle w:val="BlueAdd"/>
              </w:rPr>
              <w:t xml:space="preserve">Policies are role-based; consent is implicit in the subject’s grant and no threshold of approvals is required.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8"/>
    <w:bookmarkStart w:id="39" w:name="X70697d1bf80033494359f9b6207e02cd31d6057"/>
    <w:p>
      <w:pPr>
        <w:pStyle w:val="Heading3"/>
      </w:pPr>
      <w:r>
        <w:rPr>
          <w:rStyle w:val="PinkDelete"/>
        </w:rPr>
        <w:t xml:space="preserve">2.3.6</w:t>
      </w:r>
      <w:r>
        <w:t xml:space="preserve"> </w:t>
      </w:r>
      <w:r>
        <w:rPr>
          <w:rStyle w:val="PinkFix"/>
        </w:rPr>
        <w:t xml:space="preserve">2.4.6</w:t>
      </w:r>
      <w:r>
        <w:t xml:space="preserve"> </w:t>
      </w:r>
      <w:r>
        <w:t xml:space="preserve">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[19].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lueAddPara"/>
      </w:pPr>
      <w:r>
        <w:rPr>
          <w:rStyle w:val="BlueAdd"/>
        </w:rPr>
        <w:t xml:space="preserve">Table 2.9 summarises the Trusted Computing study and its coverage of the key requirements.</w:t>
      </w:r>
    </w:p>
    <w:p>
      <w:pPr>
        <w:pStyle w:val="TableCaption"/>
      </w:pPr>
      <w:r>
        <w:rPr>
          <w:rStyle w:val="BlueAdd"/>
        </w:rP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S33 [19]</w:t>
            </w:r>
          </w:p>
        </w:tc>
        <w:tc>
          <w:tcPr/>
          <w:p>
            <w:pPr>
              <w:pStyle w:val="Compact"/>
              <w:jc w:val="left"/>
            </w:pPr>
            <w:r>
              <w:rPr>
                <w:rStyle w:val="BlueAdd"/>
              </w:rPr>
              <w:t xml:space="preserve">Systematic explanation of remote-attestation mechanisms for trusted execution environments.</w:t>
            </w:r>
          </w:p>
        </w:tc>
        <w:tc>
          <w:tcPr/>
          <w:p>
            <w:pPr>
              <w:pStyle w:val="Compact"/>
              <w:jc w:val="left"/>
            </w:pPr>
            <w:r>
              <w:rPr>
                <w:rStyle w:val="BlueAdd"/>
              </w:rPr>
              <w:t xml:space="preserve">Protects the execution; it says nothing about whether the authorisation policy being executed is correct.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9"/>
    <w:bookmarkStart w:id="40" w:name="X825064b2f9c6a59f6907e485e5a8e31c4a70bee"/>
    <w:p>
      <w:pPr>
        <w:pStyle w:val="Heading3"/>
      </w:pPr>
      <w:r>
        <w:rPr>
          <w:rStyle w:val="PinkDelete"/>
        </w:rPr>
        <w:t xml:space="preserve">2.3.7</w:t>
      </w:r>
      <w:r>
        <w:t xml:space="preserve"> </w:t>
      </w:r>
      <w:r>
        <w:rPr>
          <w:rStyle w:val="PinkFix"/>
        </w:rPr>
        <w:t xml:space="preserve">2.4.7</w:t>
      </w:r>
      <w:r>
        <w:t xml:space="preserve"> </w:t>
      </w:r>
      <w:r>
        <w:t xml:space="preserve">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rPr>
          <w:rStyle w:val="PinkDelete"/>
        </w:rPr>
        <w:t xml:space="preserve">Table 2.10 summarises the principal focus</w:t>
      </w:r>
      <w:r>
        <w:rPr>
          <w:rStyle w:val="PinkFix"/>
        </w:rPr>
        <w:t xml:space="preserve">Table 2.10 summarises the principal focus</w:t>
      </w:r>
      <w:r>
        <w:t xml:space="preserve"> </w:t>
      </w:r>
      <w:r>
        <w:t xml:space="preserve">and limitations of the major research streams and positions the proposed framework relative to the existing literature.</w:t>
      </w:r>
    </w:p>
    <w:p>
      <w:pPr>
        <w:pStyle w:val="TableCaption"/>
      </w:pPr>
      <w:r>
        <w:rPr>
          <w:rStyle w:val="PinkDelete"/>
        </w:rPr>
        <w:t xml:space="preserve">Table 2.10: Comparison of Existing Research Approaches and the Proposed Framework</w:t>
      </w:r>
      <w:r>
        <w:rPr>
          <w:rStyle w:val="PinkFix"/>
        </w:rPr>
        <w:t xml:space="preserve">Table 2.10: Comparison of the existing research streams and the proposed framework</w:t>
      </w:r>
    </w:p>
    <w:tbl>
      <w:tblPr>
        <w:tblStyle w:val="Table"/>
        <w:tblW w:type="pct" w:w="4965"/>
        <w:tblLayout w:type="fixed"/>
        <w:tblLook w:firstRow="1" w:lastRow="0" w:firstColumn="0" w:lastColumn="0" w:noHBand="0" w:noVBand="0" w:val="0020"/>
        <w:tblCaption w:val="Table 2.10: Comparison of Existing Research Approaches and the Proposed FrameworkTable 2.10: Comparison of the existing research streams and the proposed framework"/>
      </w:tblPr>
      <w:tblGrid>
        <w:gridCol w:w="1445"/>
        <w:gridCol w:w="2806"/>
        <w:gridCol w:w="2695"/>
        <w:gridCol w:w="91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rPr>
                <w:rStyle w:val="PinkDelete"/>
              </w:rPr>
              <w:t xml:space="preserve">[9, 11, 12, 13, 18, 20, 29]</w:t>
            </w:r>
            <w:r>
              <w:rPr>
                <w:rStyle w:val="PinkFix"/>
              </w:rPr>
              <w:t xml:space="preserve">[9, 11, 12, 13, 18, 20, 24, 29, 30]</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rPr>
                <w:rStyle w:val="PinkDelete"/>
              </w:rPr>
              <w:t xml:space="preserve">[2, 3, 4, 7, 22, 27]</w:t>
            </w:r>
            <w:r>
              <w:rPr>
                <w:rStyle w:val="PinkFix"/>
              </w:rPr>
              <w:t xml:space="preserve">[2, 3, 4, 7, 22, 27]</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[5, 6, 15, 17, 23,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rPr>
                <w:rStyle w:val="PinkDelete"/>
              </w:rPr>
              <w:t xml:space="preserve">[5, 8, 16]</w:t>
            </w:r>
            <w:r>
              <w:rPr>
                <w:rStyle w:val="PinkFix"/>
              </w:rPr>
              <w:t xml:space="preserve">[1, 5, 8, 16, 25, 29]</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rPr>
                <w:rStyle w:val="PinkDelete"/>
              </w:rPr>
              <w:t xml:space="preserve">[10, 21, 26, 32]</w:t>
            </w:r>
            <w:r>
              <w:rPr>
                <w:rStyle w:val="PinkFix"/>
              </w:rPr>
              <w:t xml:space="preserve">[10, 21, 26, 28, 31, 32]</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rPr>
                <w:rStyle w:val="PinkDelete"/>
              </w:rPr>
              <w:t xml:space="preserve">[19]</w:t>
            </w:r>
            <w:r>
              <w:rPr>
                <w:rStyle w:val="PinkFix"/>
              </w:rPr>
              <w:t xml:space="preserve">[19]</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0"/>
    <w:bookmarkEnd w:id="41"/>
    <w:bookmarkStart w:id="42" w:name="X8f0d5a13a2d56d21e1bec7d2ebd521767d7b0f3"/>
    <w:p>
      <w:pPr>
        <w:pStyle w:val="Heading2"/>
      </w:pPr>
      <w:r>
        <w:rPr>
          <w:rStyle w:val="PinkDelete"/>
        </w:rPr>
        <w:t xml:space="preserve">2.4</w:t>
      </w:r>
      <w:r>
        <w:t xml:space="preserve"> </w:t>
      </w:r>
      <w:r>
        <w:rPr>
          <w:rStyle w:val="PinkFix"/>
        </w:rPr>
        <w:t xml:space="preserve">2.5</w:t>
      </w:r>
      <w:r>
        <w:t xml:space="preserve"> </w:t>
      </w:r>
      <w:r>
        <w:rPr>
          <w:rStyle w:val="PinkDelete"/>
        </w:rPr>
        <w:t xml:space="preserve">Synthesis and Research Gap</w:t>
      </w:r>
      <w:r>
        <w:t xml:space="preserve"> </w:t>
      </w:r>
      <w:r>
        <w:rPr>
          <w:rStyle w:val="PinkFix"/>
        </w:rPr>
        <w:t xml:space="preserve">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lueAddPara"/>
      </w:pPr>
      <w:r>
        <w:rPr>
          <w:rStyle w:val="BlueAdd"/>
        </w:rPr>
        <w:t xml:space="preserve">From the perspective of the five key requirements defined in Section 2.2, the shortlisted studies (Tables 2.4–2.9) show the following gaps:</w:t>
      </w:r>
    </w:p>
    <w:p>
      <w:pPr>
        <w:pStyle w:val="BlueAddPara"/>
        <w:numPr>
          <w:ilvl w:val="0"/>
          <w:numId w:val="1004"/>
        </w:numPr>
      </w:pPr>
      <w:r>
        <w:rPr>
          <w:rStyle w:val="BlueAdd"/>
          <w:b/>
          <w:bCs/>
        </w:rPr>
        <w:t xml:space="preserve">Consent as an evaluable authorisation object (Req 1).</w:t>
      </w:r>
      <w:r>
        <w:rPr>
          <w:rStyle w:val="BlueAdd"/>
        </w:rPr>
        <w:t xml:space="preserve"> </w:t>
      </w:r>
      <w:r>
        <w:rPr>
          <w:rStyle w:val="BlueAdd"/>
        </w:rPr>
        <w:t xml:space="preserve">Only S2, S4, S6, S7, S9, S10, S15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pStyle w:val="BlueAddPara"/>
        <w:numPr>
          <w:ilvl w:val="0"/>
          <w:numId w:val="1004"/>
        </w:numPr>
      </w:pPr>
      <w:r>
        <w:rPr>
          <w:rStyle w:val="BlueAdd"/>
          <w:b/>
          <w:bCs/>
        </w:rPr>
        <w:t xml:space="preserve">Verifiable identity separated from authority (Req 2).</w:t>
      </w:r>
      <w:r>
        <w:rPr>
          <w:rStyle w:val="BlueAdd"/>
        </w:rPr>
        <w:t xml:space="preserve"> </w:t>
      </w:r>
      <w:r>
        <w:rPr>
          <w:rStyle w:val="BlueAdd"/>
        </w:rPr>
        <w:t xml:space="preserve">The decentralised identity studies (S17, S18, S19, S20, S21, S22, S23), the multi-party and access-control studies S24, S26, S28 and the guardian-access policy statement S8 establish who a participant is, but in every case the credential is treated as the end of the decision. No study models the authority required by a particular consent as a condition that is verified separately from identity.</w:t>
      </w:r>
    </w:p>
    <w:p>
      <w:pPr>
        <w:pStyle w:val="BlueAddPara"/>
        <w:numPr>
          <w:ilvl w:val="0"/>
          <w:numId w:val="1004"/>
        </w:numPr>
      </w:pPr>
      <w:r>
        <w:rPr>
          <w:rStyle w:val="BlueAdd"/>
          <w:b/>
          <w:bCs/>
        </w:rPr>
        <w:t xml:space="preserve">Multi-party threshold authorisation (Req 3).</w:t>
      </w:r>
      <w:r>
        <w:rPr>
          <w:rStyle w:val="BlueAdd"/>
        </w:rPr>
        <w:t xml:space="preserve"> </w:t>
      </w:r>
      <w:r>
        <w:rPr>
          <w:rStyle w:val="BlueAdd"/>
        </w:rPr>
        <w:t xml:space="preserve">Multi-party mechanisms appear in S16, S17, S25, S26: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pStyle w:val="BlueAddPara"/>
        <w:numPr>
          <w:ilvl w:val="0"/>
          <w:numId w:val="1004"/>
        </w:numPr>
      </w:pPr>
      <w:r>
        <w:rPr>
          <w:rStyle w:val="BlueAdd"/>
          <w:b/>
          <w:bCs/>
        </w:rPr>
        <w:t xml:space="preserve">Purpose- and scope-bound access (Req 4).</w:t>
      </w:r>
      <w:r>
        <w:rPr>
          <w:rStyle w:val="BlueAdd"/>
        </w:rPr>
        <w:t xml:space="preserve"> </w:t>
      </w:r>
      <w:r>
        <w:rPr>
          <w:rStyle w:val="BlueAdd"/>
        </w:rPr>
        <w:t xml:space="preserve">Policy-based enforcement is well covered (S9, S11, S12, S13, S14, S19, S20, S24, S25,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pStyle w:val="BlueAddPara"/>
        <w:numPr>
          <w:ilvl w:val="0"/>
          <w:numId w:val="1004"/>
        </w:numPr>
      </w:pPr>
      <w:r>
        <w:rPr>
          <w:rStyle w:val="BlueAdd"/>
          <w:b/>
          <w:bCs/>
        </w:rPr>
        <w:t xml:space="preserve">Lifecycle validity and auditable evidence (Req 5).</w:t>
      </w:r>
      <w:r>
        <w:rPr>
          <w:rStyle w:val="BlueAdd"/>
        </w:rPr>
        <w:t xml:space="preserve"> </w:t>
      </w:r>
      <w:r>
        <w:rPr>
          <w:rStyle w:val="BlueAdd"/>
        </w:rPr>
        <w:t xml:space="preserve">Audit trails and revocation are provided by S2, S4, S9, S10, S11, S12, S13, S14, S15, S16, S23, S24, S27, S29, S31, S32, but expiry, revocation and state transitions of the consent itself are not evaluated at the time of the request, and the recorded evidence describes transactions rather than the trust conditions under which each decision was made.</w:t>
      </w:r>
    </w:p>
    <w:p>
      <w:pPr>
        <w:pStyle w:val="BlueAddPara"/>
      </w:pPr>
      <w:r>
        <w:rPr>
          <w:rStyle w:val="BlueAdd"/>
        </w:rPr>
        <w:t xml:space="preserve">These gaps are addressed in the following order by the research objectives of Chapter 3: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2"/>
    <w:bookmarkStart w:id="43" w:name="conclusion"/>
    <w:p>
      <w:pPr>
        <w:pStyle w:val="Heading2"/>
      </w:pPr>
      <w:r>
        <w:rPr>
          <w:rStyle w:val="BlueAdd"/>
        </w:rPr>
        <w:t xml:space="preserve">2.6 Conclusion</w:t>
      </w:r>
    </w:p>
    <w:p>
      <w:pPr>
        <w:pStyle w:val="BlueAddPara"/>
      </w:pPr>
      <w:r>
        <w:rPr>
          <w:rStyle w:val="BlueAdd"/>
        </w:rP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lueAddPara"/>
      </w:pPr>
      <w:r>
        <w:rPr>
          <w:rStyle w:val="BlueAdd"/>
        </w:rPr>
        <w:t xml:space="preserve">These findings motivate the research questions and objectives presented in the next chapter and the trust-oriented consent authorisation framework proposed in Chapters 5 and 6, in which decentralised identifiers, verifiable credentials, threshold-based approval and policy evaluation contribute to one explainable decision.</w:t>
      </w:r>
    </w:p>
    <w:bookmarkEnd w:id="43"/>
    <w:bookmarkEnd w:id="44"/>
    <w:bookmarkStart w:id="55" w:name="research-gaps-and-questions"/>
    <w:p>
      <w:pPr>
        <w:pStyle w:val="Heading1"/>
      </w:pPr>
      <w:r>
        <w:t xml:space="preserve">3 Research Gaps and Questions</w:t>
      </w:r>
    </w:p>
    <w:bookmarkStart w:id="45"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lueAddPara"/>
      </w:pPr>
      <w:r>
        <w:rPr>
          <w:rStyle w:val="BlueAdd"/>
        </w:rPr>
        <w:t xml:space="preserve">In particular, the review defined five key requirements for a trust-oriented consent authorisation framework (Section 2.2) and assessed each of the 28 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45"/>
    <w:bookmarkStart w:id="46"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6"/>
    <w:bookmarkStart w:id="53"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7"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7"/>
    <w:bookmarkStart w:id="48"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8"/>
    <w:bookmarkStart w:id="49"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9"/>
    <w:bookmarkStart w:id="50"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0"/>
    <w:bookmarkStart w:id="51"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1"/>
    <w:bookmarkStart w:id="52"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[38]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2"/>
    <w:bookmarkEnd w:id="53"/>
    <w:bookmarkStart w:id="54"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54"/>
    <w:bookmarkEnd w:id="55"/>
    <w:bookmarkStart w:id="63"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w:t>
      </w:r>
    </w:p>
    <w:bookmarkStart w:id="56"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6"/>
    <w:bookmarkStart w:id="57"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7"/>
    <w:bookmarkStart w:id="58"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8"/>
    <w:bookmarkStart w:id="59"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59"/>
    <w:bookmarkStart w:id="60"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 It will investigate how temporal and lifecycle conditions can be incorporated into the authorisation decision without weakening the trust relationships established by the current stage mechanisms.</w:t>
      </w:r>
    </w:p>
    <w:bookmarkEnd w:id="60"/>
    <w:bookmarkStart w:id="61"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1"/>
    <w:bookmarkStart w:id="62"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lueAddPara"/>
      </w:pPr>
      <w:r>
        <w:rPr>
          <w:rStyle w:val="BlueAdd"/>
        </w:rPr>
        <w:t xml:space="preserve">Each objective also responds to one of the key requirements identified in the literature review: RO1 to Req 1, RO2 to Req 2, RO3 to Req 3, RO4 to Req 4 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 RQ4 current stage; RQ5–RQ6 CA3)</w:t>
      </w:r>
    </w:p>
    <w:tbl>
      <w:tblPr>
        <w:tblStyle w:val="Table"/>
        <w:tblW w:type="pct" w:w="5000"/>
        <w:tblLayout w:type="fixed"/>
        <w:tblLook w:firstRow="1" w:lastRow="0" w:firstColumn="0" w:lastColumn="0" w:noHBand="0" w:noVBand="0" w:val="0020"/>
        <w:tblCaption w:val="Table 4.2: Research Questions, Research Objectives, and Thesis Chapters (continued: RQ4 current stage; RQ5–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p>
    <w:p>
      <w:pPr>
        <w:pStyle w:val="BodyText"/>
      </w:pP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62"/>
    <w:bookmarkEnd w:id="63"/>
    <w:bookmarkStart w:id="91"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77"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04289"/>
            <wp:effectExtent b="0" l="0" r="0" t="0"/>
            <wp:docPr descr="Figure 5.1: Layered MVC Architecture and Component Decomposition of the HALAH Framework" title="" id="65" name="Picture"/>
            <a:graphic>
              <a:graphicData uri="http://schemas.openxmlformats.org/drawingml/2006/picture">
                <pic:pic>
                  <pic:nvPicPr>
                    <pic:cNvPr descr="media_col/fig03.png" id="66" name="Picture"/>
                    <pic:cNvPicPr>
                      <a:picLocks noChangeArrowheads="1" noChangeAspect="1"/>
                    </pic:cNvPicPr>
                  </pic:nvPicPr>
                  <pic:blipFill>
                    <a:blip r:embed="rId64"/>
                    <a:stretch>
                      <a:fillRect/>
                    </a:stretch>
                  </pic:blipFill>
                  <pic:spPr bwMode="auto">
                    <a:xfrm>
                      <a:off x="0" y="0"/>
                      <a:ext cx="5486400" cy="560428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0"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68" name="Picture"/>
            <a:graphic>
              <a:graphicData uri="http://schemas.openxmlformats.org/drawingml/2006/picture">
                <pic:pic>
                  <pic:nvPicPr>
                    <pic:cNvPr descr="media_col/fig04.png" id="69" name="Picture"/>
                    <pic:cNvPicPr>
                      <a:picLocks noChangeArrowheads="1" noChangeAspect="1"/>
                    </pic:cNvPicPr>
                  </pic:nvPicPr>
                  <pic:blipFill>
                    <a:blip r:embed="rId67"/>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0"/>
    <w:bookmarkStart w:id="74"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2" name="Picture"/>
            <a:graphic>
              <a:graphicData uri="http://schemas.openxmlformats.org/drawingml/2006/picture">
                <pic:pic>
                  <pic:nvPicPr>
                    <pic:cNvPr descr="media_col/fig05.png" id="73" name="Picture"/>
                    <pic:cNvPicPr>
                      <a:picLocks noChangeArrowheads="1" noChangeAspect="1"/>
                    </pic:cNvPicPr>
                  </pic:nvPicPr>
                  <pic:blipFill>
                    <a:blip r:embed="rId71"/>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74"/>
    <w:bookmarkStart w:id="75"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75"/>
    <w:bookmarkStart w:id="76"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6"/>
    <w:bookmarkEnd w:id="77"/>
    <w:bookmarkStart w:id="81"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2194560" cy="7674568"/>
            <wp:effectExtent b="0" l="0" r="0" t="0"/>
            <wp:docPr descr="Figure 5.4: End-to-End Workflow of Trust-Oriented Consent Authorisation Framework" title="" id="79" name="Picture"/>
            <a:graphic>
              <a:graphicData uri="http://schemas.openxmlformats.org/drawingml/2006/picture">
                <pic:pic>
                  <pic:nvPicPr>
                    <pic:cNvPr descr="media_col/fig06.png" id="80" name="Picture"/>
                    <pic:cNvPicPr>
                      <a:picLocks noChangeArrowheads="1" noChangeAspect="1"/>
                    </pic:cNvPicPr>
                  </pic:nvPicPr>
                  <pic:blipFill>
                    <a:blip r:embed="rId78"/>
                    <a:stretch>
                      <a:fillRect/>
                    </a:stretch>
                  </pic:blipFill>
                  <pic:spPr bwMode="auto">
                    <a:xfrm>
                      <a:off x="0" y="0"/>
                      <a:ext cx="2194560" cy="7674568"/>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1"/>
    <w:bookmarkStart w:id="82"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2"/>
    <w:bookmarkStart w:id="83"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3"/>
    <w:bookmarkStart w:id="84"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p>
    <w:p>
      <w:pPr>
        <w:pStyle w:val="BodyText"/>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84"/>
    <w:bookmarkStart w:id="85"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85"/>
    <w:bookmarkStart w:id="86"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6"/>
    <w:bookmarkStart w:id="87"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7"/>
    <w:bookmarkStart w:id="88"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5.1.</w:t>
      </w:r>
    </w:p>
    <w:bookmarkEnd w:id="88"/>
    <w:bookmarkStart w:id="89"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5.2,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89"/>
    <w:bookmarkStart w:id="90"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0"/>
    <w:bookmarkEnd w:id="91"/>
    <w:bookmarkStart w:id="135" w:name="proposed-solution"/>
    <w:p>
      <w:pPr>
        <w:pStyle w:val="Heading1"/>
      </w:pPr>
      <w:r>
        <w:t xml:space="preserve">6 Proposed Solution</w:t>
      </w:r>
    </w:p>
    <w:bookmarkStart w:id="98"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95" w:name="ro1-consent-creation-workflow"/>
    <w:p>
      <w:pPr>
        <w:pStyle w:val="Heading3"/>
      </w:pPr>
      <w:r>
        <w:t xml:space="preserve">6.1.1 RO1 Consent Creation Workflow</w:t>
      </w:r>
    </w:p>
    <w:p>
      <w:pPr>
        <w:pStyle w:val="FirstParagraph"/>
      </w:pPr>
      <w:r>
        <w:t xml:space="preserve">The following workflow(Figure 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593592" cy="7675998"/>
            <wp:effectExtent b="0" l="0" r="0" t="0"/>
            <wp:docPr descr="Figure 6.1: RO1 workflow for trust-centric consent creation" title="" id="93" name="Picture"/>
            <a:graphic>
              <a:graphicData uri="http://schemas.openxmlformats.org/drawingml/2006/picture">
                <pic:pic>
                  <pic:nvPicPr>
                    <pic:cNvPr descr="media_col/fig07.png" id="94" name="Picture"/>
                    <pic:cNvPicPr>
                      <a:picLocks noChangeArrowheads="1" noChangeAspect="1"/>
                    </pic:cNvPicPr>
                  </pic:nvPicPr>
                  <pic:blipFill>
                    <a:blip r:embed="rId92"/>
                    <a:stretch>
                      <a:fillRect/>
                    </a:stretch>
                  </pic:blipFill>
                  <pic:spPr bwMode="auto">
                    <a:xfrm>
                      <a:off x="0" y="0"/>
                      <a:ext cx="3593592" cy="7675998"/>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95"/>
    <w:bookmarkStart w:id="96"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96"/>
    <w:bookmarkStart w:id="97"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7"/>
    <w:bookmarkEnd w:id="98"/>
    <w:bookmarkStart w:id="105"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p>
    <w:p>
      <w:pPr>
        <w:pStyle w:val="BodyText"/>
      </w:pP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2"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3008376" cy="7679143"/>
            <wp:effectExtent b="0" l="0" r="0" t="0"/>
            <wp:docPr descr="Figure 6.2: RO2 workflow for decentralised identity and authority verification" title="" id="100" name="Picture"/>
            <a:graphic>
              <a:graphicData uri="http://schemas.openxmlformats.org/drawingml/2006/picture">
                <pic:pic>
                  <pic:nvPicPr>
                    <pic:cNvPr descr="media_col/fig08.png" id="101" name="Picture"/>
                    <pic:cNvPicPr>
                      <a:picLocks noChangeArrowheads="1" noChangeAspect="1"/>
                    </pic:cNvPicPr>
                  </pic:nvPicPr>
                  <pic:blipFill>
                    <a:blip r:embed="rId99"/>
                    <a:stretch>
                      <a:fillRect/>
                    </a:stretch>
                  </pic:blipFill>
                  <pic:spPr bwMode="auto">
                    <a:xfrm>
                      <a:off x="0" y="0"/>
                      <a:ext cx="3008376" cy="7679143"/>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[39]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[41, 42],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2"/>
    <w:bookmarkStart w:id="103"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3"/>
    <w:bookmarkStart w:id="104"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04"/>
    <w:bookmarkEnd w:id="105"/>
    <w:bookmarkStart w:id="112"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09"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3584448" cy="7671816"/>
            <wp:effectExtent b="0" l="0" r="0" t="0"/>
            <wp:docPr descr="Figure 6.3: RO3 workflow for threshold-based multi-party authorisation" title="" id="107" name="Picture"/>
            <a:graphic>
              <a:graphicData uri="http://schemas.openxmlformats.org/drawingml/2006/picture">
                <pic:pic>
                  <pic:nvPicPr>
                    <pic:cNvPr descr="media_col/fig09.png" id="108" name="Picture"/>
                    <pic:cNvPicPr>
                      <a:picLocks noChangeArrowheads="1" noChangeAspect="1"/>
                    </pic:cNvPicPr>
                  </pic:nvPicPr>
                  <pic:blipFill>
                    <a:blip r:embed="rId106"/>
                    <a:stretch>
                      <a:fillRect/>
                    </a:stretch>
                  </pic:blipFill>
                  <pic:spPr bwMode="auto">
                    <a:xfrm>
                      <a:off x="0" y="0"/>
                      <a:ext cx="3584448" cy="7671816"/>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 Guardian 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[40].</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09"/>
    <w:bookmarkStart w:id="110"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oMath>
      <w:r>
        <w:t xml:space="preserve"> </w:t>
      </w:r>
      <w:r>
        <w:t xml:space="preserve">(all designated guardians must approve); configurable k-of-n thresholds are Stage 2 work.</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0"/>
    <w:bookmarkStart w:id="111"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1"/>
    <w:bookmarkEnd w:id="112"/>
    <w:bookmarkStart w:id="119"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16"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 The system retrieves the relevant consent object and verifies the requesting participant.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14" name="Picture"/>
            <a:graphic>
              <a:graphicData uri="http://schemas.openxmlformats.org/drawingml/2006/picture">
                <pic:pic>
                  <pic:nvPicPr>
                    <pic:cNvPr descr="media_col/fig10.png" id="115" name="Picture"/>
                    <pic:cNvPicPr>
                      <a:picLocks noChangeArrowheads="1" noChangeAspect="1"/>
                    </pic:cNvPicPr>
                  </pic:nvPicPr>
                  <pic:blipFill>
                    <a:blip r:embed="rId113"/>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(6).</w:t>
      </w:r>
    </w:p>
    <w:bookmarkEnd w:id="116"/>
    <w:bookmarkStart w:id="117"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where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7"/>
    <w:bookmarkStart w:id="118"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8"/>
    <w:bookmarkEnd w:id="119"/>
    <w:bookmarkStart w:id="126"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3"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2907792" cy="7687670"/>
            <wp:effectExtent b="0" l="0" r="0" t="0"/>
            <wp:docPr descr="Figure 6.5: RO5 planned workflow for temporal and consent lifecycle trust" title="" id="121" name="Picture"/>
            <a:graphic>
              <a:graphicData uri="http://schemas.openxmlformats.org/drawingml/2006/picture">
                <pic:pic>
                  <pic:nvPicPr>
                    <pic:cNvPr descr="media_col/fig11.png" id="122" name="Picture"/>
                    <pic:cNvPicPr>
                      <a:picLocks noChangeArrowheads="1" noChangeAspect="1"/>
                    </pic:cNvPicPr>
                  </pic:nvPicPr>
                  <pic:blipFill>
                    <a:blip r:embed="rId120"/>
                    <a:stretch>
                      <a:fillRect/>
                    </a:stretch>
                  </pic:blipFill>
                  <pic:spPr bwMode="auto">
                    <a:xfrm>
                      <a:off x="0" y="0"/>
                      <a:ext cx="2907792" cy="7687670"/>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3"/>
    <w:bookmarkStart w:id="124"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24"/>
    <w:bookmarkStart w:id="125"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25"/>
    <w:bookmarkEnd w:id="126"/>
    <w:bookmarkStart w:id="133"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0"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4572000" cy="7676734"/>
            <wp:effectExtent b="0" l="0" r="0" t="0"/>
            <wp:docPr descr="Figure 6.6: RO6 planned workflow for formal security assurance and empirical validation" title="" id="128" name="Picture"/>
            <a:graphic>
              <a:graphicData uri="http://schemas.openxmlformats.org/drawingml/2006/picture">
                <pic:pic>
                  <pic:nvPicPr>
                    <pic:cNvPr descr="media_col/fig12.png" id="129" name="Picture"/>
                    <pic:cNvPicPr>
                      <a:picLocks noChangeArrowheads="1" noChangeAspect="1"/>
                    </pic:cNvPicPr>
                  </pic:nvPicPr>
                  <pic:blipFill>
                    <a:blip r:embed="rId127"/>
                    <a:stretch>
                      <a:fillRect/>
                    </a:stretch>
                  </pic:blipFill>
                  <pic:spPr bwMode="auto">
                    <a:xfrm>
                      <a:off x="0" y="0"/>
                      <a:ext cx="4572000" cy="7676734"/>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0"/>
    <w:bookmarkStart w:id="131"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31"/>
    <w:bookmarkStart w:id="132"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2"/>
    <w:bookmarkEnd w:id="133"/>
    <w:bookmarkStart w:id="134"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 stage implementation, 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34"/>
    <w:bookmarkEnd w:id="135"/>
    <w:bookmarkStart w:id="167"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implemented by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36"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36"/>
    <w:bookmarkStart w:id="140"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65445" cy="2746127"/>
            <wp:effectExtent b="0" l="0" r="0" t="0"/>
            <wp:docPr descr="Figure 7.1: HALAH patient subsystem – Create Smart Consent Contract" title="" id="138" name="Picture"/>
            <a:graphic>
              <a:graphicData uri="http://schemas.openxmlformats.org/drawingml/2006/picture">
                <pic:pic>
                  <pic:nvPicPr>
                    <pic:cNvPr descr="halah_media/media/image1.png" id="139" name="Picture"/>
                    <pic:cNvPicPr>
                      <a:picLocks noChangeArrowheads="1" noChangeAspect="1"/>
                    </pic:cNvPicPr>
                  </pic:nvPicPr>
                  <pic:blipFill>
                    <a:blip r:embed="rId137"/>
                    <a:stretch>
                      <a:fillRect/>
                    </a:stretch>
                  </pic:blipFill>
                  <pic:spPr bwMode="auto">
                    <a:xfrm>
                      <a:off x="0" y="0"/>
                      <a:ext cx="5465445" cy="274612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0"/>
    <w:bookmarkStart w:id="144"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operationalises the multi-party authorisation component of the proposed framework.</w:t>
      </w:r>
    </w:p>
    <w:p>
      <w:pPr>
        <w:pStyle w:val="CaptionedFigure"/>
      </w:pPr>
      <w:r>
        <w:drawing>
          <wp:inline>
            <wp:extent cx="5465445" cy="2225799"/>
            <wp:effectExtent b="0" l="0" r="0" t="0"/>
            <wp:docPr descr="Figure 7.2: HALAH guardian subsystem – Guardian Cryptographic Approval" title="" id="142" name="Picture"/>
            <a:graphic>
              <a:graphicData uri="http://schemas.openxmlformats.org/drawingml/2006/picture">
                <pic:pic>
                  <pic:nvPicPr>
                    <pic:cNvPr descr="halah_media/media/image2.png" id="143" name="Picture"/>
                    <pic:cNvPicPr>
                      <a:picLocks noChangeArrowheads="1" noChangeAspect="1"/>
                    </pic:cNvPicPr>
                  </pic:nvPicPr>
                  <pic:blipFill>
                    <a:blip r:embed="rId141"/>
                    <a:stretch>
                      <a:fillRect/>
                    </a:stretch>
                  </pic:blipFill>
                  <pic:spPr bwMode="auto">
                    <a:xfrm>
                      <a:off x="0" y="0"/>
                      <a:ext cx="5465445" cy="2225799"/>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44"/>
    <w:bookmarkStart w:id="151"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5465445" cy="3388081"/>
            <wp:effectExtent b="0" l="0" r="0" t="0"/>
            <wp:docPr descr="Figure 7.3: HALAH doctor subsystem – consent information, state and authorised data scope" title="" id="146" name="Picture"/>
            <a:graphic>
              <a:graphicData uri="http://schemas.openxmlformats.org/drawingml/2006/picture">
                <pic:pic>
                  <pic:nvPicPr>
                    <pic:cNvPr descr="halah_media/media/image3.png" id="147" name="Picture"/>
                    <pic:cNvPicPr>
                      <a:picLocks noChangeArrowheads="1" noChangeAspect="1"/>
                    </pic:cNvPicPr>
                  </pic:nvPicPr>
                  <pic:blipFill>
                    <a:blip r:embed="rId145"/>
                    <a:stretch>
                      <a:fillRect/>
                    </a:stretch>
                  </pic:blipFill>
                  <pic:spPr bwMode="auto">
                    <a:xfrm>
                      <a:off x="0" y="0"/>
                      <a:ext cx="5465445" cy="3388081"/>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p>
    <w:p>
      <w:pPr>
        <w:pStyle w:val="BodyText"/>
      </w:pPr>
      <w:r>
        <w:t xml:space="preserve">The message shows Cryptographic Verification Successful — Access Granted.</w:t>
      </w:r>
    </w:p>
    <w:p>
      <w:pPr>
        <w:pStyle w:val="BodyText"/>
      </w:pPr>
      <w:r>
        <w:t xml:space="preserve">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65445" cy="3048937"/>
            <wp:effectExtent b="0" l="0" r="0" t="0"/>
            <wp:docPr descr="Figure 7.4: HALAH doctor subsystem – requested modules, access decision and authorised medical records" title="" id="149" name="Picture"/>
            <a:graphic>
              <a:graphicData uri="http://schemas.openxmlformats.org/drawingml/2006/picture">
                <pic:pic>
                  <pic:nvPicPr>
                    <pic:cNvPr descr="halah_media/media/image4.png" id="150" name="Picture"/>
                    <pic:cNvPicPr>
                      <a:picLocks noChangeArrowheads="1" noChangeAspect="1"/>
                    </pic:cNvPicPr>
                  </pic:nvPicPr>
                  <pic:blipFill>
                    <a:blip r:embed="rId148"/>
                    <a:stretch>
                      <a:fillRect/>
                    </a:stretch>
                  </pic:blipFill>
                  <pic:spPr bwMode="auto">
                    <a:xfrm>
                      <a:off x="0" y="0"/>
                      <a:ext cx="5465445" cy="3048937"/>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 it goes the flow 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1"/>
    <w:bookmarkStart w:id="155"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65445" cy="2905354"/>
            <wp:effectExtent b="0" l="0" r="0" t="0"/>
            <wp:docPr descr="Figure 7.5: HALAH auditor subsystem – Blockchain Audit &amp; Consent Lifecycle" title="" id="153" name="Picture"/>
            <a:graphic>
              <a:graphicData uri="http://schemas.openxmlformats.org/drawingml/2006/picture">
                <pic:pic>
                  <pic:nvPicPr>
                    <pic:cNvPr descr="halah_media/media/image5.png" id="154" name="Picture"/>
                    <pic:cNvPicPr>
                      <a:picLocks noChangeArrowheads="1" noChangeAspect="1"/>
                    </pic:cNvPicPr>
                  </pic:nvPicPr>
                  <pic:blipFill>
                    <a:blip r:embed="rId152"/>
                    <a:stretch>
                      <a:fillRect/>
                    </a:stretch>
                  </pic:blipFill>
                  <pic:spPr bwMode="auto">
                    <a:xfrm>
                      <a:off x="0" y="0"/>
                      <a:ext cx="5465445" cy="2905354"/>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displayed records include:</w:t>
      </w:r>
      <w:r>
        <w:t xml:space="preserve"> </w:t>
      </w:r>
      <m:oMath>
        <m:r>
          <m:t>C</m:t>
        </m:r>
        <m:r>
          <m:t>R</m:t>
        </m:r>
        <m:r>
          <m:t>E</m:t>
        </m:r>
        <m:r>
          <m:t>A</m:t>
        </m:r>
        <m:r>
          <m:t>T</m:t>
        </m:r>
        <m:r>
          <m:t>E</m:t>
        </m:r>
        <m:r>
          <m:rPr>
            <m:nor/>
          </m:rPr>
          <m:t>_</m:t>
        </m:r>
        <m:r>
          <m:t>C</m:t>
        </m:r>
        <m:r>
          <m:t>O</m:t>
        </m:r>
        <m:r>
          <m:t>N</m:t>
        </m:r>
        <m:r>
          <m:t>S</m:t>
        </m:r>
        <m:r>
          <m:t>E</m:t>
        </m:r>
        <m:r>
          <m:t>N</m:t>
        </m:r>
        <m:r>
          <m:t>T</m:t>
        </m:r>
      </m:oMath>
    </w:p>
    <w:p>
      <w:pPr>
        <w:pStyle w:val="BodyText"/>
      </w:pPr>
      <w:r>
        <w:t xml:space="preserve">performed by the patient, followed by:</w:t>
      </w:r>
      <w:r>
        <w:t xml:space="preserve"> </w:t>
      </w:r>
      <m:oMath>
        <m:r>
          <m:t>S</m:t>
        </m:r>
        <m:r>
          <m:t>I</m:t>
        </m:r>
        <m:r>
          <m:t>G</m:t>
        </m:r>
        <m:r>
          <m:t>N</m:t>
        </m:r>
        <m:r>
          <m:rPr>
            <m:nor/>
          </m:rPr>
          <m:t>_</m:t>
        </m:r>
        <m:r>
          <m:t>C</m:t>
        </m:r>
        <m:r>
          <m:t>O</m:t>
        </m:r>
        <m:r>
          <m:t>N</m:t>
        </m:r>
        <m:r>
          <m:t>S</m:t>
        </m:r>
        <m:r>
          <m:t>E</m:t>
        </m:r>
        <m:r>
          <m:t>N</m:t>
        </m:r>
        <m:r>
          <m:t>T</m:t>
        </m:r>
      </m:oMath>
    </w:p>
    <w:p>
      <w:pPr>
        <w:pStyle w:val="BodyText"/>
      </w:pPr>
      <w:r>
        <w:t xml:space="preserve">performed by the guardians, followed by:</w:t>
      </w:r>
      <w:r>
        <w:t xml:space="preserve"> </w:t>
      </w:r>
      <m:oMath>
        <m:r>
          <m:t>M</m:t>
        </m:r>
        <m:r>
          <m:t>I</m:t>
        </m:r>
        <m:r>
          <m:t>N</m:t>
        </m:r>
        <m:r>
          <m:t>T</m:t>
        </m:r>
        <m:r>
          <m:rPr>
            <m:nor/>
          </m:rPr>
          <m:t>_</m:t>
        </m:r>
        <m:r>
          <m:t>S</m:t>
        </m:r>
        <m:r>
          <m:t>B</m:t>
        </m:r>
        <m:r>
          <m:t>T</m:t>
        </m:r>
      </m:oMath>
    </w:p>
    <w:p>
      <w:pPr>
        <w:pStyle w:val="BodyText"/>
      </w:pPr>
      <w:r>
        <w:t xml:space="preserve">performed by the smart contract.</w:t>
      </w:r>
    </w:p>
    <w:p>
      <w:pPr>
        <w:pStyle w:val="BodyText"/>
      </w:pPr>
      <w:r>
        <w:t xml:space="preserve">The subsequent system events:</w:t>
      </w:r>
      <w:r>
        <w:t xml:space="preserve"> </w:t>
      </w:r>
      <m:oMath>
        <m:r>
          <m:t>S</m:t>
        </m:r>
        <m:r>
          <m:t>T</m:t>
        </m:r>
        <m:r>
          <m:t>A</m:t>
        </m:r>
        <m:r>
          <m:t>T</m:t>
        </m:r>
        <m:r>
          <m:t>E</m:t>
        </m:r>
        <m:r>
          <m:rPr>
            <m:nor/>
          </m:rPr>
          <m:t>_</m:t>
        </m:r>
        <m:r>
          <m:t>C</m:t>
        </m:r>
        <m:r>
          <m:t>H</m:t>
        </m:r>
        <m:r>
          <m:t>E</m:t>
        </m:r>
        <m:r>
          <m:t>C</m:t>
        </m:r>
        <m:r>
          <m:t>K</m:t>
        </m:r>
      </m:oMath>
    </w:p>
    <w:p>
      <w:pPr>
        <w:pStyle w:val="BodyText"/>
      </w:pPr>
      <w:r>
        <w:t xml:space="preserve">demonstrate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p>
    <w:p>
      <w:pPr>
        <w:pStyle w:val="BodyText"/>
      </w:pPr>
      <w:r>
        <w:t xml:space="preserve">with the result:</w:t>
      </w:r>
      <w:r>
        <w:t xml:space="preserve"> </w:t>
      </w:r>
      <m:oMath>
        <m:r>
          <m:t>G</m:t>
        </m:r>
        <m:r>
          <m:t>R</m:t>
        </m:r>
        <m:r>
          <m:t>A</m:t>
        </m:r>
        <m:r>
          <m:t>N</m:t>
        </m:r>
        <m:r>
          <m:t>T</m:t>
        </m:r>
        <m:r>
          <m:t>E</m:t>
        </m:r>
        <m:r>
          <m:t>D</m:t>
        </m:r>
      </m:oMath>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55"/>
    <w:bookmarkStart w:id="156"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p>
      <w:pPr>
        <w:pStyle w:val="BodyText"/>
      </w:pPr>
      <w:r>
        <w:rPr>
          <w:b/>
          <w:bCs/>
        </w:rPr>
        <w:t xml:space="preserve">CA 3 Discussion</w:t>
      </w:r>
    </w:p>
    <w:bookmarkEnd w:id="156"/>
    <w:bookmarkStart w:id="157"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7"/>
    <w:bookmarkStart w:id="158"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58"/>
    <w:bookmarkStart w:id="159"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59"/>
    <w:bookmarkStart w:id="163"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t xml:space="preserve">DID check; EIP-712 approval signing and verification (Algorithm 2,</w:t>
            </w:r>
            <w:r>
              <w:t xml:space="preserve"> </w:t>
            </w:r>
            <m:oMath>
              <m:sSub>
                <m:e>
                  <m:r>
                    <m:t>V</m:t>
                  </m:r>
                </m:e>
                <m:sub>
                  <m:r>
                    <m:t>I</m:t>
                  </m:r>
                </m:sub>
              </m:sSub>
            </m:oMath>
            <w:r>
              <w:t xml:space="preserve">)</w:t>
            </w:r>
          </w:p>
        </w:tc>
      </w:tr>
      <w:tr>
        <w:trPr>
          <w:cantSplit/>
        </w:trPr>
        <w:tc>
          <w:tcPr/>
          <w:p>
            <w:pPr>
              <w:pStyle w:val="Compact"/>
              <w:jc w:val="left"/>
            </w:pPr>
            <w:r>
              <w:t xml:space="preserve">Controller</w:t>
            </w:r>
          </w:p>
        </w:tc>
        <w:tc>
          <w:tcPr/>
          <w:p>
            <w:pPr>
              <w:pStyle w:val="Compact"/>
              <w:jc w:val="left"/>
            </w:pPr>
            <w:r>
              <w:t xml:space="preserve">services/state_service.py</w:t>
            </w:r>
          </w:p>
        </w:tc>
        <w:tc>
          <w:tcPr/>
          <w:p>
            <w:pPr>
              <w:pStyle w:val="Compact"/>
              <w:jc w:val="left"/>
            </w:pPr>
            <w:r>
              <w:t xml:space="preserve">Consent state: PENDING_SIGNATURE, PENDING_TOKEN, NOT_STARTED, EXPIRED, REVOKED, ACTIVE (</w:t>
            </w:r>
            <m:oMath>
              <m:sSub>
                <m:e>
                  <m:r>
                    <m:t>V</m:t>
                  </m:r>
                </m:e>
                <m:sub>
                  <m:r>
                    <m:t>A</m:t>
                  </m:r>
                </m:sub>
              </m:sSub>
            </m:oMath>
            <w:r>
              <w:t xml:space="preserve">,</w:t>
            </w:r>
            <w:r>
              <w:t xml:space="preserve"> </w:t>
            </w:r>
            <m:oMath>
              <m:sSub>
                <m:e>
                  <m:r>
                    <m:t>V</m:t>
                  </m:r>
                </m:e>
                <m:sub>
                  <m:r>
                    <m:t>T</m:t>
                  </m:r>
                </m:sub>
              </m:sSub>
            </m:oMath>
            <w: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[38],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p>
        </w:tc>
        <w:tc>
          <w:tcPr/>
          <w:p>
            <w:pPr>
              <w:pStyle w:val="Compact"/>
              <w:jc w:val="left"/>
            </w:pPr>
            <w:r>
              <w:t xml:space="preserve">Soulbound consent token; on-chain validity; ERC-5484 burn [40]</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3922776" cy="7689606"/>
            <wp:effectExtent b="0" l="0" r="0" t="0"/>
            <wp:docPr descr="Figure 7.6: HALAH prototype workflow from consent creation to audited access decision" title="" id="161" name="Picture"/>
            <a:graphic>
              <a:graphicData uri="http://schemas.openxmlformats.org/drawingml/2006/picture">
                <pic:pic>
                  <pic:nvPicPr>
                    <pic:cNvPr descr="media_col/fig_halah.png" id="162" name="Picture"/>
                    <pic:cNvPicPr>
                      <a:picLocks noChangeArrowheads="1" noChangeAspect="1"/>
                    </pic:cNvPicPr>
                  </pic:nvPicPr>
                  <pic:blipFill>
                    <a:blip r:embed="rId160"/>
                    <a:stretch>
                      <a:fillRect/>
                    </a:stretch>
                  </pic:blipFill>
                  <pic:spPr bwMode="auto">
                    <a:xfrm>
                      <a:off x="0" y="0"/>
                      <a:ext cx="3922776" cy="7689606"/>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3"/>
    <w:bookmarkStart w:id="164"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64"/>
    <w:bookmarkStart w:id="165" w:name="on-chain-evidence"/>
    <w:p>
      <w:pPr>
        <w:pStyle w:val="Heading2"/>
      </w:pPr>
      <w:r>
        <w:t xml:space="preserve">7.12 On-Chain Evidence</w:t>
      </w:r>
    </w:p>
    <w:p>
      <w:pPr>
        <w:pStyle w:val="FirstParagraph"/>
      </w:pPr>
      <w:r>
        <w:t xml:space="preserve">Table 7.4 lists the consent tokens anchored on the Ethereum Sepolia testnet (chain ID 11155111) by the ConsentSBTv2 contract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65"/>
    <w:bookmarkStart w:id="166"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[38]),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66"/>
    <w:bookmarkEnd w:id="167"/>
    <w:bookmarkStart w:id="174" w:name="current-progress-status"/>
    <w:p>
      <w:pPr>
        <w:pStyle w:val="Heading1"/>
      </w:pPr>
      <w:r>
        <w:t xml:space="preserve">8 Current Progress Status</w:t>
      </w:r>
    </w:p>
    <w:bookmarkStart w:id="168"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provides a conceptual basis for dynamic access decisions and allows subsequent authorisation conditions to be evaluated consistently.</w:t>
      </w:r>
    </w:p>
    <w:bookmarkEnd w:id="168"/>
    <w:bookmarkStart w:id="169"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69"/>
    <w:bookmarkStart w:id="170"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0"/>
    <w:bookmarkStart w:id="171"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1"/>
    <w:bookmarkStart w:id="172"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72"/>
    <w:bookmarkStart w:id="173"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73"/>
    <w:bookmarkEnd w:id="174"/>
    <w:bookmarkStart w:id="175"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41"/>
        <w:gridCol w:w="2163"/>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rPr>
                <w:rStyle w:val="PinkDelete"/>
              </w:rPr>
              <w:t xml:space="preserve">[name the target journal]</w:t>
            </w:r>
            <w:r>
              <w:rPr>
                <w:rStyle w:val="PinkFix"/>
              </w:rPr>
              <w:t xml:space="preserve">Computers &amp; Security (Elsevier)</w:t>
            </w:r>
          </w:p>
        </w:tc>
        <w:tc>
          <w:tcPr/>
          <w:p>
            <w:pPr>
              <w:pStyle w:val="Compact"/>
              <w:jc w:val="left"/>
            </w:pPr>
            <w:r>
              <w:t xml:space="preserve">Draft complete;</w:t>
            </w:r>
            <w:r>
              <w:t xml:space="preserve"> </w:t>
            </w:r>
            <w:r>
              <w:rPr>
                <w:rStyle w:val="PinkDelete"/>
              </w:rPr>
              <w:t xml:space="preserve">submission planned [month] 2026</w:t>
            </w:r>
            <w:r>
              <w:rPr>
                <w:rStyle w:val="PinkFix"/>
              </w:rPr>
              <w:t xml:space="preserve">submission planned November 2026</w:t>
            </w:r>
          </w:p>
        </w:tc>
        <w:tc>
          <w:tcPr/>
          <w:p>
            <w:pPr>
              <w:pStyle w:val="Compact"/>
              <w:jc w:val="left"/>
            </w:pPr>
            <w:r>
              <w:t xml:space="preserve">Core architectural contribution; addresses SRQ1-RQ4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75"/>
    <w:bookmarkStart w:id="178" w:name="research-plan"/>
    <w:p>
      <w:pPr>
        <w:pStyle w:val="Heading1"/>
      </w:pPr>
      <w:r>
        <w:t xml:space="preserve">10 Research Plan</w:t>
      </w:r>
    </w:p>
    <w:p>
      <w:pPr>
        <w:pStyle w:val="FirstParagraph"/>
      </w:pPr>
      <w:r>
        <w:t xml:space="preserve">The research plan is divided into two major stages corresponding to current and next stage.</w:t>
      </w:r>
    </w:p>
    <w:bookmarkStart w:id="176"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76"/>
    <w:bookmarkStart w:id="177"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next stage 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7"/>
    <w:bookmarkEnd w:id="178"/>
    <w:bookmarkStart w:id="179" w:name="references"/>
    <w:p>
      <w:pPr>
        <w:pStyle w:val="Heading1"/>
      </w:pPr>
      <w:r>
        <w:t xml:space="preserve">References</w:t>
      </w:r>
    </w:p>
    <w:p>
      <w:pPr>
        <w:pStyle w:val="ReviewerNotePara"/>
      </w:pPr>
      <w:r>
        <w:rPr>
          <w:rStyle w:val="ReviewerNote"/>
        </w:rPr>
        <w:t xml:space="preserve">Reference [8] removed: outside the review scope (human-rights archival case study). It is no longer cited anywhere in the report; renumber the list when the report is recompiled.</w:t>
      </w:r>
    </w:p>
    <w:p>
      <w:pPr>
        <w:pStyle w:val="ReviewerNotePara"/>
      </w:pPr>
      <w:r>
        <w:rPr>
          <w:rStyle w:val="ReviewerNote"/>
        </w:rPr>
        <w:t xml:space="preserve">Reference [17] removed: outside the review scope (smart agriculture). It is no longer cited anywhere in the report; renumber the list when the report is recompiled.</w:t>
      </w:r>
    </w:p>
    <w:p>
      <w:pPr>
        <w:pStyle w:val="ReviewerNotePara"/>
      </w:pPr>
      <w:r>
        <w:rPr>
          <w:rStyle w:val="ReviewerNote"/>
        </w:rPr>
        <w:t xml:space="preserve">Reference [18] removed: outside the review scope (information theory of ledgers). It is no longer cited anywhere in the report; renumber the list when the report is recompiled.</w:t>
      </w:r>
    </w:p>
    <w:p>
      <w:pPr>
        <w:pStyle w:val="ReviewerNotePara"/>
      </w:pPr>
      <w:r>
        <w:rPr>
          <w:rStyle w:val="ReviewerNote"/>
        </w:rPr>
        <w:t xml:space="preserve">Reference [21] removed: could not be verified in any bibliographic database. It is no longer cited anywhere in the report; renumber the list when the report is recompiled.</w:t>
      </w:r>
    </w:p>
    <w:p>
      <w:pPr>
        <w:pStyle w:val="ReviewerNotePara"/>
      </w:pPr>
      <w:r>
        <w:rPr>
          <w:rStyle w:val="ReviewerNote"/>
        </w:rPr>
        <w:t xml:space="preserve">Reference [30] removed: outside the review scope (smart cities). It is no longer cited anywhere in the report; renumber the list when the report is recompiled.</w:t>
      </w:r>
    </w:p>
    <w:p>
      <w:pPr>
        <w:pStyle w:val="BodyText"/>
      </w:pPr>
      <w:r>
        <w:t xml:space="preserve">[1]</w:t>
      </w:r>
      <w:r>
        <w:t xml:space="preserve"> </w:t>
      </w:r>
      <w:r>
        <w:rPr>
          <w:rStyle w:val="PinkDelete"/>
        </w:rPr>
        <w:t xml:space="preserve">Abdul Ghafoor, Iraklis Symeonidis,</w:t>
      </w:r>
      <w:r>
        <w:rPr>
          <w:rStyle w:val="PinkFix"/>
        </w:rPr>
        <w:t xml:space="preserve">Abdul Ghafoor Abbasi, Iraklis Symeonidis,</w:t>
      </w:r>
      <w:r>
        <w:t xml:space="preserve"> </w:t>
      </w:r>
      <w:r>
        <w:t xml:space="preserve">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[2]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[3]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[4]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w:t>
      </w:r>
      <w:r>
        <w:t xml:space="preserve"> </w:t>
      </w:r>
      <w:r>
        <w:rPr>
          <w:rStyle w:val="PinkDelete"/>
        </w:rPr>
        <w:t xml:space="preserve">2022</w:t>
      </w:r>
      <w:r>
        <w:rPr>
          <w:rStyle w:val="PinkFix"/>
        </w:rPr>
        <w:t xml:space="preserve">2023</w:t>
      </w:r>
      <w:r>
        <w:t xml:space="preserve">.</w:t>
      </w:r>
    </w:p>
    <w:p>
      <w:pPr>
        <w:pStyle w:val="BodyText"/>
      </w:pPr>
      <w:r>
        <w:t xml:space="preserve">[5]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[6]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r>
        <w:t xml:space="preserve"> </w:t>
      </w:r>
      <w:r>
        <w:rPr>
          <w:rStyle w:val="PinkFix"/>
        </w:rPr>
        <w:t xml:space="preserve">Corrigendum: vol. 98, 104383, 2026.</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PinkDeletePara"/>
      </w:pPr>
      <w:r>
        <w:rPr>
          <w:rStyle w:val="PinkDelete"/>
        </w:rPr>
        <w:t xml:space="preserve">[8] Remy Hellstern, Daniel C Park, Victoria Lemieux, and Guldana Salimjan. Leveraging blockchain-based archival solutions for sensitive documentation: A Xinjiang case study.</w:t>
      </w:r>
      <w:r>
        <w:rPr>
          <w:rStyle w:val="PinkDelete"/>
        </w:rPr>
        <w:t xml:space="preserve"> </w:t>
      </w:r>
      <w:r>
        <w:rPr>
          <w:rStyle w:val="PinkDelete"/>
          <w:i/>
          <w:iCs/>
        </w:rPr>
        <w:t xml:space="preserve">Digital Society</w:t>
      </w:r>
      <w:r>
        <w:rPr>
          <w:rStyle w:val="PinkDelete"/>
        </w:rPr>
        <w:t xml:space="preserve">, 1(1):4, 2022.</w:t>
      </w:r>
    </w:p>
    <w:p>
      <w:pPr>
        <w:pStyle w:val="BodyText"/>
      </w:pPr>
      <w:r>
        <w:t xml:space="preserve">[8]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[9]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[10]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[11]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[12]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[13]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[14]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[15]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[16]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PinkDeletePara"/>
      </w:pPr>
      <w:r>
        <w:rPr>
          <w:rStyle w:val="PinkDelete"/>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w:t>
      </w:r>
      <w:r>
        <w:rPr>
          <w:rStyle w:val="PinkDelete"/>
        </w:rPr>
        <w:t xml:space="preserve"> </w:t>
      </w:r>
      <w:r>
        <w:rPr>
          <w:rStyle w:val="PinkDelete"/>
          <w:i/>
          <w:iCs/>
        </w:rPr>
        <w:t xml:space="preserve">Sensors</w:t>
      </w:r>
      <w:r>
        <w:rPr>
          <w:rStyle w:val="PinkDelete"/>
        </w:rPr>
        <w:t xml:space="preserve">, 26(14):4577, 2026.</w:t>
      </w:r>
    </w:p>
    <w:p>
      <w:pPr>
        <w:pStyle w:val="BodyText"/>
      </w:pPr>
      <w:r>
        <w:t xml:space="preserve">[17]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w:t>
      </w:r>
      <w:r>
        <w:t xml:space="preserve"> </w:t>
      </w:r>
      <w:r>
        <w:rPr>
          <w:rStyle w:val="PinkFix"/>
        </w:rPr>
        <w:t xml:space="preserve">27(6):3641–3671,</w:t>
      </w:r>
      <w:r>
        <w:t xml:space="preserve">2025.</w:t>
      </w:r>
    </w:p>
    <w:p>
      <w:pPr>
        <w:pStyle w:val="PinkDeletePara"/>
      </w:pPr>
      <w:r>
        <w:rPr>
          <w:rStyle w:val="PinkDelete"/>
        </w:rPr>
        <w:t xml:space="preserve">[18] Lanlan Li, Charles Z Liu, and Sanjeeb Shrestha. Analytical entropy approach for mea-suring blockchain immutability and tamper-resilient trust.</w:t>
      </w:r>
      <w:r>
        <w:rPr>
          <w:rStyle w:val="PinkDelete"/>
        </w:rPr>
        <w:t xml:space="preserve"> </w:t>
      </w:r>
      <w:r>
        <w:rPr>
          <w:rStyle w:val="PinkDelete"/>
          <w:i/>
          <w:iCs/>
        </w:rPr>
        <w:t xml:space="preserve">Entropy</w:t>
      </w:r>
      <w:r>
        <w:rPr>
          <w:rStyle w:val="PinkDelete"/>
        </w:rPr>
        <w:t xml:space="preserve">, 28(6):690, 2026.</w:t>
      </w:r>
    </w:p>
    <w:p>
      <w:pPr>
        <w:pStyle w:val="BodyText"/>
      </w:pPr>
      <w:r>
        <w:t xml:space="preserve">[18]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[19]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[20]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PinkDeletePara"/>
      </w:pPr>
      <w:r>
        <w:rPr>
          <w:rStyle w:val="PinkDelete"/>
        </w:rPr>
        <w:t xml:space="preserve">[21] Andrei McCall. Privacy-preserving interoperability in healthcare data ecosystems: balancing data sharing with individual autonomy.</w:t>
      </w:r>
      <w:r>
        <w:rPr>
          <w:rStyle w:val="PinkDelete"/>
        </w:rPr>
        <w:t xml:space="preserve"> </w:t>
      </w:r>
      <w:r>
        <w:rPr>
          <w:rStyle w:val="PinkDelete"/>
          <w:i/>
          <w:iCs/>
        </w:rPr>
        <w:t xml:space="preserve">IEEE J. Biomed. Health Inform</w:t>
      </w:r>
      <w:r>
        <w:rPr>
          <w:rStyle w:val="PinkDelete"/>
        </w:rPr>
        <w:t xml:space="preserve">, 28(3):1234–1245, 2024.</w:t>
      </w:r>
    </w:p>
    <w:p>
      <w:pPr>
        <w:pStyle w:val="BodyText"/>
      </w:pPr>
      <w:r>
        <w:t xml:space="preserve">[21]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[22]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[23]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PinkFixPara"/>
      </w:pPr>
      <w:r>
        <w:rPr>
          <w:rStyle w:val="PinkFix"/>
        </w:rPr>
        <w:t xml:space="preserve">[24] Isabel Román, Jorge Calvillo-Arbizu, Vicente Mayor, Germán Madinabeitia-Luque, Antonio Estepa, and Rafael Estepa. Blockchain-based service-oriented architecture for consent management, access control, and auditing.</w:t>
      </w:r>
      <w:r>
        <w:rPr>
          <w:rStyle w:val="PinkFix"/>
        </w:rPr>
        <w:t xml:space="preserve"> </w:t>
      </w:r>
      <w:r>
        <w:rPr>
          <w:rStyle w:val="PinkFix"/>
          <w:i/>
          <w:iCs/>
        </w:rPr>
        <w:t xml:space="preserve">IEEE Access</w:t>
      </w:r>
      <w:r>
        <w:rPr>
          <w:rStyle w:val="PinkFix"/>
        </w:rPr>
        <w:t xml:space="preserve">, 11:12727–12741, 2023. doi:10.1109/ACCESS.2023.3242605.</w:t>
      </w:r>
    </w:p>
    <w:p>
      <w:pPr>
        <w:pStyle w:val="PinkFixPara"/>
      </w:pPr>
      <w:r>
        <w:rPr>
          <w:rStyle w:val="PinkFix"/>
        </w:rPr>
        <w:t xml:space="preserve">[25] Kheng-Leong Tan, Chi-Hung Chi, and Kwok-Yan Lam. Secure and privacy-preserving sharing of personal health records with multi-party pre-authorization verification.</w:t>
      </w:r>
      <w:r>
        <w:rPr>
          <w:rStyle w:val="PinkFix"/>
        </w:rPr>
        <w:t xml:space="preserve"> </w:t>
      </w:r>
      <w:r>
        <w:rPr>
          <w:rStyle w:val="PinkFix"/>
          <w:i/>
          <w:iCs/>
        </w:rPr>
        <w:t xml:space="preserve">Wireless Networks</w:t>
      </w:r>
      <w:r>
        <w:rPr>
          <w:rStyle w:val="PinkFix"/>
        </w:rPr>
        <w:t xml:space="preserve">, 30:4773–4795, 2024. doi:10.1007/s11276-022-03114-6.</w:t>
      </w:r>
    </w:p>
    <w:p>
      <w:pPr>
        <w:pStyle w:val="PinkFixPara"/>
      </w:pPr>
      <w:r>
        <w:rPr>
          <w:rStyle w:val="PinkFix"/>
        </w:rPr>
        <w:t xml:space="preserve">[26] Ahmed M Tawfik, Ayman Al-Ahwal, Adly S Tag Eldien, and Hala H Zayed. Blockchain-based access control and privacy preservation in healthcare: a comprehensive survey.</w:t>
      </w:r>
      <w:r>
        <w:rPr>
          <w:rStyle w:val="PinkFix"/>
        </w:rPr>
        <w:t xml:space="preserve"> </w:t>
      </w:r>
      <w:r>
        <w:rPr>
          <w:rStyle w:val="PinkFix"/>
          <w:i/>
          <w:iCs/>
        </w:rPr>
        <w:t xml:space="preserve">Cluster Computing</w:t>
      </w:r>
      <w:r>
        <w:rPr>
          <w:rStyle w:val="PinkFix"/>
        </w:rPr>
        <w:t xml:space="preserve">, 28(8):529, 2025.</w:t>
      </w:r>
    </w:p>
    <w:p>
      <w:pPr>
        <w:pStyle w:val="PinkFixPara"/>
      </w:pPr>
      <w:r>
        <w:rPr>
          <w:rStyle w:val="PinkFix"/>
        </w:rPr>
        <w:t xml:space="preserve">[27] Leonidas Theodorakopoulos, Alexandra Theodoropoulou, and Constantinos Halkiopou-los. Enhancing decentralized decision-making with big data and blockchain technology: A comprehensive review.</w:t>
      </w:r>
      <w:r>
        <w:rPr>
          <w:rStyle w:val="PinkFix"/>
        </w:rPr>
        <w:t xml:space="preserve"> </w:t>
      </w:r>
      <w:r>
        <w:rPr>
          <w:rStyle w:val="PinkFix"/>
          <w:i/>
          <w:iCs/>
        </w:rPr>
        <w:t xml:space="preserve">Applied Sciences</w:t>
      </w:r>
      <w:r>
        <w:rPr>
          <w:rStyle w:val="PinkFix"/>
        </w:rPr>
        <w:t xml:space="preserve">, 14(16):7007, 2024.</w:t>
      </w:r>
    </w:p>
    <w:p>
      <w:pPr>
        <w:pStyle w:val="PinkFixPara"/>
      </w:pPr>
      <w:r>
        <w:rPr>
          <w:rStyle w:val="PinkFix"/>
        </w:rPr>
        <w:t xml:space="preserve">[28] Faheem Ullah, Jingsha He, Nafei Zhu, Ahsan Wajahat, Ahsan Nazir, Sirajuddin Qureshi, Muhammad Salman Pathan, and Soumyabrata Dev. Blockchain-enabled EHR access auditing: Enhancing healthcare data security.</w:t>
      </w:r>
      <w:r>
        <w:rPr>
          <w:rStyle w:val="PinkFix"/>
        </w:rPr>
        <w:t xml:space="preserve"> </w:t>
      </w:r>
      <w:r>
        <w:rPr>
          <w:rStyle w:val="PinkFix"/>
          <w:i/>
          <w:iCs/>
        </w:rPr>
        <w:t xml:space="preserve">Heliyon</w:t>
      </w:r>
      <w:r>
        <w:rPr>
          <w:rStyle w:val="PinkFix"/>
        </w:rPr>
        <w:t xml:space="preserve">, 10(16):e34407, 2024. doi:10.1016/j.heliyon.2024.e34407.</w:t>
      </w:r>
    </w:p>
    <w:p>
      <w:pPr>
        <w:pStyle w:val="PinkFixPara"/>
      </w:pPr>
      <w:r>
        <w:rPr>
          <w:rStyle w:val="PinkFix"/>
        </w:rPr>
        <w:t xml:space="preserve">[29] Emily C Webber, David Brick, James P Scibilia, Peter Dehnel, Council on Clinical Information Technology, et al. Electronic communication of the health record and information with pediatric patients and their guardians.</w:t>
      </w:r>
      <w:r>
        <w:rPr>
          <w:rStyle w:val="PinkFix"/>
        </w:rPr>
        <w:t xml:space="preserve"> </w:t>
      </w:r>
      <w:r>
        <w:rPr>
          <w:rStyle w:val="PinkFix"/>
          <w:i/>
          <w:iCs/>
        </w:rPr>
        <w:t xml:space="preserve">Pediatrics</w:t>
      </w:r>
      <w:r>
        <w:rPr>
          <w:rStyle w:val="PinkFix"/>
        </w:rPr>
        <w:t xml:space="preserve">, 144(1):e20191359, 2019. doi:10.1542/peds.2019-1359.</w:t>
      </w:r>
    </w:p>
    <w:p>
      <w:pPr>
        <w:pStyle w:val="PinkDeletePara"/>
      </w:pPr>
      <w:r>
        <w:rPr>
          <w:rStyle w:val="PinkDelete"/>
        </w:rPr>
        <w:t xml:space="preserve">[30] Mohammad Nawab Turan, Irshad Ahmed Hashimzai, and Mohammad Qaseem Qiam. A blockchain-based framework for secure and transparent environmental data sharing in smart cities: Enhancing trust, integrity, and interoperability in urban sustainability systems.</w:t>
      </w:r>
      <w:r>
        <w:rPr>
          <w:rStyle w:val="PinkDelete"/>
        </w:rPr>
        <w:t xml:space="preserve"> </w:t>
      </w:r>
      <w:r>
        <w:rPr>
          <w:rStyle w:val="PinkDelete"/>
          <w:i/>
          <w:iCs/>
        </w:rPr>
        <w:t xml:space="preserve">Nata Palemahan: Journal of Environmental Engineering Innovations</w:t>
      </w:r>
      <w:r>
        <w:rPr>
          <w:rStyle w:val="PinkDelete"/>
        </w:rPr>
        <w:t xml:space="preserve">, 2(2):70–79, 2025.</w:t>
      </w:r>
    </w:p>
    <w:p>
      <w:pPr>
        <w:pStyle w:val="PinkFixPara"/>
      </w:pPr>
      <w:r>
        <w:rPr>
          <w:rStyle w:val="PinkFix"/>
        </w:rPr>
        <w:t xml:space="preserve">[30] Cindy Welzel, Max Ostermann, H. Jeff Smith, Timo Minssen, Toralf Kirsten, and Stephen Gilbert. Enabling secure and self determined health data sharing and consent management.</w:t>
      </w:r>
      <w:r>
        <w:rPr>
          <w:rStyle w:val="PinkFix"/>
        </w:rPr>
        <w:t xml:space="preserve"> </w:t>
      </w:r>
      <w:r>
        <w:rPr>
          <w:rStyle w:val="PinkFix"/>
          <w:i/>
          <w:iCs/>
        </w:rPr>
        <w:t xml:space="preserve">npj Digital Medicine</w:t>
      </w:r>
      <w:r>
        <w:rPr>
          <w:rStyle w:val="PinkFix"/>
        </w:rPr>
        <w:t xml:space="preserve">, 8:560, 2025. doi:10.1038/s41746-025-01945-z.</w:t>
      </w:r>
    </w:p>
    <w:p>
      <w:pPr>
        <w:pStyle w:val="PinkFixPara"/>
      </w:pPr>
      <w:r>
        <w:rPr>
          <w:rStyle w:val="PinkFix"/>
        </w:rPr>
        <w:t xml:space="preserve">[31] Nadeem Yaqub, Jianbiao Zhang, Muhammad Irfan Khalid, Weiru Wang, Markus Helfert, Mansoor Ahmed, and Jungsuk Kim. Blockchain enabled policy-based access control mechanism to restrict unauthorized access to electronic health records.</w:t>
      </w:r>
      <w:r>
        <w:rPr>
          <w:rStyle w:val="PinkFix"/>
        </w:rPr>
        <w:t xml:space="preserve"> </w:t>
      </w:r>
      <w:r>
        <w:rPr>
          <w:rStyle w:val="PinkFix"/>
          <w:i/>
          <w:iCs/>
        </w:rPr>
        <w:t xml:space="preserve">PeerJ Computer Science</w:t>
      </w:r>
      <w:r>
        <w:rPr>
          <w:rStyle w:val="PinkFix"/>
        </w:rPr>
        <w:t xml:space="preserve">, 11:e2647, 2025. doi:10.7717/peerj-cs.2647.</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[34]</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[35]</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[36]</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[37]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[38]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[39] Remco Bloemen, Leonid Logvinov, and Jacob Evans. EIP-712: Typed structured data hashing and signing. Ethereum Improvement Proposals, 2017. https://eips.ethereum.org/EIPS/eip-712.</w:t>
      </w:r>
    </w:p>
    <w:p>
      <w:pPr>
        <w:pStyle w:val="BodyText"/>
      </w:pPr>
      <w:r>
        <w:t xml:space="preserve">[40] ERC-5484: Consensual Soulbound Tokens. Ethereum Improvement Proposals, 2022. https://eips.ethereum.org/EIPS/eip-5484.</w:t>
      </w:r>
    </w:p>
    <w:p>
      <w:pPr>
        <w:pStyle w:val="BodyText"/>
      </w:pPr>
      <w:r>
        <w:t xml:space="preserve">[41] W3C. Decentralized Identifiers (DIDs) v1.0. W3C Recommendation, 2022. https://www.w3.org/TR/did-core/.</w:t>
      </w:r>
    </w:p>
    <w:p>
      <w:pPr>
        <w:pStyle w:val="BodyText"/>
      </w:pPr>
      <w:r>
        <w:t xml:space="preserve">[42] W3C. Verifiable Credentials Data Model v2.0. W3C Recommendation, 2025. https://www.w3.org/TR/vc-data-model-2.0/.</w:t>
      </w:r>
    </w:p>
    <w:bookmarkEnd w:id="179"/>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2026-09-29T06:38:48Z</dcterms:created>
  <dcterms:modified xsi:type="dcterms:W3CDTF">2026-09-29T06:38:48Z</dcterms:modified>
</cp:coreProperties>
</file>

<file path=docProps/custom.xml><?xml version="1.0" encoding="utf-8"?>
<Properties xmlns="http://schemas.openxmlformats.org/officeDocument/2006/custom-properties" xmlns:vt="http://schemas.openxmlformats.org/officeDocument/2006/docPropsVTypes"/>
</file>