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Authorization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pageBreakBefore/>
        <w:spacing w:after="200"/>
      </w:pPr>
      <w:r>
        <w:rPr>
          <w:rFonts w:ascii="Cambria" w:cs="Cambria" w:eastAsia="Cambria" w:hAnsi="Cambria"/>
          <w:b/>
          <w:bCs/>
          <w:color w:val="C00000"/>
          <w:sz w:val="30"/>
          <w:szCs w:val="30"/>
        </w:rPr>
        <w:t xml:space="preserve">Pre-Submission Risk Review (generated — remove before submitting)</w:t>
      </w:r>
    </w:p>
    <w:p>
      <w:pPr>
        <w:spacing w:after="100" w:before="100"/>
      </w:pPr>
      <w:r>
        <w:rPr>
          <w:rFonts w:ascii="Cambria" w:cs="Cambria" w:eastAsia="Cambria" w:hAnsi="Cambria"/>
          <w:b/>
          <w:bCs/>
          <w:color w:val="C00000"/>
          <w:sz w:val="19"/>
          <w:szCs w:val="19"/>
        </w:rPr>
        <w:t xml:space="preserve">◆ [RED — يجب حله قبل التسليم] R1 (p. 6.8.12): re-verify every Sepolia Etherscan link (contract, mint tx, revoke tx, tokens) still resolves.</w:t>
      </w:r>
    </w:p>
    <w:p>
      <w:pPr>
        <w:spacing w:after="100" w:before="100"/>
      </w:pPr>
      <w:r>
        <w:rPr>
          <w:rFonts w:ascii="Cambria" w:cs="Cambria" w:eastAsia="Cambria" w:hAnsi="Cambria"/>
          <w:b/>
          <w:bCs/>
          <w:color w:val="C00000"/>
          <w:sz w:val="19"/>
          <w:szCs w:val="19"/>
        </w:rPr>
        <w:t xml:space="preserve">◆ [RED — يجب حله قبل التسليم] R2 (7.4, 7.5): RO4 Completed / RO5 Largely Completed upgrades the original staging - confirm with your supervisor and be ready to defend in the viva.</w:t>
      </w:r>
    </w:p>
    <w:p>
      <w:pPr>
        <w:spacing w:after="100" w:before="100"/>
      </w:pPr>
      <w:r>
        <w:rPr>
          <w:rFonts w:ascii="Cambria" w:cs="Cambria" w:eastAsia="Cambria" w:hAnsi="Cambria"/>
          <w:b/>
          <w:bCs/>
          <w:color w:val="C00000"/>
          <w:sz w:val="19"/>
          <w:szCs w:val="19"/>
        </w:rPr>
        <w:t xml:space="preserve">◆ [RED — يجب حله قبل التسليم] R3 (2.2.6): PRISMA numbers must match your real reference-manager export; fix prose AND Figure 2 together if they differ.</w:t>
      </w:r>
    </w:p>
    <w:p>
      <w:pPr>
        <w:spacing w:after="100" w:before="100"/>
      </w:pPr>
      <w:r>
        <w:rPr>
          <w:rFonts w:ascii="Cambria" w:cs="Cambria" w:eastAsia="Cambria" w:hAnsi="Cambria"/>
          <w:b/>
          <w:bCs/>
          <w:color w:val="C00000"/>
          <w:sz w:val="19"/>
          <w:szCs w:val="19"/>
        </w:rPr>
        <w:t xml:space="preserve">◆ [RED — يجب حله قبل التسليم] R4 (2.2.7): the quality-assessment procedure described must be one you actually performed.</w:t>
      </w:r>
    </w:p>
    <w:p>
      <w:pPr>
        <w:spacing w:after="100" w:before="100"/>
      </w:pPr>
      <w:r>
        <w:rPr>
          <w:rFonts w:ascii="Cambria" w:cs="Cambria" w:eastAsia="Cambria" w:hAnsi="Cambria"/>
          <w:b/>
          <w:bCs/>
          <w:color w:val="C00000"/>
          <w:sz w:val="19"/>
          <w:szCs w:val="19"/>
        </w:rPr>
        <w:t xml:space="preserve">◆ [RED — يجب حله قبل التسليم] R5 (2.2.4): the search claim (databases, dates) must be reproducible; keep the search logs.</w:t>
      </w:r>
    </w:p>
    <w:p>
      <w:pPr>
        <w:spacing w:after="100" w:before="100"/>
      </w:pPr>
      <w:r>
        <w:rPr>
          <w:rFonts w:ascii="Cambria" w:cs="Cambria" w:eastAsia="Cambria" w:hAnsi="Cambria"/>
          <w:b/>
          <w:bCs/>
          <w:color w:val="C00000"/>
          <w:sz w:val="19"/>
          <w:szCs w:val="19"/>
        </w:rPr>
        <w:t xml:space="preserve">◆ [RED — يجب حله قبل التسليم] R7 (References [21]): read Welzel et al. 2025 and confirm it supports its three citation sites.</w:t>
      </w:r>
    </w:p>
    <w:p>
      <w:pPr>
        <w:spacing w:after="100" w:before="100"/>
      </w:pPr>
      <w:r>
        <w:rPr>
          <w:rFonts w:ascii="Cambria" w:cs="Cambria" w:eastAsia="Cambria" w:hAnsi="Cambria"/>
          <w:b/>
          <w:bCs/>
          <w:color w:val="000000"/>
          <w:sz w:val="19"/>
          <w:szCs w:val="19"/>
          <w:highlight w:val="yellow"/>
        </w:rPr>
        <w:t xml:space="preserve">◆ [YELLOW — متوسط] Y1 (cover): the title says Authorization (American) while the whole body uses Authorisation - decide one; changing the registered title needs supervisor agreement.</w:t>
      </w:r>
    </w:p>
    <w:p>
      <w:pPr>
        <w:spacing w:after="100" w:before="100"/>
      </w:pPr>
      <w:r>
        <w:rPr>
          <w:rFonts w:ascii="Cambria" w:cs="Cambria" w:eastAsia="Cambria" w:hAnsi="Cambria"/>
          <w:b/>
          <w:bCs/>
          <w:color w:val="000000"/>
          <w:sz w:val="19"/>
          <w:szCs w:val="19"/>
          <w:highlight w:val="yellow"/>
        </w:rPr>
        <w:t xml:space="preserve">◆ [YELLOW — متوسط] Y2 (6.4.2): temporal/lifecycle procedure sits in 6.4 while Algorithm 5 is in 6.5.</w:t>
      </w:r>
    </w:p>
    <w:p>
      <w:pPr>
        <w:spacing w:after="100" w:before="100"/>
      </w:pPr>
      <w:r>
        <w:rPr>
          <w:rFonts w:ascii="Cambria" w:cs="Cambria" w:eastAsia="Cambria" w:hAnsi="Cambria"/>
          <w:b/>
          <w:bCs/>
          <w:color w:val="000000"/>
          <w:sz w:val="19"/>
          <w:szCs w:val="19"/>
          <w:highlight w:val="yellow"/>
        </w:rPr>
        <w:t xml:space="preserve">◆ [YELLOW — متوسط] Y3 (6.4.2): composite Vᴸ(C, t, q) clashes with the jurisdiction definition of Vᴸ used elsewhere.</w:t>
      </w:r>
    </w:p>
    <w:p>
      <w:pPr>
        <w:spacing w:after="100" w:before="100"/>
      </w:pPr>
      <w:r>
        <w:rPr>
          <w:rFonts w:ascii="Cambria" w:cs="Cambria" w:eastAsia="Cambria" w:hAnsi="Cambria"/>
          <w:b/>
          <w:bCs/>
          <w:color w:val="000000"/>
          <w:sz w:val="19"/>
          <w:szCs w:val="19"/>
          <w:highlight w:val="yellow"/>
        </w:rPr>
        <w:t xml:space="preserve">◆ [YELLOW — متوسط] Y4 (7.6): status qualifier (RQ1-RQ3) vs narrative claiming empirical coverage of all six dimensions.</w:t>
      </w:r>
    </w:p>
    <w:p>
      <w:pPr>
        <w:spacing w:after="100" w:before="100"/>
      </w:pPr>
      <w:r>
        <w:rPr>
          <w:rFonts w:ascii="Cambria" w:cs="Cambria" w:eastAsia="Cambria" w:hAnsi="Cambria"/>
          <w:b/>
          <w:bCs/>
          <w:color w:val="000000"/>
          <w:sz w:val="19"/>
          <w:szCs w:val="19"/>
          <w:highlight w:val="yellow"/>
        </w:rPr>
        <w:t xml:space="preserve">◆ [YELLOW — متوسط] Y5 (6.5 / 6.8.6): the lifecycle diagram appears twice.</w:t>
      </w:r>
    </w:p>
    <w:p>
      <w:pPr>
        <w:spacing w:after="100" w:before="100"/>
      </w:pPr>
      <w:r>
        <w:rPr>
          <w:rFonts w:ascii="Cambria" w:cs="Cambria" w:eastAsia="Cambria" w:hAnsi="Cambria"/>
          <w:b/>
          <w:bCs/>
          <w:color w:val="000000"/>
          <w:sz w:val="19"/>
          <w:szCs w:val="19"/>
          <w:highlight w:val="yellow"/>
        </w:rPr>
        <w:t xml:space="preserve">◆ [YELLOW — متوسط] Y6 (figures): letter-numbered items (Figures 2a/2b/2c, Figure A, Tables A/B) sit outside the numeric sequences; acceptable, but an examiner may ask - offer to renumber.</w:t>
      </w:r>
    </w:p>
    <w:p>
      <w:pPr>
        <w:spacing w:after="100" w:before="100"/>
      </w:pPr>
      <w:r>
        <w:rPr>
          <w:rFonts w:ascii="Cambria" w:cs="Cambria" w:eastAsia="Cambria" w:hAnsi="Cambria"/>
          <w:b/>
          <w:bCs/>
          <w:color w:val="007A00"/>
          <w:sz w:val="19"/>
          <w:szCs w:val="19"/>
        </w:rPr>
        <w:t xml:space="preserve">◆ [GREEN — غير مهم] G1 (References): [21]/[34] alphabetical-order break - harmless in numeric style.</w:t>
      </w:r>
    </w:p>
    <w:p>
      <w:pPr>
        <w:spacing w:after="100" w:before="100"/>
      </w:pPr>
      <w:r>
        <w:rPr>
          <w:rFonts w:ascii="Cambria" w:cs="Cambria" w:eastAsia="Cambria" w:hAnsi="Cambria"/>
          <w:b/>
          <w:bCs/>
          <w:color w:val="007A00"/>
          <w:sz w:val="19"/>
          <w:szCs w:val="19"/>
        </w:rPr>
        <w:t xml:space="preserve">◆ [GREEN — غير مهم] G2 (companion file): the short report uses the label Done where this report uses Completed for RO1-RO3.</w:t>
      </w:r>
    </w:p>
    <w:p>
      <w:pPr>
        <w:spacing w:after="100" w:before="100"/>
      </w:pPr>
      <w:r>
        <w:rPr>
          <w:rFonts w:ascii="Cambria" w:cs="Cambria" w:eastAsia="Cambria" w:hAnsi="Cambria"/>
          <w:b/>
          <w:bCs/>
          <w:color w:val="007A00"/>
          <w:sz w:val="19"/>
          <w:szCs w:val="19"/>
        </w:rPr>
        <w:t xml:space="preserve">◆ [GREEN — غير مهم] G3 (algorithms): grey line numbers are the original design of your listings.</w:t>
      </w:r>
    </w:p>
    <w:p>
      <w:pPr>
        <w:spacing w:after="100" w:before="100"/>
      </w:pPr>
      <w:r>
        <w:rPr>
          <w:rFonts w:ascii="Cambria" w:cs="Cambria" w:eastAsia="Cambria" w:hAnsi="Cambria"/>
          <w:b/>
          <w:bCs/>
          <w:color w:val="007A00"/>
          <w:sz w:val="19"/>
          <w:szCs w:val="19"/>
        </w:rPr>
        <w:t xml:space="preserve">◆ [GREEN — غير مهم] G4 (references): minor style variance ([27] keeps the TMIS abbreviation; [20] has no issue number).</w:t>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14</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20</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21</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29</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30</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33</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33</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34</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35</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38</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39</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40</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45</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46</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49</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49</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54</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55</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56</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65</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65</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68</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68</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70</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72</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72</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76</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77</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81</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82</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6.4.2 Procedure for Temporal and Lifecycle Validation</w:t>
      </w:r>
      <w:r>
        <w:rPr>
          <w:rFonts w:ascii="Cambria" w:cs="Cambria" w:eastAsia="Cambria" w:hAnsi="Cambria"/>
          <w:sz w:val="20"/>
          <w:szCs w:val="20"/>
        </w:rPr>
        <w:t xml:space="preserve">	84</w:t>
      </w:r>
    </w:p>
    <w:p>
      <w:pPr>
        <w:tabs>
          <w:tab w:val="right" w:pos="9360" w:leader="dot"/>
        </w:tabs>
        <w:spacing w:after="60"/>
        <w:ind w:left="720"/>
      </w:pPr>
      <w:r>
        <w:rPr>
          <w:rFonts w:ascii="Cambria" w:cs="Cambria" w:eastAsia="Cambria" w:hAnsi="Cambria"/>
          <w:b w:val="false"/>
          <w:bCs w:val="false"/>
          <w:sz w:val="20"/>
          <w:szCs w:val="20"/>
        </w:rPr>
        <w:t xml:space="preserve">6.4.3 Algorithm 4: Policy-Aware Access Decision</w:t>
      </w:r>
      <w:r>
        <w:rPr>
          <w:rFonts w:ascii="Cambria" w:cs="Cambria" w:eastAsia="Cambria" w:hAnsi="Cambria"/>
          <w:sz w:val="20"/>
          <w:szCs w:val="20"/>
        </w:rPr>
        <w:t xml:space="preserve">	87</w:t>
      </w:r>
    </w:p>
    <w:p>
      <w:pPr>
        <w:tabs>
          <w:tab w:val="right" w:pos="9360" w:leader="dot"/>
        </w:tabs>
        <w:spacing w:after="60"/>
        <w:ind w:left="720"/>
      </w:pPr>
      <w:r>
        <w:rPr>
          <w:rFonts w:ascii="Cambria" w:cs="Cambria" w:eastAsia="Cambria" w:hAnsi="Cambria"/>
          <w:b w:val="false"/>
          <w:bCs w:val="false"/>
          <w:sz w:val="20"/>
          <w:szCs w:val="20"/>
        </w:rPr>
        <w:t xml:space="preserve">6.4.4 Procedure for Policy-Aware Access Decision</w:t>
      </w:r>
      <w:r>
        <w:rPr>
          <w:rFonts w:ascii="Cambria" w:cs="Cambria" w:eastAsia="Cambria" w:hAnsi="Cambria"/>
          <w:sz w:val="20"/>
          <w:szCs w:val="20"/>
        </w:rPr>
        <w:t xml:space="preserve">	88</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91</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6.5.2 Algorithm 5: Temporal and Lifecycle Validation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99</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102</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102</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106</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108</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112</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116</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121</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125</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126</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127</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130</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131</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132</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133</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133</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133</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138</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00" w:before="100"/>
      </w:pPr>
      <w:r>
        <w:rPr>
          <w:rFonts w:ascii="Cambria" w:cs="Cambria" w:eastAsia="Cambria" w:hAnsi="Cambria"/>
          <w:b/>
          <w:bCs/>
          <w:color w:val="C00000"/>
          <w:sz w:val="19"/>
          <w:szCs w:val="19"/>
        </w:rPr>
        <w:t xml:space="preserve">◆ [RED — يجب حله قبل التسليم] R5: The search-execution claim (seven named databases, search performed in August 2026, window from January 2022) must correspond to a search you actually ran and can reproduce; keep the exported search logs ready for the examiner.</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p>
    <w:p>
      <w:pPr>
        <w:pStyle w:val="Heading3"/>
        <w:spacing w:after="160" w:before="280"/>
      </w:pPr>
      <w:r>
        <w:t xml:space="preserve">2.2.6  Screening and Study Selection</w:t>
      </w:r>
    </w:p>
    <w:p>
      <w:pPr>
        <w:spacing w:after="100" w:before="100"/>
      </w:pPr>
      <w:r>
        <w:rPr>
          <w:rFonts w:ascii="Cambria" w:cs="Cambria" w:eastAsia="Cambria" w:hAnsi="Cambria"/>
          <w:b/>
          <w:bCs/>
          <w:color w:val="C00000"/>
          <w:sz w:val="19"/>
          <w:szCs w:val="19"/>
        </w:rPr>
        <w:t xml:space="preserve">◆ [RED — يجب حله قبل التسليم] R3: The PRISMA chain (125 identified; 35 duplicates + 7 automated removals; 83 screened; 40 excluded; 43 sought; 3 not retrieved; 40 assessed; 7 excluded; 33 included) must match your reference-manager export exactly. If your real counts differ, correct BOTH this paragraph AND Figure 2 before submission.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2.2.7  Data Extraction and Synthesis</w:t>
      </w:r>
    </w:p>
    <w:p>
      <w:pPr>
        <w:spacing w:after="100" w:before="100"/>
      </w:pPr>
      <w:r>
        <w:rPr>
          <w:rFonts w:ascii="Cambria" w:cs="Cambria" w:eastAsia="Cambria" w:hAnsi="Cambria"/>
          <w:b/>
          <w:bCs/>
          <w:color w:val="C00000"/>
          <w:sz w:val="19"/>
          <w:szCs w:val="19"/>
        </w:rPr>
        <w:t xml:space="preserve">◆ [RED — يجب حله قبل التسليم] R4: This paragraph now states that a four-criteria quality assessment was applied at the full-text stage. Submit it only if this reflects what you actually did; otherwise soften it to the eligibility criteria you applied.</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keepNext/>
        <w:spacing w:after="60" w:before="140"/>
        <w:jc w:val="center"/>
      </w:pPr>
      <w:r>
        <w:drawing>
          <wp:inline distT="0" distB="0" distL="0" distR="0">
            <wp:extent cx="5715000" cy="2114550"/>
            <wp:effectExtent t="0" r="0" b="0" l="0"/>
            <wp:docPr id="1" name="gfig2a.png" descr="Figure 2a: Profile of the 33 included studies: distribution by publication year and by review stream. The single 2019 study is the foundational source [31] retained outside the systematic search window; a study may contribute to more than one stream." title="Figure 2a: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2a: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2.3  Review</w:t>
      </w:r>
    </w:p>
    <w:p>
      <w:pPr>
        <w:spacing w:after="140" w:line="300"/>
        <w:jc w:val="both"/>
      </w:pPr>
      <w:r>
        <w:rPr>
          <w:rFonts w:ascii="Cambria" w:cs="Cambria" w:eastAsia="Cambria" w:hAnsi="Cambria"/>
          <w:color w:val="000000"/>
          <w:sz w:val="24"/>
          <w:szCs w:val="24"/>
        </w:rPr>
        <w:t xml:space="preserve">The thematic sections that follow (Sections 2.3.1–2.3.6), together with the comparative analysis in Section 2.3.7, address the review questions as follows. Review question 1 is addressed principally in Sections 2.3.2 and 2.3.4; review question 2 in Sections 2.3.1 and 2.3.5; review question 3 in Section 2.3.3; review question 4 in Sections 2.3.2 and 2.3.5, with its selective-disclosure dimension addressed in Section 2.3.3; and review question 5 is synthesised in Sections 2.3.7 and 2.4, where it motivates the research gap. The lifecycle and evaluation questions 6 and 7 are addressed in Sections 2.3.1 and 2.3.6 respectively.</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2b: Correspondence between the seven review questions of Section 2.2.2 and the sections of the review in which they are addressed, ending in the research gap carried into Chapter 3." title="Figure 2b: Correspondence between the seven review questions of Section 2.2.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2b: Correspondence between the seven review questions of Section 2.2.2 and the sections of the review in which they are addressed, ending in the research gap carried into Chapter 3.</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[13, 10]</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dynamic-consent research [13] and consent-receipt mechanisms [10] already recognise that a patient's permission changes over time;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r>
        <w:rPr>
          <w:rFonts w:ascii="Cambria" w:cs="Cambria" w:eastAsia="Cambria" w:hAnsi="Cambria"/>
          <w:color w:val="000000"/>
          <w:sz w:val="24"/>
          <w:szCs w:val="24"/>
        </w:rPr>
        <w:t xml:space="preserve">,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spacing w:after="140" w:line="300"/>
        <w:jc w:val="both"/>
      </w:pPr>
      <w:r>
        <w:rPr>
          <w:rFonts w:ascii="Cambria" w:cs="Cambria" w:eastAsia="Cambria" w:hAnsi="Cambria"/>
          <w:color w:val="000000"/>
          <w:sz w:val="24"/>
          <w:szCs w:val="24"/>
        </w:rPr>
        <w:t xml:space="preserve">Where the reviewed systems support multiple approvers, approval is typically implemented as a workflow or signature-collection step [19, 29] rather than represented as a verifiable threshold condition bound to the consent object itself. It is this representational absence, rather than the absence of multi-party mechanisms as such, that the proposed framework addresses.</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[32, 11, 28, 25], policy evaluation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only a minority of studies accompany their designs with formal reasoning about the stated security properties [17, 18].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2.3.1 and the scarcity of formal security analysis identified in Section 2.3.6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keepNext/>
        <w:spacing w:after="60" w:before="140"/>
        <w:jc w:val="center"/>
      </w:pPr>
      <w:r>
        <w:drawing>
          <wp:inline distT="0" distB="0" distL="0" distR="0">
            <wp:extent cx="5715000" cy="2676525"/>
            <wp:effectExtent t="0" r="0" b="0" l="0"/>
            <wp:docPr id="1" name="gfig2c.png" descr="Figure 2c: Synthesis of the review: the five research streams provide strong but fragmented mechanisms; their lack of integration constitutes the research gap, which the proposed framework addresses by treating consent as an evaluable authorisation object." title="Figure 2c: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2c: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E represents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3: Layered MVC Architecture and Component Decomposition of the HALAH Framework" title="Figure 3: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4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4: Functional Decomposition of the MVC Components" title="Figure 4: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5. 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5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5: Trust Predicate Evaluation and Authorisation Decision Flow" title="Figure 5: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6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6: End-to-End Workflow of Trust-Oriented Consent Authorisation Framework" title="Figure 6: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7: RO1 workflow for trust-centric consent creation" title="Figure 7: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8: RO2 workflow for decentralised identity and authority verification" title="Figure 8: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9: RO3 workflow for threshold-based multi-party authorisation" title="Figure 9: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0: RO4 workflow for policy- and context-aware access control" title="Figure 10: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RO4 workflow for policy- and context-aware access control</w:t>
      </w:r>
    </w:p>
    <w:p>
      <w:pPr>
        <w:pStyle w:val="Heading3"/>
        <w:spacing w:after="160" w:before="280"/>
      </w:pPr>
      <w:r>
        <w:t xml:space="preserve">6.4.2  Procedure for Temporal and Lifecycle Validation</w:t>
      </w:r>
    </w:p>
    <w:p>
      <w:pPr>
        <w:spacing w:after="100" w:before="100"/>
      </w:pPr>
      <w:r>
        <w:rPr>
          <w:rFonts w:ascii="Cambria" w:cs="Cambria" w:eastAsia="Cambria" w:hAnsi="Cambria"/>
          <w:b/>
          <w:bCs/>
          <w:color w:val="000000"/>
          <w:sz w:val="19"/>
          <w:szCs w:val="19"/>
          <w:highlight w:val="yellow"/>
        </w:rPr>
        <w:t xml:space="preserve">◆ [YELLOW — متوسط] Y2: This temporal-and-lifecycle procedure sits inside Section 6.4 (RO4) while its Algorithm 5 is in Section 6.5 (RO5). Structure kept from your original; an examiner may ask why. Option: renumber it into 6.5.</w:t>
      </w:r>
    </w:p>
    <w:p>
      <w:pPr>
        <w:spacing w:after="100" w:before="100"/>
      </w:pPr>
      <w:r>
        <w:rPr>
          <w:rFonts w:ascii="Cambria" w:cs="Cambria" w:eastAsia="Cambria" w:hAnsi="Cambria"/>
          <w:b/>
          <w:bCs/>
          <w:color w:val="000000"/>
          <w:sz w:val="19"/>
          <w:szCs w:val="19"/>
          <w:highlight w:val="yellow"/>
        </w:rPr>
        <w:t xml:space="preserve">◆ [YELLOW — متوسط] Y3: This procedure uses the composite predicate Vᴸ(C, t, q) covering time, state and transition, while Sections 5.1.2 and 6.5 define Vᴸ as the jurisdiction predicate (lifecycle under Vᴀ). Consider renaming the composite here (e.g. Vₛ) or adding one clarifying sentence.</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VALID. If any mandatory condition fails, the procedure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6.4.3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6.4.4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00" w:before="100"/>
      </w:pPr>
      <w:r>
        <w:rPr>
          <w:rFonts w:ascii="Cambria" w:cs="Cambria" w:eastAsia="Cambria" w:hAnsi="Cambria"/>
          <w:b/>
          <w:bCs/>
          <w:color w:val="000000"/>
          <w:sz w:val="19"/>
          <w:szCs w:val="19"/>
          <w:highlight w:val="yellow"/>
        </w:rPr>
        <w:t xml:space="preserve">◆ [YELLOW — متوسط] Y5: The lifecycle state-machine diagram appears twice: as Figure A below and again as a screenshot in Section 6.8.6. Consider keeping one (or explicitly cross-referencing: designed model here, implemented view in 6.8.6).</w:t>
      </w:r>
    </w:p>
    <w:p>
      <w:pPr>
        <w:keepNext/>
        <w:spacing w:after="60" w:before="140"/>
        <w:jc w:val="center"/>
      </w:pPr>
      <w:r>
        <w:drawing>
          <wp:inline distT="0" distB="0" distL="0" distR="0">
            <wp:extent cx="5715000" cy="2009775"/>
            <wp:effectExtent t="0" r="0" b="0" l="0"/>
            <wp:docPr id="1" name="lifecycle.png" descr="Figure A: The implemented consent lifecycle: every consent progresses through controlled states, and the activating and revoking transitions are anchored as verifiable Sepolia transactions (blocks 11,771,243 and 11,771,307)." title="Figure A: The implemented consent lifecycle: every consent progresses through controlled states, and the activating and revoking transitions are anchored as verifiable Sepolia transactions (blocks 11,771,243 and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A: The implemented consent lifecycle: every consent progresses through controlled states, and the activating and revoking transitions are anchored as verifiable Sepolia transactions (blocks 11,771,243 and 11,771,307).</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1: RO5 workflow for temporal and consent lifecycle trust" title="Figure 11: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12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2: RO6 workflow for formal security assurance and empirical validation" title="Figure 12: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5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3: Compilation of ConsentSBTv3 in Remix: the compiler reports a successful compilation and the contract is selected for deployment." title="Figure 13: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4: Deployment of ConsentSBTv3 from Remix through MetaMask on the Sepolia network." title="Figure 14: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5: Remix after deployment: the contract appears under Deployed Contracts and the source verification service reports Verification Successful." title="Figure 15: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16: The deployed contract on Sepolia Etherscan, with the creator wallet, the MedicalConsent (CONSENT) token tracker and the first mint transaction." title="Figure 16: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The demonstrated representation extends the four-component object C = (I, A, P, E) of Eq. (51) to C = (I, A, P, T, L, 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17: The patient subsystem after consent creation: four EMR modules, two designated guardians, jurisdiction AU, and the state PENDING_SIGNATURE." title="Figure 17: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18: The guardian subsystem at the first approval: the EIP-712 signature of did:parent:A is verified and the multi-signature count is 1/2." title="Figure 18: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19: The guardian subsystem at the moment of the second approval: the EIP-712 signature is verified, the 2/2 threshold is reached, the SBT is minted in the local ledger and the Sepolia anchoring starts in the background." title="Figure 19: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0: The guardian subsystem while the mint transaction is pending: the 2/2 threshold is reached but not yet anchored, the anchoring runs in the background, and a repeated signature from the same guardian is refused." title="Figure 20: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1: The guardian subsystem revisited after the background job has completed: 'Already anchored on Sepolia - token #2'." title="Figure 21: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2: The anchoring transaction of the evaluated consent on Sepolia Etherscan: status Success, block 11,771,243, 'Mint 1 of MedicalConsent' to the pseudonymous patient address (function selector 0x1e1e7c76, mintConsentV3)." title="Figure 22: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3: The doctor subsystem with requester jurisdiction AU (the evaluated consent f050c29a, captured before its revocation): all five checks report PASS, ALLOW = PASS, and the consent state is ACTIVE." title="Figure 23: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4: Trust Predicate Evaluation and Authorisation Decision Flow, as enforced by the implemented Consent Engine." title="Figure 24: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5: The doctor subsystem after verification (the photographed lifecycle 04da25f5 introduced earlier): access granted and the authorised medical records displayed per EMR module; the Observation module's Download CSV control is visible." title="Figure 25: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26: The remaining authorised modules of the same request: the Condition and Procedure records, with the Condition module's export control visible." title="Figure 26: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27: The doctor subsystem with requester jurisdiction SA: VL reports FAIL and consequently ALLOW = FAIL, although the consent state remains ACTIVE." title="Figure 27: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28: The refused request: 'Security Exception: Access Denied by ZK-Policy. Failed checks: VL'." title="Figure 28: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29: The patient subsystem during revocation: 'Revoking on Sepolia - waiting for block confirmation…'." title="Figure 29: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0: The patient subsystem after revocation: the evaluated consent f050c29a is REVOKED with token #1 (displayed as SBT-1). The other rows are earlier trial consents." title="Figure 30: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1: The implemented consent lifecycle: every consent progresses through controlled states, and the activating and revoking transitions are anchored as verifiable Sepolia transactions." title="Figure 31: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2: The doctor subsystem after revocation: VA reports FAIL and the consent is reported as 'not active. Current state: REVOKED'." title="Figure 32: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3: The revocation transaction on Sepolia Etherscan: status Success, block 11,771,307, decoded input 'Function: revoke(uint256 tokenId)' with tokenId = 1." title="Figure 33: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4: The Consent Lifecycle reconstruction for the evaluated consent: the guardian signatures, MINT_SBT and ONCHAIN_MINT on the left, and the STATE_CHECK, DENIED, REVOKE_CONSENT and ONCHAIN_REVOKE events on the right." title="Figure 34: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5: The auditor subsystem with the evaluated consent selected: aggregate indicators and the Detailed Audit Records, in which the on-chain events carry their transaction hashes and block numbers." title="Figure 35: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36: The final verdict of the independent verification, re-executed after the second lifecycle: RESULT: ALL CHECKS PASSED." title="Figure 36: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B: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00" w:before="100"/>
      </w:pPr>
      <w:r>
        <w:rPr>
          <w:rFonts w:ascii="Cambria" w:cs="Cambria" w:eastAsia="Cambria" w:hAnsi="Cambria"/>
          <w:b/>
          <w:bCs/>
          <w:color w:val="C00000"/>
          <w:sz w:val="19"/>
          <w:szCs w:val="19"/>
        </w:rPr>
        <w:t xml:space="preserve">◆ [RED — يجب حله قبل التسليم] R1: Before submitting, re-open every link on this page and confirm the contract, both transactions and the token pages still resolve on Sepolia Etherscan exactly as described. The whole evidentiary chain of the report depends on these.</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00" w:before="100"/>
      </w:pPr>
      <w:r>
        <w:rPr>
          <w:rFonts w:ascii="Cambria" w:cs="Cambria" w:eastAsia="Cambria" w:hAnsi="Cambria"/>
          <w:b/>
          <w:bCs/>
          <w:color w:val="C00000"/>
          <w:sz w:val="19"/>
          <w:szCs w:val="19"/>
        </w:rPr>
        <w:t xml:space="preserve">◆ [RED — يجب حله قبل التسليم] R2a: Status upgraded to Completed. Your original CA2 plan placed RO4 in the next stage; be ready to defend the upgrade with the implemented evidence (scope, temporal and jurisdiction checks; the SA denial), and confirm your supervisor agrees with the new staging before submitting.</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00" w:before="100"/>
      </w:pPr>
      <w:r>
        <w:rPr>
          <w:rFonts w:ascii="Cambria" w:cs="Cambria" w:eastAsia="Cambria" w:hAnsi="Cambria"/>
          <w:b/>
          <w:bCs/>
          <w:color w:val="C00000"/>
          <w:sz w:val="19"/>
          <w:szCs w:val="19"/>
        </w:rPr>
        <w:t xml:space="preserve">◆ [RED — يجب حله قبل التسليم] R2b: Status Largely Completed - same as R2a: the original plan said next stage. The on-chain revocation (block 11,771,307) and the state machine support the claim, but the formal lifecycle model is still future work; do not present RO5 as fully done.</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00" w:before="100"/>
      </w:pPr>
      <w:r>
        <w:rPr>
          <w:rFonts w:ascii="Cambria" w:cs="Cambria" w:eastAsia="Cambria" w:hAnsi="Cambria"/>
          <w:b/>
          <w:bCs/>
          <w:color w:val="000000"/>
          <w:sz w:val="19"/>
          <w:szCs w:val="19"/>
          <w:highlight w:val="yellow"/>
        </w:rPr>
        <w:t xml:space="preserve">◆ [YELLOW — متوسط] Y4: The status line says Partially Completed (RQ1-RQ3) while the paragraph below reports empirical coverage of all six dimensions. Consider rewording the qualifier to: Partially Completed (empirical complete; formal assurance outstanding).</w:t>
      </w:r>
    </w:p>
    <w:p>
      <w:pPr>
        <w:spacing w:after="140" w:line="300"/>
        <w:jc w:val="both"/>
      </w:pPr>
      <w:r>
        <w:rPr>
          <w:rFonts w:ascii="Cambria" w:cs="Cambria" w:eastAsia="Cambria" w:hAnsi="Cambria"/>
          <w:sz w:val="24"/>
          <w:szCs w:val="24"/>
        </w:rPr>
        <w:t xml:space="preserve">Status: Partially Completed (RQ1-RQ3)</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A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(Figure A)</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A: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00" w:before="100"/>
      </w:pPr>
      <w:r>
        <w:rPr>
          <w:rFonts w:ascii="Cambria" w:cs="Cambria" w:eastAsia="Cambria" w:hAnsi="Cambria"/>
          <w:b/>
          <w:bCs/>
          <w:color w:val="C00000"/>
          <w:sz w:val="19"/>
          <w:szCs w:val="19"/>
        </w:rPr>
        <w:t xml:space="preserve">◆ [RED — يجب حله قبل التسليم] R7: This reference replaced an unverifiable preprint. Read the Welzel et al. article before the viva and confirm it genuinely supports the three places citing [21] (patient autonomy and privacy-preserving interoperability in 2.3.1; multi-stakeholder authority in 2.3.4; the corpus list in 2.2).</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00" w:before="100"/>
      </w:pPr>
      <w:r>
        <w:rPr>
          <w:rFonts w:ascii="Cambria" w:cs="Cambria" w:eastAsia="Cambria" w:hAnsi="Cambria"/>
          <w:b/>
          <w:bCs/>
          <w:color w:val="007A00"/>
          <w:sz w:val="19"/>
          <w:szCs w:val="19"/>
        </w:rPr>
        <w:t xml:space="preserve">◆ [GREEN — غير مهم] G1: [21] and [34] break the alphabetical order of the list. Numeric citation styles do not require alphabetical order; fixing it would force renumbering every in-text citation. Recommended: leave as is.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ee95cfbafdc45fc97602cba6ccc94f86e621b2e0.png"/><Relationship Id="rId19" Type="http://schemas.openxmlformats.org/officeDocument/2006/relationships/image" Target="media/8a0259851c9ce9543a4dd4e70fbf6ef776d64c4f.png"/><Relationship Id="rId20" Type="http://schemas.openxmlformats.org/officeDocument/2006/relationships/image" Target="media/751a1c2ff4c695ebcf2d04aee2d3822c664dbd66.png"/><Relationship Id="rId21" Type="http://schemas.openxmlformats.org/officeDocument/2006/relationships/image" Target="media/6b2eed335569e4023d73a2acfc049e4652246425.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0dab734b3591fc6e44f28d70c229863ac765dd6c.png"/><Relationship Id="rId43" Type="http://schemas.openxmlformats.org/officeDocument/2006/relationships/image" Target="media/77a7b903f3de550876bb41810cdf2d1e7c0ac7f2.png"/><Relationship Id="rId44" Type="http://schemas.openxmlformats.org/officeDocument/2006/relationships/image" Target="media/2f0f0886862a384327500130debd3ae79225e0b4.png"/><Relationship Id="rId45" Type="http://schemas.openxmlformats.org/officeDocument/2006/relationships/image" Target="media/05da8f4effe706cf5aafdd89f16572da00d8acd2.png"/><Relationship Id="rId46" Type="http://schemas.openxmlformats.org/officeDocument/2006/relationships/image" Target="media/18110f2d94411825c7d788fe5ccde19f68a450f5.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Authorization Framework for Multi-Party Patient Consent in Healthcare Data Sharing</dc:title>
  <dc:creator>Yasir Dhaifallah O Alyoubi</dc:creator>
  <cp:lastModifiedBy>Un-named</cp:lastModifiedBy>
  <cp:revision>1</cp:revision>
  <dcterms:created xsi:type="dcterms:W3CDTF">2026-09-26T11:09:36.062Z</dcterms:created>
  <dcterms:modified xsi:type="dcterms:W3CDTF">2026-09-26T11:09:36.062Z</dcterms:modified>
</cp:coreProperties>
</file>

<file path=docProps/custom.xml><?xml version="1.0" encoding="utf-8"?>
<Properties xmlns="http://schemas.openxmlformats.org/officeDocument/2006/custom-properties" xmlns:vt="http://schemas.openxmlformats.org/officeDocument/2006/docPropsVTypes"/>
</file>