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9</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14</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15</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16</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2.3.7 Data Extraction and Synthesis</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22</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26</w:t>
      </w:r>
    </w:p>
    <w:p>
      <w:pPr>
        <w:tabs>
          <w:tab w:val="right" w:pos="9360" w:leader="dot"/>
        </w:tabs>
        <w:spacing w:after="60"/>
        <w:ind w:left="720"/>
      </w:pPr>
      <w:r>
        <w:rPr>
          <w:rFonts w:ascii="Cambria" w:cs="Cambria" w:eastAsia="Cambria" w:hAnsi="Cambria"/>
          <w:b w:val="false"/>
          <w:bCs w:val="false"/>
          <w:sz w:val="20"/>
          <w:szCs w:val="20"/>
        </w:rPr>
        <w:t xml:space="preserve">2.4.1 Healthcare Consent and Decentralised Data Governance</w:t>
      </w:r>
      <w:r>
        <w:rPr>
          <w:rFonts w:ascii="Cambria" w:cs="Cambria" w:eastAsia="Cambria" w:hAnsi="Cambria"/>
          <w:sz w:val="20"/>
          <w:szCs w:val="20"/>
        </w:rPr>
        <w:t xml:space="preserve">	27</w:t>
      </w:r>
    </w:p>
    <w:p>
      <w:pPr>
        <w:tabs>
          <w:tab w:val="right" w:pos="9360" w:leader="dot"/>
        </w:tabs>
        <w:spacing w:after="60"/>
        <w:ind w:left="720"/>
      </w:pPr>
      <w:r>
        <w:rPr>
          <w:rFonts w:ascii="Cambria" w:cs="Cambria" w:eastAsia="Cambria" w:hAnsi="Cambria"/>
          <w:b w:val="false"/>
          <w:bCs w:val="false"/>
          <w:sz w:val="20"/>
          <w:szCs w:val="20"/>
        </w:rPr>
        <w:t xml:space="preserve">2.4.2 Blockchain-Based Consent and Data Governance</w:t>
      </w:r>
      <w:r>
        <w:rPr>
          <w:rFonts w:ascii="Cambria" w:cs="Cambria" w:eastAsia="Cambria" w:hAnsi="Cambria"/>
          <w:sz w:val="20"/>
          <w:szCs w:val="20"/>
        </w:rPr>
        <w:t xml:space="preserve">	30</w:t>
      </w:r>
    </w:p>
    <w:p>
      <w:pPr>
        <w:tabs>
          <w:tab w:val="right" w:pos="9360" w:leader="dot"/>
        </w:tabs>
        <w:spacing w:after="60"/>
        <w:ind w:left="720"/>
      </w:pPr>
      <w:r>
        <w:rPr>
          <w:rFonts w:ascii="Cambria" w:cs="Cambria" w:eastAsia="Cambria" w:hAnsi="Cambria"/>
          <w:b w:val="false"/>
          <w:bCs w:val="false"/>
          <w:sz w:val="20"/>
          <w:szCs w:val="20"/>
        </w:rPr>
        <w:t xml:space="preserve">2.4.3 Decentralised Identity and Verifiable Credentials</w:t>
      </w:r>
      <w:r>
        <w:rPr>
          <w:rFonts w:ascii="Cambria" w:cs="Cambria" w:eastAsia="Cambria" w:hAnsi="Cambria"/>
          <w:sz w:val="20"/>
          <w:szCs w:val="20"/>
        </w:rPr>
        <w:t xml:space="preserve">	33</w:t>
      </w:r>
    </w:p>
    <w:p>
      <w:pPr>
        <w:tabs>
          <w:tab w:val="right" w:pos="9360" w:leader="dot"/>
        </w:tabs>
        <w:spacing w:after="60"/>
        <w:ind w:left="720"/>
      </w:pPr>
      <w:r>
        <w:rPr>
          <w:rFonts w:ascii="Cambria" w:cs="Cambria" w:eastAsia="Cambria" w:hAnsi="Cambria"/>
          <w:b w:val="false"/>
          <w:bCs w:val="false"/>
          <w:sz w:val="20"/>
          <w:szCs w:val="20"/>
        </w:rPr>
        <w:t xml:space="preserve">2.4.4 Multi-Party Authorisation and Collaborative Consent</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2.4.5 Policy-Based and Context-Aware Access Control</w:t>
      </w:r>
      <w:r>
        <w:rPr>
          <w:rFonts w:ascii="Cambria" w:cs="Cambria" w:eastAsia="Cambria" w:hAnsi="Cambria"/>
          <w:sz w:val="20"/>
          <w:szCs w:val="20"/>
        </w:rPr>
        <w:t xml:space="preserve">	37</w:t>
      </w:r>
    </w:p>
    <w:p>
      <w:pPr>
        <w:tabs>
          <w:tab w:val="right" w:pos="9360" w:leader="dot"/>
        </w:tabs>
        <w:spacing w:after="60"/>
        <w:ind w:left="720"/>
      </w:pPr>
      <w:r>
        <w:rPr>
          <w:rFonts w:ascii="Cambria" w:cs="Cambria" w:eastAsia="Cambria" w:hAnsi="Cambria"/>
          <w:b w:val="false"/>
          <w:bCs w:val="false"/>
          <w:sz w:val="20"/>
          <w:szCs w:val="20"/>
        </w:rPr>
        <w:t xml:space="preserve">2.4.6 Trusted Computing, Secure Execution, and Security Assurance</w:t>
      </w:r>
      <w:r>
        <w:rPr>
          <w:rFonts w:ascii="Cambria" w:cs="Cambria" w:eastAsia="Cambria" w:hAnsi="Cambria"/>
          <w:sz w:val="20"/>
          <w:szCs w:val="20"/>
        </w:rPr>
        <w:t xml:space="preserve">	39</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41</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43</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43</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46</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49</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50</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50</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53</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54</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55</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61</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64</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64</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66</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68</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69</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70</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71</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74</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75</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76</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77</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78</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78</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79</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80</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83</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83</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85</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88</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88</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88</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92</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93</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97</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98</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99</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100</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101</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104</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105</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105</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108</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109</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110</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110</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115</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116</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118</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118</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122</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124</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128</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132</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134</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137</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140</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140</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141</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142</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143</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145</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145</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146</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146</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148</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149</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149</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149</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154</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w:t>
      </w:r>
      <w:r>
        <w:rPr>
          <w:rFonts w:ascii="Cambria" w:cs="Cambria" w:eastAsia="Cambria" w:hAnsi="Cambria"/>
          <w:b w:val="false"/>
          <w:bCs w:val="false"/>
          <w:sz w:val="24"/>
          <w:szCs w:val="24"/>
        </w:rPr>
        <w:t xml:space="preserve">[31, 14]</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color w:val="000000"/>
          <w:sz w:val="24"/>
          <w:szCs w:val="24"/>
        </w:rPr>
        <w:t xml:space="preserve">The framework has been extended to incorporate temporal validity and lifecycle trust.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encompassing per-dimension denial scenarios, signature-rejection tests, and zero-knowledge tamper and expiry tests, together with a live negative evaluation on the Sepolia network. Consequently, formal security analysis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sz w:val="24"/>
          <w:szCs w:val="24"/>
        </w:rPr>
        <w:t xml:space="preserve">A consent that was valid when initially approved may subsequently become invalid due to expiration, revocation, or a change in its authorised lifecycle state.</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The distinction between the current contribution and the subsequent research is summarised in Table 1.</w:t>
      </w: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The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color w:val="000000"/>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color w:val="000000"/>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A trustworthy framework therefore requires that consent is represented as a structured object whose components, namely the participating identities, the authority requirements, the permitted purpose and data scope, the temporal validity, the jurisdiction and the supporting evidence, can be evaluated independently at the time of each request. This is important because the same consent may be valid for one request and invalid for another, depending on who is asking, for what purpose and at what time.</w:t>
      </w:r>
    </w:p>
    <w:p>
      <w:pPr>
        <w:pStyle w:val="Heading3"/>
        <w:spacing w:after="160" w:before="280"/>
      </w:pPr>
      <w:r>
        <w:rPr>
          <w:color w:val="000000"/>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color w:val="000000"/>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This requirement goes beyond a workflow in which several people click an approval button. The approval condition must be represented within the consent object and must be checkable by any party at a later time.</w:t>
      </w:r>
    </w:p>
    <w:p>
      <w:pPr>
        <w:pStyle w:val="Heading3"/>
        <w:spacing w:after="160" w:before="280"/>
      </w:pPr>
      <w:r>
        <w:rPr>
          <w:color w:val="000000"/>
        </w:rPr>
        <w:t xml:space="preserve">2.2.4  Policy- and context-aware enforcement at the time of access (Req: 4)</w:t>
      </w:r>
    </w:p>
    <w:p>
      <w:pPr>
        <w:spacing w:after="140" w:line="300"/>
        <w:jc w:val="both"/>
      </w:pPr>
      <w:r>
        <w:rPr>
          <w:rFonts w:ascii="Cambria" w:cs="Cambria" w:eastAsia="Cambria" w:hAnsi="Cambria"/>
          <w:color w:val="000000"/>
          <w:sz w:val="24"/>
          <w:szCs w:val="24"/>
        </w:rPr>
        <w:t xml:space="preserve">Even when the identities are valid and the required approvals have been obtained, an access request should be granted only if it conforms to the purpose and the data scope that the patient authorised, and to the contextual constraints that apply to the request, such as the jurisdiction in which the data may be used. A framework should evaluate every request against these constraints rather than relying on the existence of a valid consent record. This is important because most unauthorised disclosures in practice are not caused by unknown requesters but by legitimate requesters who exceed the scope of what was permitted.</w:t>
      </w:r>
    </w:p>
    <w:p>
      <w:pPr>
        <w:pStyle w:val="Heading3"/>
        <w:spacing w:after="160" w:before="280"/>
      </w:pPr>
      <w:r>
        <w:rPr>
          <w:color w:val="000000"/>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color w:val="000000"/>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t xml:space="preserve">2.3  Systematic Literature Review Methodology</w:t>
      </w:r>
    </w:p>
    <w:p>
      <w:pPr>
        <w:spacing w:after="140" w:line="300"/>
        <w:jc w:val="both"/>
      </w:pPr>
      <w:r>
        <w:rPr>
          <w:rFonts w:ascii="Cambria" w:cs="Cambria" w:eastAsia="Cambria" w:hAnsi="Cambria"/>
          <w:b w:val="false"/>
          <w:bCs w:val="false"/>
          <w:sz w:val="24"/>
          <w:szCs w:val="24"/>
        </w:rPr>
        <w:t xml:space="preserve">The review corpus comprises the 33 studies identified through the search and screening process described in the remainder of this section. </w:t>
      </w:r>
      <w:r>
        <w:rPr>
          <w:rFonts w:ascii="Cambria" w:cs="Cambria" w:eastAsia="Cambria" w:hAnsi="Cambria"/>
          <w:b w:val="false"/>
          <w:bCs w:val="false"/>
          <w:color w:val="000000"/>
          <w:sz w:val="24"/>
          <w:szCs w:val="24"/>
        </w:rPr>
        <w:t xml:space="preserve">Thirty-two of the 33 included studies were published between 2022 and 2026; one earlier foundational study [31] was retained under the eligibility provision for necessary foundational contributions. The corpus concentrates</w:t>
      </w:r>
      <w:r>
        <w:rPr>
          <w:rFonts w:ascii="Cambria" w:cs="Cambria" w:eastAsia="Cambria" w:hAnsi="Cambria"/>
          <w:b w:val="false"/>
          <w:bCs w:val="false"/>
          <w:sz w:val="24"/>
          <w:szCs w:val="24"/>
        </w:rPr>
        <w:t xml:space="preserve"> on blockchain-based data governance, decentralised identity, verifiable credentials, healthcare access control, and consent management.</w:t>
      </w:r>
    </w:p>
    <w:p>
      <w:pPr>
        <w:spacing w:after="140" w:line="300"/>
        <w:jc w:val="both"/>
      </w:pPr>
      <w:r>
        <w:rPr>
          <w:rFonts w:ascii="Cambria" w:cs="Cambria" w:eastAsia="Cambria" w:hAnsi="Cambria"/>
          <w:b w:val="false"/>
          <w:bCs w:val="false"/>
          <w:sz w:val="24"/>
          <w:szCs w:val="24"/>
        </w:rPr>
        <w:t xml:space="preserve">Within this corpus, references </w:t>
      </w:r>
      <w:r>
        <w:rPr>
          <w:rFonts w:ascii="Cambria" w:cs="Cambria" w:eastAsia="Cambria" w:hAnsi="Cambria"/>
          <w:b w:val="false"/>
          <w:bCs w:val="false"/>
          <w:color w:val="000000"/>
          <w:sz w:val="24"/>
          <w:szCs w:val="24"/>
        </w:rPr>
        <w:t xml:space="preserve">[1, 2, 3, 7, 9, 10, 11, 12, 13, 14, 21, 22, 24, 25, 28, 31, 32]</w:t>
      </w:r>
      <w:r>
        <w:rPr>
          <w:rFonts w:ascii="Cambria" w:cs="Cambria" w:eastAsia="Cambria" w:hAnsi="Cambria"/>
          <w:b w:val="false"/>
          <w:bCs w:val="false"/>
          <w:sz w:val="24"/>
          <w:szCs w:val="24"/>
        </w:rPr>
        <w:t xml:space="preserve"> address the healthcare data sharing, consent, and access-control dimensions of the review, while references </w:t>
      </w:r>
      <w:r>
        <w:rPr>
          <w:rFonts w:ascii="Cambria" w:cs="Cambria" w:eastAsia="Cambria" w:hAnsi="Cambria"/>
          <w:b w:val="false"/>
          <w:bCs w:val="false"/>
          <w:color w:val="000000"/>
          <w:sz w:val="24"/>
          <w:szCs w:val="24"/>
        </w:rPr>
        <w:t xml:space="preserve">[4, 5, 15, 16, 20, 27, 33]</w:t>
      </w:r>
      <w:r>
        <w:rPr>
          <w:rFonts w:ascii="Cambria" w:cs="Cambria" w:eastAsia="Cambria" w:hAnsi="Cambria"/>
          <w:b w:val="false"/>
          <w:bCs w:val="false"/>
          <w:sz w:val="24"/>
          <w:szCs w:val="24"/>
        </w:rPr>
        <w:t xml:space="preserve"> address the decentralised identifier, verifiable credential, and trust-architecture dimensions; the remaining studies contribute to multi-party governance and security assurance.</w:t>
      </w:r>
    </w:p>
    <w:p>
      <w:pPr>
        <w:pStyle w:val="Heading3"/>
        <w:spacing w:after="160" w:before="280"/>
      </w:pPr>
      <w:r>
        <w:t xml:space="preserve">2.3.1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privacy-preserving access control, and auditability. The review was designed to establish the conceptual and technical foundations of the research and thus </w:t>
      </w:r>
      <w:r>
        <w:rPr>
          <w:rFonts w:ascii="Cambria" w:cs="Cambria" w:eastAsia="Cambria" w:hAnsi="Cambria"/>
          <w:color w:val="000000"/>
          <w:sz w:val="24"/>
          <w:szCs w:val="24"/>
        </w:rPr>
        <w:t xml:space="preserve">of the</w:t>
      </w:r>
      <w:r>
        <w:rPr>
          <w:rFonts w:ascii="Cambria" w:cs="Cambria" w:eastAsia="Cambria" w:hAnsi="Cambria"/>
          <w:sz w:val="24"/>
          <w:szCs w:val="24"/>
        </w:rPr>
        <w:t xml:space="preserv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w:t>
      </w:r>
      <w:r>
        <w:rPr>
          <w:rFonts w:ascii="Cambria" w:cs="Cambria" w:eastAsia="Cambria" w:hAnsi="Cambria"/>
          <w:color w:val="000000"/>
          <w:sz w:val="24"/>
          <w:szCs w:val="24"/>
        </w:rPr>
        <w:t xml:space="preserve">[34]</w:t>
      </w:r>
      <w:r>
        <w:rPr>
          <w:rFonts w:ascii="Cambria" w:cs="Cambria" w:eastAsia="Cambria" w:hAnsi="Cambria"/>
          <w:sz w:val="24"/>
          <w:szCs w:val="24"/>
        </w:rPr>
        <w:t xml:space="preserve">.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2.3.2  Questions for Review</w:t>
      </w:r>
    </w:p>
    <w:p>
      <w:pPr>
        <w:spacing w:after="140" w:line="300"/>
        <w:jc w:val="both"/>
      </w:pPr>
      <w:r>
        <w:rPr>
          <w:rFonts w:ascii="Cambria" w:cs="Cambria" w:eastAsia="Cambria" w:hAnsi="Cambria"/>
          <w:sz w:val="24"/>
          <w:szCs w:val="24"/>
        </w:rPr>
        <w:t xml:space="preserve">This systematic literature review is guided by the following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color w:val="000000"/>
          <w:sz w:val="24"/>
          <w:szCs w:val="24"/>
        </w:rPr>
        <w:t xml:space="preserve">6. How do existing systems manage the temporal validity and lifecycle of consent, including expiration, revocation, and state transitions, after consent has been granted?</w:t>
      </w:r>
    </w:p>
    <w:p>
      <w:pPr>
        <w:spacing w:after="140" w:line="300"/>
        <w:jc w:val="both"/>
      </w:pPr>
      <w:r>
        <w:rPr>
          <w:rFonts w:ascii="Cambria" w:cs="Cambria" w:eastAsia="Cambria" w:hAnsi="Cambria"/>
          <w:color w:val="000000"/>
          <w:sz w:val="24"/>
          <w:szCs w:val="24"/>
        </w:rPr>
        <w:t xml:space="preserve">7. How are the security properties of existing consent and access-control systems evaluated, and to what extent is formal security analysis employed alongside empirical prototyping?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2.3.3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w:t>
      </w:r>
      <w:r>
        <w:rPr>
          <w:rFonts w:ascii="Cambria" w:cs="Cambria" w:eastAsia="Cambria" w:hAnsi="Cambria"/>
          <w:color w:val="000000"/>
          <w:sz w:val="24"/>
          <w:szCs w:val="24"/>
        </w:rPr>
        <w:t xml:space="preserve">: 1) IEEE Xplore, 2) ACM Digital Library, 3) ScienceDirect, 4) SpringerLink, 5) PubMed, 6) Scopus, and 7) Web of Science</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w:t>
      </w:r>
      <w:r>
        <w:rPr>
          <w:rFonts w:ascii="Cambria" w:cs="Cambria" w:eastAsia="Cambria" w:hAnsi="Cambria"/>
          <w:color w:val="000000"/>
          <w:sz w:val="24"/>
          <w:szCs w:val="24"/>
        </w:rPr>
        <w:t xml:space="preserve">blockchain and distributed-ledger technology,</w:t>
      </w:r>
      <w:r>
        <w:rPr>
          <w:rFonts w:ascii="Cambria" w:cs="Cambria" w:eastAsia="Cambria" w:hAnsi="Cambria"/>
          <w:sz w:val="24"/>
          <w:szCs w:val="24"/>
        </w:rPr>
        <w:t xml:space="preserve"> healthcare data, patient consent,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access control, privacy, and auditability. The general search string was defined as shown in Figure 1.</w:t>
      </w:r>
    </w:p>
    <w:p>
      <w:pPr>
        <w:spacing w:after="140" w:line="300"/>
        <w:jc w:val="both"/>
      </w:pPr>
      <w:r>
        <w:rPr>
          <w:rFonts w:ascii="Cambria" w:cs="Cambria" w:eastAsia="Cambria" w:hAnsi="Cambria"/>
          <w:b w:val="false"/>
          <w:bCs w:val="false"/>
          <w:sz w:val="24"/>
          <w:szCs w:val="24"/>
        </w:rPr>
        <w:t xml:space="preserve">The supporting-requirements block of the search string additionally captured trusted-execution terminology (trusted computing, trusted execution environment, attestation), which yielded the secure-execution studies reviewed in Section 2.4.6.</w:t>
      </w:r>
    </w:p>
    <w:p>
      <w:pPr>
        <w:keepNext/>
        <w:spacing w:after="60" w:before="140"/>
        <w:jc w:val="center"/>
      </w:pPr>
      <w:r>
        <w:drawing>
          <wp:inline distT="0" distB="0" distL="0" distR="0">
            <wp:extent cx="5715000" cy="4010025"/>
            <wp:effectExtent t="0" r="0" b="0" l="0"/>
            <wp:docPr id="1" name="gfig1f.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10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jc w:val="center"/>
      </w:pPr>
      <w:r>
        <w:rPr>
          <w:rFonts w:ascii="Cambria" w:cs="Cambria" w:eastAsia="Cambria" w:hAnsi="Cambria"/>
          <w:i/>
          <w:iCs/>
          <w:sz w:val="20"/>
          <w:szCs w:val="20"/>
        </w:rPr>
        <w:t xml:space="preserve">[Figure 1: SLR Search String Definition (updated: blockchain and distributed-ledger terminology added to the Multi-Party Trust block, and trusted computing, trusted execution environment, and attestation added to the Supporting Requirements block, in line with Section 2.2.3)]</w:t>
      </w:r>
    </w:p>
    <w:p>
      <w:pPr>
        <w:pStyle w:val="Heading3"/>
        <w:spacing w:after="160" w:before="280"/>
      </w:pPr>
      <w:r>
        <w:t xml:space="preserve">2.3.4  Search Period and Search Execution</w:t>
      </w:r>
    </w:p>
    <w:p>
      <w:pPr>
        <w:spacing w:after="140" w:line="300"/>
        <w:jc w:val="both"/>
      </w:pPr>
      <w:r>
        <w:rPr>
          <w:rFonts w:ascii="Cambria" w:cs="Cambria" w:eastAsia="Cambria" w:hAnsi="Cambria"/>
          <w:sz w:val="24"/>
          <w:szCs w:val="24"/>
        </w:rPr>
        <w:t xml:space="preserve">The search was restricted to studies published between </w:t>
      </w:r>
      <w:r>
        <w:rPr>
          <w:rFonts w:ascii="Cambria" w:cs="Cambria" w:eastAsia="Cambria" w:hAnsi="Cambria"/>
          <w:color w:val="000000"/>
          <w:sz w:val="24"/>
          <w:szCs w:val="24"/>
        </w:rPr>
        <w:t xml:space="preserve">January 2022 and the search date, and was performed in August 2026</w:t>
      </w:r>
      <w:r>
        <w:rPr>
          <w:rFonts w:ascii="Cambria" w:cs="Cambria" w:eastAsia="Cambria" w:hAnsi="Cambria"/>
          <w:sz w:val="24"/>
          <w:szCs w:val="24"/>
        </w:rPr>
        <w:t xml:space="preserve">. The search period was selected to capture the rapid development of multi-party trust healthcare data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t xml:space="preserve">2.3.5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spacing w:after="140" w:line="300"/>
        <w:jc w:val="both"/>
      </w:pPr>
      <w:r>
        <w:rPr>
          <w:rFonts w:ascii="Cambria" w:cs="Cambria" w:eastAsia="Cambria" w:hAnsi="Cambria"/>
          <w:color w:val="000000"/>
          <w:sz w:val="24"/>
          <w:szCs w:val="24"/>
        </w:rPr>
        <w:t xml:space="preserve">A small number of included studies address domains other than healthcare, such as cross-organisational livestock data sharing, archival record-keeping, smart agriculture, electric-vehicle charging, and smart-city data governance [6, 8, 17, 27, 30]. These studies were retained under criterion 6 because they provide transferable insights on decentralised trust, verifiable credentials, and auditable data governance that bear directly on the review questions.</w:t>
      </w:r>
      <w:r>
        <w:rPr>
          <w:rFonts w:ascii="Cambria" w:cs="Cambria" w:eastAsia="Cambria" w:hAnsi="Cambria"/>
          <w:sz w:val="24"/>
          <w:szCs w:val="24"/>
        </w:rPr>
        <w:t xml:space="preserve"> </w:t>
      </w:r>
      <w:r>
        <w:rPr>
          <w:rFonts w:ascii="Cambria" w:cs="Cambria" w:eastAsia="Cambria" w:hAnsi="Cambria"/>
          <w:color w:val="000000"/>
          <w:sz w:val="24"/>
          <w:szCs w:val="24"/>
        </w:rPr>
        <w:t xml:space="preserve">Similarly, the healthcare studies [9, 14, 31] contribute contextual evidence on patient attitudes, confidentiality and guardianship rather than technical mechanisms, and they are assessed on that basis in the study tables of Section 2.4.</w:t>
      </w:r>
    </w:p>
    <w:p>
      <w:pPr>
        <w:pStyle w:val="Heading3"/>
        <w:spacing w:after="160" w:before="280"/>
      </w:pPr>
      <w:r>
        <w:t xml:space="preserve">2.3.6  Screening and Study Selection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jc w:val="center"/>
      </w:pPr>
      <w:r>
        <w:rPr>
          <w:rFonts w:ascii="Cambria" w:cs="Cambria" w:eastAsia="Cambria" w:hAnsi="Cambria"/>
          <w:i/>
          <w:iCs/>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w:t>
      </w:r>
      <w:r>
        <w:rPr>
          <w:rFonts w:ascii="Cambria" w:cs="Cambria" w:eastAsia="Cambria" w:hAnsi="Cambria"/>
          <w:color w:val="000000"/>
          <w:sz w:val="24"/>
          <w:szCs w:val="24"/>
        </w:rPr>
        <w:t xml:space="preserve">, which summarises</w:t>
      </w:r>
      <w:r>
        <w:rPr>
          <w:rFonts w:ascii="Cambria" w:cs="Cambria" w:eastAsia="Cambria" w:hAnsi="Cambria"/>
          <w:sz w:val="24"/>
          <w:szCs w:val="24"/>
        </w:rPr>
        <w:t xml:space="preserve"> the identification, screening, eligibility, and inclusion stages of the SLR. The final number of included studies was derived after completing the screening and eligibility assessment across the identified literature base.</w:t>
      </w:r>
    </w:p>
    <w:p>
      <w:pPr>
        <w:spacing w:after="140" w:line="300"/>
        <w:jc w:val="both"/>
      </w:pPr>
      <w:r>
        <w:rPr>
          <w:rFonts w:ascii="Cambria" w:cs="Cambria" w:eastAsia="Cambria" w:hAnsi="Cambria"/>
          <w:b w:val="false"/>
          <w:bCs w:val="false"/>
          <w:sz w:val="24"/>
          <w:szCs w:val="24"/>
        </w:rPr>
        <w:t xml:space="preserve">Seven of the removed records were flagged as ineligible during automated pre-screening (non-English sources and non-peer-reviewed material) and were excluded before the manual title and abstract screening.</w:t>
      </w:r>
    </w:p>
    <w:p>
      <w:pPr>
        <w:spacing w:after="140" w:line="300"/>
        <w:jc w:val="both"/>
      </w:pPr>
      <w:r>
        <w:rPr>
          <w:rFonts w:ascii="Cambria" w:cs="Cambria" w:eastAsia="Cambria" w:hAnsi="Cambria"/>
          <w:color w:val="000000"/>
          <w:sz w:val="24"/>
          <w:szCs w:val="24"/>
        </w:rPr>
        <w:t xml:space="preserve">In numerical terms, the database searches returned 125 records. Before screening, 35 duplicate records and the seven records flagged during automated pre-screening were removed, leaving 83 records for title and abstract screening. Of these, 40 records were excluded as unrelated to the review scope and 43 reports were sought for retrieval; three full texts were inaccessible, so 40 reports were assessed for eligibility. Seven reports were excluded at this stage, three for insufficient technical or architectural detail and four for scope mismatch with the consent and decentralised-identity focus of the review, and 33 studies were included in the final qualitative synthesis, exactly as reported in Figure 2.</w:t>
      </w:r>
    </w:p>
    <w:p>
      <w:pPr>
        <w:pStyle w:val="Heading3"/>
        <w:spacing w:after="160" w:before="280"/>
      </w:pPr>
      <w:r>
        <w:t xml:space="preserve">2.3.7  Data Extraction and Synthesis</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w:t>
      </w:r>
      <w:r>
        <w:rPr>
          <w:rFonts w:ascii="Cambria" w:cs="Cambria" w:eastAsia="Cambria" w:hAnsi="Cambria"/>
          <w:color w:val="000000"/>
          <w:sz w:val="24"/>
          <w:szCs w:val="24"/>
        </w:rPr>
        <w:t xml:space="preserve">organised</w:t>
      </w:r>
      <w:r>
        <w:rPr>
          <w:rFonts w:ascii="Cambria" w:cs="Cambria" w:eastAsia="Cambria" w:hAnsi="Cambria"/>
          <w:sz w:val="24"/>
          <w:szCs w:val="24"/>
        </w:rPr>
        <w:t xml:space="preserve"> into thematic categories corresponding to the research questions. These categories included consent specification and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credential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auditable access records, and mechanisms for preserving patient autonomy.</w:t>
      </w:r>
    </w:p>
    <w:p>
      <w:pPr>
        <w:spacing w:after="140" w:line="300"/>
        <w:jc w:val="both"/>
      </w:pPr>
      <w:r>
        <w:rPr>
          <w:rFonts w:ascii="Cambria" w:cs="Cambria" w:eastAsia="Cambria" w:hAnsi="Cambria"/>
          <w:color w:val="000000"/>
          <w:sz w:val="24"/>
          <w:szCs w:val="24"/>
        </w:rPr>
        <w:t xml:space="preserve">Each study assessed at the full-text stage was additionally evaluated against four predefined quality criteria: clarity of the research objective, adequacy of the methodological description, rigour of the reported evaluation or validation, and relevance of the evidence to the review questions. Studies that failed more than one criterion were excluded during the full-text assessment, so the quality assessment operated as part of the eligibility decision rather than as a separate scoring exercise.</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Heading3"/>
        <w:spacing w:after="160" w:before="280"/>
      </w:pPr>
      <w:r>
        <w:rPr>
          <w:color w:val="000000"/>
        </w:rPr>
        <w:t xml:space="preserve">2.3.8  Shortlisted Studies and Their Categorisation</w:t>
      </w:r>
    </w:p>
    <w:p>
      <w:pPr>
        <w:spacing w:after="140" w:line="300"/>
        <w:jc w:val="both"/>
      </w:pPr>
      <w:r>
        <w:rPr>
          <w:rFonts w:ascii="Cambria" w:cs="Cambria" w:eastAsia="Cambria" w:hAnsi="Cambria"/>
          <w:color w:val="000000"/>
          <w:sz w:val="24"/>
          <w:szCs w:val="24"/>
        </w:rPr>
        <w:t xml:space="preserve">Each of the 33 shortlisted studies was analysed according to its scope, topic, authors, year of publication and its contribution to the review questions. Based on this analysis, each study was assigned to one of six thematic categories: healthcare consent and data governance; blockchain-based data governance; decentralised identity and verifiable credentials; multi-party authorisation and collaborative governance; policy- and context-aware access control; and trusted computing and security assurance. The studies are listed in Table 2. In the remainder of this chapter, each study is referred to by the label Sn, where n is its number in the reference list, so that the reader can move between the tables, the text and the references without ambiguity. The studies in each category are reviewed in the next section, and their issues and limitations with respect to the key requirements defined in Section 2.2 are discussed.</w:t>
      </w:r>
    </w:p>
    <w:p>
      <w:pPr>
        <w:keepNext/>
        <w:spacing w:after="80" w:before="160"/>
        <w:jc w:val="center"/>
      </w:pPr>
      <w:r>
        <w:rPr>
          <w:rFonts w:ascii="Cambria" w:cs="Cambria" w:eastAsia="Cambria" w:hAnsi="Cambria"/>
          <w:b/>
          <w:bCs/>
          <w:color w:val="000000"/>
          <w:sz w:val="21"/>
          <w:szCs w:val="21"/>
        </w:rPr>
        <w:t xml:space="preserve">Table 2: </w:t>
      </w:r>
      <w:r>
        <w:rPr>
          <w:rFonts w:ascii="Cambria" w:cs="Cambria" w:eastAsia="Cambria" w:hAnsi="Cambria"/>
          <w:color w:val="000000"/>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300"/>
        <w:gridCol w:w="640"/>
        <w:gridCol w:w="3600"/>
        <w:gridCol w:w="2200"/>
      </w:tblGrid>
      <w:tr>
        <w:trPr>
          <w:tblHeader/>
        </w:trPr>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w:t>
            </w:r>
          </w:p>
        </w:tc>
        <w:tc>
          <w:tcPr>
            <w:tcW w:type="dxa" w:w="6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Date</w:t>
            </w:r>
          </w:p>
        </w:tc>
        <w:tc>
          <w:tcPr>
            <w:tcW w:type="dxa" w:w="3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Topic</w:t>
            </w:r>
          </w:p>
        </w:tc>
        <w:tc>
          <w:tcPr>
            <w:tcW w:type="dxa" w:w="22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Category</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Abdullah Al Mamun, Sami Azam, and Clementine Gritti [1]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electronic health records management: a comprehensive review and future research direction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J Andrew, Deva Priya Isravel, K Martin Sagayam, Bharat Bhushan, Yuichi Sei, and Jennifer Eunice [2]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 for healthcare systems: Architecture, security challenges, trends and future directions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Mohammad Salar Arbabi, Chhagan Lal, Narasimha Raghavan Veeraragavan, Dusica Marijan, Jan F Nygård, and Roman Vitenberg [3]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 survey on blockchain for healthcare: Challenges, benefits, and future directions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Haotian Deng, Jinwen Liang, Chuan Zhang, Ximeng Liu, Liehuang Zhu, and Song Guo [4]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FutureDID: A fully decentralized identity system with multi-party verification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Andrea Flamini, Giada Sciarretta, Mario Scuro, Amir Sharif, Alessandro Tomasi, and Silvio Ranise [5]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On cryptographic mechanisms for the selective disclosure of verifiable credentials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Abdul Ghafoor, Iraklis Symeonidis, Anna Rydberg, Cecilia Lindahl, and Abdul Qadus Abbasi [6]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Towards empowering stakeholders through decentralized trust and secure livestock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Authorisation and Collaborative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Pranto Kumar Ghosh, Arindom Chakraborty, Mehedi Hasan, Khalid Rashid, and Abdul Hasib Siddique [7]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 application in healthcare systems: a review</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Remy Hellstern, Daniel C Park, Victoria Lemieux, and Guldana Salimjan [8]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Leveraging blockchain-based archival solutions for sensitive documentation: A Xinjiang case study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Ateya Megahed Ibrahim, Hassanat Ramadan Abdel-Aziz, Heba Ali Hamed Mohamed, Donia Elsaid Fathi Zaghamir, Nadia Mohamed Ibrahim Wahba, Ghada A Hassan, Mostafa Shaban, Mohammad El-Nablaway, Ohoud Naif Aldughmi, and Taghreed Hussien Aboelola [9]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Balancing confidentiality and care coordination: challenges in patient privacy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Vitor Jesus and Harshvardhan J Pandit [10]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Consent receipts for a usable and auditable web of personal data</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Rong Jiang, Xue Chen, Yimin Yu, Ying Zhang, and Weiping Ding [11]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Risk and UCON-based access control model for healthcare big data</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Katya Kaplow, Max Downey, Darren Stewart, Allan B Massie, Jennifer D Motter, Lauren Taylor, John Massarelli, Taylor Matalon, Carolyn Sidoti, Macey L Levan, et al [12]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Data professionals’ attitudes on data privacy, sharing, and consent in healthcare and research</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Muhammad Irfan Khalid, Mansoor Ahmed, Markus Helfert, and Jungsuk Kim [13]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Privacy-first paradigm for dynamic consent management systems: empowering data subjects through decentralized data controllers and privacy-preserving techniques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Alexander Kharlamov, Roland Hohmann, and Glenn Parry [14]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Data sharing decisions: perceptions and intentions in healthcare</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Behnam Khayer, Siamak Mirzaei, Hooman Alavizadeh, and Ahmad Salehi Shahraki [15]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 for secure IoT: A review of identity management, access control, and trust mechanisms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Chalima Dimitra Nassar Kyriakidou, Athanasia Maria Papathanasiou, and George C Polyzos [16]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Decentralized identity with applications to security and privacy for the internet of things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Lanlan Li, Charles Z Liu, Kejia Huang, Ruiyi Deng, Majed Abdullah Alrowaily, Mansoor Alghamdi, Ibrahim S Alkhazi, and Malek Alrashidi [17]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2026</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Trust-aware environmental state consensus for smart agriculture with TEE-enabled sensing and Byzantine-resilient blockchain coordination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Trusted Computing and Security Assurance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Lanlan Li, Charles Z Liu, and Sanjeeb Shrestha [18]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2026</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Analytical entropy approach for measuring blockchain immutability and tamper-resilient trust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Trusted Computing and Security Assurance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Richard K Lomotey, Sandra Kumi, and Ralph Deters [19]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Data trusts as a service: Providing a platform for multi-party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Authorisation and Collaborative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Carlo Mazzocca, Abbas Acar, Selcuk Uluagac, Rebecca Montanari, Paolo Bellavista, and Mauro Conti [20]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 survey on decentralized identifiers and verifiable credentials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Cindy Welzel, Max Ostermann, Hannah Louise Smith, Timo Minssen, Toralf Kirsten, and Stephen Gilbert [21]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Enabling secure and self determined health data sharing and consent management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Roy McClelland and Colin M Harper [22]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Information privacy in healthcare—the vital role of informed consent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Jämes Ménétrey, Christian Göttel, Anum Khurshid, Marcelo Pasin, Pascal Felber, Valerio Schiavoni, and Shahid Raza [23]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Attestation mechanisms for trusted execution environments demystified</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Trusted Computing and Security Assurance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Minal R Narkhede, Nilesh I Wankhede, and Akanksha M Kamble [24]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Enhancing patient autonomy in data ownership: privacy models and consent frameworks for healthcare</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Aleena Nazir, Mubashir Husain Rehmani, Bernard Butler, and Donna O’Shea [25]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2026</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Access control in healthcare IoT: A comprehensive survey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Thanh Linh Nguyen, Lam Nguyen, Thong Hoang, Dilum Bandara, Qin Wang, Qinghua Lu, Xiwei Xu, Liming Zhu, and Shiping Chen [26]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Blockchain-empowered trustworthy data sharing: Fundamentals, applications, and challenges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Rohini Poolat Parameswarath, Prosanta Gope, and Biplab Sikdar [27]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User-empowered privacy-preserving authentication protocol for electric vehicle charging based on decentralized identity and verifiable credential</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Ahmed M Tawfik, Ayman Al-Ahwal, Adly S Tag Eldien, and Hala H Zayed [28]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access control and privacy preservation in healthcare: a comprehensive survey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Leonidas Theodorakopoulos, Alexandra Theodoropoulou, and Constantinos Halkiopoulos [29]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Enhancing decentralized decision-making with big data and blockchain technology: A comprehensive review</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Authorisation and Collaborative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Mohammad Nawab Turan, Irshad Ahmed Hashimzai, and Mohammad Qaseem Qiam [30]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 blockchain-based framework for secure and transparent environmental data sharing in smart cities: Enhancing trust, integrity, and interoperability in urban sustainability systems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Emily C Webber, David Brick, James P Scibilia, Peter Dehnel, Council on Clinical Information Technology, et al [31]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2019</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Electronic communication of the health record and information with pediatric patients and their guardians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Hongjian Yin, Yiming Zhao, Lei Zhang, Baojun Qiao, Wenbo Chen, and Huaqing Wang [32]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Attribute-based searchable encryption with decentralized key management for healthcare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Jie Yin, Yang Xiao, Qian Chen, Xuefeng Liu, Qingqi Pei, Jianying Zhou, et al [33]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DP-DID: A dynamic and proactive decentralized identity system</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bl>
    <w:p>
      <w:pPr>
        <w:spacing w:after="180"/>
      </w:pPr>
    </w:p>
    <w:p>
      <w:pPr>
        <w:keepNext/>
        <w:spacing w:after="60" w:before="140"/>
        <w:jc w:val="center"/>
      </w:pPr>
      <w:r>
        <w:drawing>
          <wp:inline distT="0" distB="0" distL="0" distR="0">
            <wp:extent cx="5715000" cy="2114550"/>
            <wp:effectExtent t="0" r="0" b="0" l="0"/>
            <wp:docPr id="1" name="gfig2a.png" descr="Figure 3: Profile of the 33 included studies: distribution by publication year and by review stream. The single 2019 study is the foundational source [31] retained outside the systematic search window; a study may contribute to more than one stream." title="Figure 3: Profile of the 33 included studies: distribution by publication year and by review stream. The single 2019 study is the foundational source [31] retained outside the systematic search window; a study may contribute to more than one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14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33 included studies: distribution by publication year and by review stream. The single 2019 study is the foundational source [31] retained outside the systematic search window; a study may contribute to more than one stream.</w:t>
      </w:r>
    </w:p>
    <w:p>
      <w:pPr>
        <w:pStyle w:val="Heading2"/>
        <w:spacing w:after="160" w:before="280"/>
      </w:pPr>
      <w:r>
        <w:t xml:space="preserve">2.4  Review</w:t>
      </w:r>
    </w:p>
    <w:p>
      <w:pPr>
        <w:spacing w:after="140" w:line="300"/>
        <w:jc w:val="both"/>
      </w:pPr>
      <w:r>
        <w:rPr>
          <w:rFonts w:ascii="Cambria" w:cs="Cambria" w:eastAsia="Cambria" w:hAnsi="Cambria"/>
          <w:color w:val="000000"/>
          <w:sz w:val="24"/>
          <w:szCs w:val="24"/>
        </w:rPr>
        <w:t xml:space="preserve">The thematic sections that follow (Sections 2.4.1–2.4.6), together with the comparative analysis in Section 2.4.7, address the review questions as follows. Review question 1 is addressed principally in Sections 2.4.2 and 2.4.4; review question 2 in Sections 2.4.1 and 2.4.5; review question 3 in Section 2.4.3; review question 4 in Sections 2.4.2 and 2.4.5, with its selective-disclosure dimension addressed in Section 2.4.3; and review question 5 is synthesised in Sections 2.4.7 and 2.5, where it motivates the research gap. The lifecycle and evaluation questions 6 and 7 are addressed in Sections 2.4.1 and 2.4.6 respectively.</w:t>
      </w:r>
      <w:r>
        <w:rPr>
          <w:rFonts w:ascii="Cambria" w:cs="Cambria" w:eastAsia="Cambria" w:hAnsi="Cambria"/>
          <w:sz w:val="24"/>
          <w:szCs w:val="24"/>
        </w:rPr>
        <w:t xml:space="preserve"> </w:t>
      </w:r>
      <w:r>
        <w:rPr>
          <w:rFonts w:ascii="Cambria" w:cs="Cambria" w:eastAsia="Cambria" w:hAnsi="Cambria"/>
          <w:color w:val="000000"/>
          <w:sz w:val="24"/>
          <w:szCs w:val="24"/>
        </w:rPr>
        <w:t xml:space="preserve">At the end of each stream, a table summarises the reviewed studies, their issues and limitations, and their commitment to the six key requirements defined in Section 2.2 (Tables 3 to 8).</w:t>
      </w:r>
    </w:p>
    <w:p>
      <w:pPr>
        <w:spacing w:after="140" w:line="300"/>
        <w:jc w:val="both"/>
      </w:pPr>
      <w:r>
        <w:rPr>
          <w:rFonts w:ascii="Cambria" w:cs="Cambria" w:eastAsia="Cambria" w:hAnsi="Cambria"/>
          <w:color w:val="000000"/>
          <w:sz w:val="24"/>
          <w:szCs w:val="24"/>
        </w:rPr>
        <w:t xml:space="preserve">Consistent with the scope established in Section 2.1, the following subsections examine each research stream in turn: healthcare consent governance, blockchain-based data governance, decentralised identity and verifiable credentials, multi-party authorisation, policy-based and context-aware access control, and Trusted Computing. Each subsection evaluates how the reviewed approaches contribute to the conditions required for a trustworthy authorisation decision and identifies the limitations that motivate the proposed framework.</w:t>
      </w:r>
    </w:p>
    <w:p>
      <w:pPr>
        <w:keepNext/>
        <w:spacing w:after="60" w:before="140"/>
        <w:jc w:val="center"/>
      </w:pPr>
      <w:r>
        <w:drawing>
          <wp:inline distT="0" distB="0" distL="0" distR="0">
            <wp:extent cx="5334000" cy="4276725"/>
            <wp:effectExtent t="0" r="0" b="0" l="0"/>
            <wp:docPr id="1" name="gfig2b.png" descr="Figure 4: Correspondence between the seven review questions of Section 2.3.2 and the sections of the review in which they are addressed, ending in the research gap carried into Chapter 3." title="Figure 4: Correspondence between the seven review questions of Section 2.3.2 and the sections of the review in which they are addressed, ending in the research gap carried into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276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2.3.2 and the sections of the review in which they are addressed, ending in the research gap carried into Chapter 3.</w:t>
      </w:r>
    </w:p>
    <w:p>
      <w:pPr>
        <w:pStyle w:val="Heading3"/>
        <w:spacing w:after="160" w:before="280"/>
      </w:pPr>
      <w:r>
        <w:t xml:space="preserve">2.4.1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w:t>
      </w:r>
      <w:r>
        <w:rPr>
          <w:rFonts w:ascii="Cambria" w:cs="Cambria" w:eastAsia="Cambria" w:hAnsi="Cambria"/>
          <w:color w:val="000000"/>
          <w:sz w:val="24"/>
          <w:szCs w:val="24"/>
        </w:rPr>
        <w:t xml:space="preserve">are</w:t>
      </w:r>
      <w:r>
        <w:rPr>
          <w:rFonts w:ascii="Cambria" w:cs="Cambria" w:eastAsia="Cambria" w:hAnsi="Cambria"/>
          <w:sz w:val="24"/>
          <w:szCs w:val="24"/>
        </w:rPr>
        <w:t xml:space="preserve">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[13]</w:t>
      </w:r>
      <w:r>
        <w:rPr>
          <w:rFonts w:ascii="Cambria" w:cs="Cambria" w:eastAsia="Cambria" w:hAnsi="Cambria"/>
          <w:sz w:val="24"/>
          <w:szCs w:val="24"/>
        </w:rPr>
        <w:t xml:space="preserve">.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spacing w:after="140" w:line="300"/>
        <w:jc w:val="both"/>
      </w:pPr>
      <w:r>
        <w:rPr>
          <w:rFonts w:ascii="Cambria" w:cs="Cambria" w:eastAsia="Cambria" w:hAnsi="Cambria"/>
          <w:color w:val="000000"/>
          <w:sz w:val="24"/>
          <w:szCs w:val="24"/>
        </w:rPr>
        <w:t xml:space="preserve">Within this stream, </w:t>
      </w:r>
      <w:r>
        <w:rPr>
          <w:rFonts w:ascii="Cambria" w:cs="Cambria" w:eastAsia="Cambria" w:hAnsi="Cambria"/>
          <w:color w:val="000000"/>
          <w:sz w:val="24"/>
          <w:szCs w:val="24"/>
        </w:rPr>
        <w:t xml:space="preserve">dynamic-consent research [13] recognises that a patient's preferences change over time, and consent receipts [10] provide evidence of how consent was obtained</w:t>
      </w:r>
      <w:r>
        <w:rPr>
          <w:rFonts w:ascii="Cambria" w:cs="Cambria" w:eastAsia="Cambria" w:hAnsi="Cambria"/>
          <w:color w:val="000000"/>
          <w:sz w:val="24"/>
          <w:szCs w:val="24"/>
        </w:rPr>
        <w:t xml:space="preserve">; however, the reviewed systems provide limited support for treating expiration, revocation, and consent state transitions as first-class and independently verifiable authorisation conditions after consent has been granted. This limitation motivates the lifecycle dimension examined by review question 6.</w:t>
      </w:r>
    </w:p>
    <w:p>
      <w:pPr>
        <w:spacing w:after="140" w:line="300"/>
        <w:jc w:val="both"/>
      </w:pPr>
      <w:r>
        <w:rPr>
          <w:rFonts w:ascii="Cambria" w:cs="Cambria" w:eastAsia="Cambria" w:hAnsi="Cambria"/>
          <w:color w:val="000000"/>
          <w:sz w:val="24"/>
          <w:szCs w:val="24"/>
        </w:rPr>
        <w:t xml:space="preserve">Table 3 presents a summary of the studies that fall under the healthcare consent and data governance category and their commitment to the key requirements defined in Section 2.2.</w:t>
      </w:r>
    </w:p>
    <w:p>
      <w:pPr>
        <w:keepNext/>
        <w:spacing w:after="80" w:before="160"/>
        <w:jc w:val="center"/>
      </w:pPr>
      <w:r>
        <w:rPr>
          <w:rFonts w:ascii="Cambria" w:cs="Cambria" w:eastAsia="Cambria" w:hAnsi="Cambria"/>
          <w:b/>
          <w:bCs/>
          <w:color w:val="000000"/>
          <w:sz w:val="21"/>
          <w:szCs w:val="21"/>
        </w:rPr>
        <w:t xml:space="preserve">Table 3: </w:t>
      </w:r>
      <w:r>
        <w:rPr>
          <w:rFonts w:ascii="Cambria" w:cs="Cambria" w:eastAsia="Cambria" w:hAnsi="Cambria"/>
          <w:color w:val="000000"/>
          <w:sz w:val="21"/>
          <w:szCs w:val="21"/>
        </w:rPr>
        <w:t xml:space="preserve">Descriptions, issues and limitations of existing studies on healthcare consent and data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40"/>
        <w:gridCol w:w="2480"/>
        <w:gridCol w:w="620"/>
        <w:gridCol w:w="620"/>
        <w:gridCol w:w="620"/>
        <w:gridCol w:w="620"/>
        <w:gridCol w:w="620"/>
        <w:gridCol w:w="62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cross-sectional study surveys 150 nurses in an Egyptian general hospital, using HIPAA, privacy-impact, data-sharing-agreement and EHR security instruments, to identify challenges and strategies in balancing patient confidentiality with care coordination.</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an empirical nursing survey without a technical mechanism; it does not address consent representation, identity verification, multi-party authorisation, access-control policy or verifiable audit.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propose consent receipts, records of consent interactions that individuals and organisations retain and later use as proof, to support legal compliance, usability, transparency and accountability in online consent for personal data.</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Consent is captured as a receipt or record of interaction rather than as an evaluable authorisation object, and the approach is web-focused, without decentralised identity, multi-party approval or access-time policy enforcement.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report a 43-item online survey of United States professionals who work with health data, examining their trust in different sectors and their views on consent, control and privacy standards for health data use.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descriptive and attitudinal; it proposes no consent model, identity mechanism or access-control design, so none of the technical requirements is addressed, although respondents' preference for use-specific consent motivates purpose-bound authorisation.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examines existing blockchain-based dynamic consent management systems, identifies the privacy risk of storing consent in plaintext on-chain, and proposes a model with a decentralised data controller and encrypted consent handled through privacy-preserving techniques.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Consent is treated as encrypted data to be protected rather than as an evaluable authorisation object; the model does not provide decentralised identity, multi-party approval or purpose-aware policy evaluation, and remains largely conceptual.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develop and apply a measurement scale to explain individuals' intention to share healthcare data in the UK National Health Service context, using survey data from 129 respondents.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models behavioural intention (perceived information risk and societal benefit) and offers no technical mechanism for consent representation, identity, authorisation or auditability; its small survey measures intention rather than actual behaviour.</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present an early-stage conceptual framework that reviews blockchain, self-sovereign identity with decentralised identifiers, and de-identified tokens for integration into a consent management system that tracks consent and the use of personally generated health data.</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framework is conceptual and unevaluated; it tracks consent and data use but does not model consent as an evaluable authorisation object, support multi-party approval, or specify enforcement of validity and revocation.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analyse the legal and ethical bases for using and disclosing patient information in Europe, contrasting the GDPR's explicit consent with implied consent under common law and professional ethics for direct care, other healthcare purposes and uses outside healthcare.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a legal-ethical analysis with no technical design; it clarifies purpose-dependent consent requirements but does not provide mechanisms for representing, enforcing or auditing consent.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review examines the ethical, legal and technological aspects of patient data ownership, comparing private, public and hybrid privacy models and dynamic and granular consent frameworks, with reference to My Health Record and Estonia's e-Health system.</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a narrative review that discusses dynamic consent conceptually but proposes no formal consent model, decentralised identity mechanism, multi-party approval or verifiable audit design.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American Academy of Pediatrics policy statement examines electronic access to health records by paediatric and adolescent patients and their guardians, identifying inconsistent age thresholds, limited proxy and filtering support in EHRs, and conflicting laws.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statement offers policy recommendations, not a technical mechanism. It identifies the need to filter proxy access and to balance adolescent and guardian rights but proposes no system for doing so.</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spacing w:after="140" w:line="300"/>
        <w:jc w:val="both"/>
      </w:pPr>
      <w:r>
        <w:rPr>
          <w:rFonts w:ascii="Cambria" w:cs="Cambria" w:eastAsia="Cambria" w:hAnsi="Cambria"/>
          <w:color w:val="000000"/>
          <w:sz w:val="24"/>
          <w:szCs w:val="24"/>
        </w:rPr>
        <w:t xml:space="preserve">Table 4 presents a summary of the studies that come under the blockchain category and their commitment to the key requirements.</w:t>
      </w:r>
    </w:p>
    <w:p>
      <w:pPr>
        <w:keepNext/>
        <w:spacing w:after="80" w:before="160"/>
        <w:jc w:val="center"/>
      </w:pPr>
      <w:r>
        <w:rPr>
          <w:rFonts w:ascii="Cambria" w:cs="Cambria" w:eastAsia="Cambria" w:hAnsi="Cambria"/>
          <w:b/>
          <w:bCs/>
          <w:color w:val="000000"/>
          <w:sz w:val="21"/>
          <w:szCs w:val="21"/>
        </w:rPr>
        <w:t xml:space="preserve">Table 4: </w:t>
      </w:r>
      <w:r>
        <w:rPr>
          <w:rFonts w:ascii="Cambria" w:cs="Cambria" w:eastAsia="Cambria" w:hAnsi="Cambria"/>
          <w:color w:val="000000"/>
          <w:sz w:val="21"/>
          <w:szCs w:val="21"/>
        </w:rPr>
        <w:t xml:space="preserve">Descriptions, issues and limitations of existing studies on blockchain-based consent and data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40"/>
        <w:gridCol w:w="2480"/>
        <w:gridCol w:w="620"/>
        <w:gridCol w:w="620"/>
        <w:gridCol w:w="620"/>
        <w:gridCol w:w="620"/>
        <w:gridCol w:w="620"/>
        <w:gridCol w:w="62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systematic review examines blockchain-based electronic health record management, comparing prior studies on privacy, security, scalability, accessibility, cost, consensus algorithms and blockchain type, and outlines directions for future EHR systems.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As a review centred on EHR storage and platform choice, it does not model consent as an evaluable authorisation object, nor address decentralised identity, multi-party approval, purpose-bound access or consent lifecycle.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survey blockchain technology for healthcare from application and technical perspectives, discussing architecture, regulatory constraints such as HIPAA, authentication, interoperability and record-sharing requirements, and open challenges in scalability, security and privacy.</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treats blockchain as a general integrity and trust layer; it does not define structured consent, threshold approval, consent-bound policy evaluation or post-grant revocation mechanisms.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survey reviews blockchain-based healthcare solutions and proposes a classification framework covering interactions between healthcare entities, functional components of health data storage systems, domain challenges that blockchain can address, and benefits derived from its features.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classifies existing systems rather than proposing a mechanism; consent representation, credential-based authority, multi-party authorisation and consent lifecycle enforcement are not examined as distinct requirements.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review 144 articles on blockchain applications in healthcare, discussing the potential and limits of the technology for electronic health record systems and healthcare operations, and identifying difficulties and areas for future research.</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review offers a broad overview of blockchain uses and challenges but does not examine consent structure, decentralised identity, multi-party authorisation, purpose-aware access control or consent lifecycle.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exploratory study surveys literature on decentralised storage and archival science and examines how NGOs and academic groups use distributed ledger tools, such as Starling Lab, to preserve sensitive human-rights documentation relating to Xinjiang.</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concerns archival integrity for human-rights records; it does not address consent, identity, access authorisation or healthcare data, and offers no security evaluation of the systems discussed.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survey examines blockchain-based data-sharing architectures, discusses provenance, privacy and consent-management issues in existing platforms, proposes a reference architecture, and reviews applications in healthcare, smart grid, transportation and decarbonisation.</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is domain-general and architectural. Consent management is named as an open issue rather than modelled, and multi-party threshold approval and identity-authority separation are not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systematic literature review analyses 23 papers published between 2019 and 2025 on how blockchain frameworks support secure, transparent and interoperable sharing of environmental data in smart cities.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concerns urban environmental data rather than personal health data, and considers blockchain integrity and transparency only; consent, identity, multi-party authorisation and access policy are outside its scope.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2.4.3  Decentralised Identity and Verifiable Credentials</w:t>
      </w:r>
    </w:p>
    <w:p>
      <w:pPr>
        <w:spacing w:after="140" w:line="300"/>
        <w:jc w:val="both"/>
      </w:pPr>
      <w:r>
        <w:rPr>
          <w:rFonts w:ascii="Cambria" w:cs="Cambria" w:eastAsia="Cambria" w:hAnsi="Cambria"/>
          <w:color w:val="000000"/>
          <w:sz w:val="24"/>
          <w:szCs w:val="24"/>
        </w:rPr>
        <w:t xml:space="preserve">Decentralised Identifiers (DIDs)</w:t>
      </w:r>
      <w:r>
        <w:rPr>
          <w:rFonts w:ascii="Cambria" w:cs="Cambria" w:eastAsia="Cambria" w:hAnsi="Cambria"/>
          <w:sz w:val="24"/>
          <w:szCs w:val="24"/>
        </w:rPr>
        <w:t xml:space="preserve">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w:t>
      </w:r>
      <w:r>
        <w:rPr>
          <w:rFonts w:ascii="Cambria" w:cs="Cambria" w:eastAsia="Cambria" w:hAnsi="Cambria"/>
          <w:color w:val="000000"/>
          <w:sz w:val="24"/>
          <w:szCs w:val="24"/>
        </w:rPr>
        <w:t xml:space="preserve">[5]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spacing w:after="140" w:line="300"/>
        <w:jc w:val="both"/>
      </w:pPr>
      <w:r>
        <w:rPr>
          <w:rFonts w:ascii="Cambria" w:cs="Cambria" w:eastAsia="Cambria" w:hAnsi="Cambria"/>
          <w:b w:val="false"/>
          <w:bCs w:val="false"/>
          <w:sz w:val="24"/>
          <w:szCs w:val="24"/>
        </w:rPr>
        <w:t xml:space="preserve">Recent reviews of blockchain-based identity management further consolidate this stream, surveying identity management, access control and trust mechanisms for connected environments and </w:t>
      </w:r>
      <w:r>
        <w:rPr>
          <w:rFonts w:ascii="Cambria" w:cs="Cambria" w:eastAsia="Cambria" w:hAnsi="Cambria"/>
          <w:b w:val="false"/>
          <w:bCs w:val="false"/>
          <w:color w:val="000000"/>
          <w:sz w:val="24"/>
          <w:szCs w:val="24"/>
        </w:rPr>
        <w:t xml:space="preserve">identifying the open challenges that remain for DID- and VC-based designs</w:t>
      </w:r>
      <w:r>
        <w:rPr>
          <w:rFonts w:ascii="Cambria" w:cs="Cambria" w:eastAsia="Cambria" w:hAnsi="Cambria"/>
          <w:b w:val="false"/>
          <w:bCs w:val="false"/>
          <w:sz w:val="24"/>
          <w:szCs w:val="24"/>
        </w:rPr>
        <w:t xml:space="preserve"> [15].</w:t>
      </w:r>
    </w:p>
    <w:p>
      <w:pPr>
        <w:spacing w:after="140" w:line="300"/>
        <w:jc w:val="both"/>
      </w:pPr>
      <w:r>
        <w:rPr>
          <w:rFonts w:ascii="Cambria" w:cs="Cambria" w:eastAsia="Cambria" w:hAnsi="Cambria"/>
          <w:color w:val="000000"/>
          <w:sz w:val="24"/>
          <w:szCs w:val="24"/>
        </w:rPr>
        <w:t xml:space="preserve">Table 5 presents a summary of the decentralised identity and verifiable credential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5: </w:t>
      </w:r>
      <w:r>
        <w:rPr>
          <w:rFonts w:ascii="Cambria" w:cs="Cambria" w:eastAsia="Cambria" w:hAnsi="Cambria"/>
          <w:color w:val="000000"/>
          <w:sz w:val="21"/>
          <w:szCs w:val="21"/>
        </w:rPr>
        <w:t xml:space="preserve">Descriptions, issues and limitations of existing studies on decentralised identity and verifiable credentials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40"/>
        <w:gridCol w:w="2480"/>
        <w:gridCol w:w="620"/>
        <w:gridCol w:w="620"/>
        <w:gridCol w:w="620"/>
        <w:gridCol w:w="620"/>
        <w:gridCol w:w="620"/>
        <w:gridCol w:w="62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FutureDID, a decentralised identity system in which committees jointly issue credentials using distributed key generation, removing single points of failure, and which supports efficient revocation of DID identities.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verification applies to credential issuance rather than to authorising data access, and the system does not represent consent, evaluate purpose or data scope, or target healthcare settings.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compare cryptographic mechanisms for selective disclosure of verifiable credential attributes, grouping them into hash-commitment and zero-knowledge-proof approaches, and assess standardisation maturity, cryptographic agility, quantum safety, and credential size and performance.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concentrates on privacy-preserving credential presentation; it does not link credentials to consent, access policy, multi-party approval or healthcare authorisation decisions.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narrative review surveys blockchain-based decentralised identity management, smart-contract access control, trust and reputation mechanisms, and privacy-preserving cryptographic tools for large-scale Internet of Things deployments, and outlines open challenges.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review is oriented to device-level IoT identity and trust rather than patient consent; it does not address consent representation, multi-party approval or consent lifecycle, and reports unresolved scalability, regulatory and interoperability issues.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examine self-sovereign identity, decentralised identifiers and verifiable credentials, review systems that apply these components to authentication, authorisation and access control in IoT environments, and discuss the associated benefits and challenges.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addresses identity and credential management for IoT devices and users; it does not model consent, collective approval or context-aware policy evaluation, and lifecycle concerns are limited to credential revocation.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survey provides background on W3C decentralised identifiers and verifiable credentials, analyses available implementations, reviews their use across application domains beyond self-sovereign identity, and discusses regulations, adoption challenges and research directions.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As a general survey of identity technologies, it does not address how identity and credentials combine with consent semantics, collective authorisation or purpose-aware policy enforcement in healthcare.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a privacy-aware authenticated key exchange protocol for electric vehicle charging in which users hold DIDs and present verifiable credentials, allowing charging providers to authenticate legitimate users while the users remain anonymous.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protocol serves a single-user, single-verifier charging setting outside healthcare. It does not model consent, collective authorisation, purpose-bound policy evaluation or revocation of granted permissions.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DP-DID, a decentralised identity system based on blockchain, DIDs and verifiable credentials that uses dynamic, proactively refreshed threshold committees for identity services so that it resists mobile adversaries who gradually compromise nodes.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threshold committees protect identity infrastructure such as key management and credential issuance, not authorisation of data access. Consent, purpose-bound access policy and healthcare stakeholders are not considered.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w:t>
      </w:r>
      <w:r>
        <w:rPr>
          <w:rFonts w:ascii="Cambria" w:cs="Cambria" w:eastAsia="Cambria" w:hAnsi="Cambria"/>
          <w:color w:val="000000"/>
          <w:sz w:val="24"/>
          <w:szCs w:val="24"/>
        </w:rPr>
        <w:t xml:space="preserve">[21, 31]</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spacing w:after="140" w:line="300"/>
        <w:jc w:val="both"/>
      </w:pPr>
      <w:r>
        <w:rPr>
          <w:rFonts w:ascii="Cambria" w:cs="Cambria" w:eastAsia="Cambria" w:hAnsi="Cambria"/>
          <w:b w:val="false"/>
          <w:bCs w:val="false"/>
          <w:sz w:val="24"/>
          <w:szCs w:val="24"/>
        </w:rPr>
        <w:t xml:space="preserve">Beyond healthcare, decentralised trust mechanisms have also been applied to empower independent stakeholders in cross-organisational data sharing, </w:t>
      </w:r>
      <w:r>
        <w:rPr>
          <w:rFonts w:ascii="Cambria" w:cs="Cambria" w:eastAsia="Cambria" w:hAnsi="Cambria"/>
          <w:b w:val="false"/>
          <w:bCs w:val="false"/>
          <w:color w:val="000000"/>
          <w:sz w:val="24"/>
          <w:szCs w:val="24"/>
        </w:rPr>
        <w:t xml:space="preserve">illustrating that decentralised trust mechanisms for multi-stakeholder data sharing are not specific to healthcare</w:t>
      </w:r>
      <w:r>
        <w:rPr>
          <w:rFonts w:ascii="Cambria" w:cs="Cambria" w:eastAsia="Cambria" w:hAnsi="Cambria"/>
          <w:b w:val="false"/>
          <w:bCs w:val="false"/>
          <w:sz w:val="24"/>
          <w:szCs w:val="24"/>
        </w:rPr>
        <w:t xml:space="preserve"> [6].</w:t>
      </w:r>
    </w:p>
    <w:p>
      <w:pPr>
        <w:spacing w:after="140" w:line="300"/>
        <w:jc w:val="both"/>
      </w:pPr>
      <w:r>
        <w:rPr>
          <w:rFonts w:ascii="Cambria" w:cs="Cambria" w:eastAsia="Cambria" w:hAnsi="Cambria"/>
          <w:color w:val="000000"/>
          <w:sz w:val="24"/>
          <w:szCs w:val="24"/>
        </w:rPr>
        <w:t xml:space="preserve">Where the reviewed systems support multiple approvers, approval is typically </w:t>
      </w:r>
      <w:r>
        <w:rPr>
          <w:rFonts w:ascii="Cambria" w:cs="Cambria" w:eastAsia="Cambria" w:hAnsi="Cambria"/>
          <w:color w:val="000000"/>
          <w:sz w:val="24"/>
          <w:szCs w:val="24"/>
        </w:rPr>
        <w:t xml:space="preserve">realised through platform governance or data-subject policies [19]</w:t>
      </w:r>
      <w:r>
        <w:rPr>
          <w:rFonts w:ascii="Cambria" w:cs="Cambria" w:eastAsia="Cambria" w:hAnsi="Cambria"/>
          <w:color w:val="000000"/>
          <w:sz w:val="24"/>
          <w:szCs w:val="24"/>
        </w:rPr>
        <w:t xml:space="preserve"> rather than represented as a verifiable threshold condition bound to the consent object itself. It is this representational absence, rather than the absence of multi-party mechanisms as such, that the proposed framework addresses.</w:t>
      </w:r>
    </w:p>
    <w:p>
      <w:pPr>
        <w:spacing w:after="140" w:line="300"/>
        <w:jc w:val="both"/>
      </w:pPr>
      <w:r>
        <w:rPr>
          <w:rFonts w:ascii="Cambria" w:cs="Cambria" w:eastAsia="Cambria" w:hAnsi="Cambria"/>
          <w:color w:val="000000"/>
          <w:sz w:val="24"/>
          <w:szCs w:val="24"/>
        </w:rPr>
        <w:t xml:space="preserve">Table 6 presents a summary of the studies on multi-party authorisation and collaborative governance and their commitment to the key requirements.</w:t>
      </w:r>
    </w:p>
    <w:p>
      <w:pPr>
        <w:keepNext/>
        <w:spacing w:after="80" w:before="160"/>
        <w:jc w:val="center"/>
      </w:pPr>
      <w:r>
        <w:rPr>
          <w:rFonts w:ascii="Cambria" w:cs="Cambria" w:eastAsia="Cambria" w:hAnsi="Cambria"/>
          <w:b/>
          <w:bCs/>
          <w:color w:val="000000"/>
          <w:sz w:val="21"/>
          <w:szCs w:val="21"/>
        </w:rPr>
        <w:t xml:space="preserve">Table 6: </w:t>
      </w:r>
      <w:r>
        <w:rPr>
          <w:rFonts w:ascii="Cambria" w:cs="Cambria" w:eastAsia="Cambria" w:hAnsi="Cambria"/>
          <w:color w:val="000000"/>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40"/>
        <w:gridCol w:w="2480"/>
        <w:gridCol w:w="620"/>
        <w:gridCol w:w="620"/>
        <w:gridCol w:w="620"/>
        <w:gridCol w:w="620"/>
        <w:gridCol w:w="620"/>
        <w:gridCol w:w="62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presents FLEX, a framework for secure data exchange among livestock supply-chain stakeholders that combines distributed ledger protocols, cryptographic protection and a web-based digital wallet supporting data sovereignty and consent management.</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framework serves agricultural supply chains; although it involves several stakeholders and consent management, it does not define threshold-based approval, purpose-bound policy evaluation or consent revocation for sensitive health data.</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Data Trusts as a Service, a cloud platform for multi-partner data sharing in which data subjects track where their data are and control who may access them and for what use through policies, with blockchain recording provenance.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Control rests with the data subject and custodians under policies or contracts; the platform does not provide threshold or collective approval, decentralised identity, or consent expiry and revocation, and relies on a cloud service.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review examines how big data, blockchain and distributed systems together support decentralised decision-making across industries, discussing security, transparency and real-time analysis through case studies including Estonia's healthcare system, IBM Food Trust and the Brooklyn Microgrid.</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review addresses organisational decision-making in general. It does not describe multi-party approval of access requests, threshold authorisation, consent representation or healthcare access policy.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spacing w:after="140" w:line="300"/>
        <w:jc w:val="both"/>
      </w:pPr>
      <w:r>
        <w:rPr>
          <w:rFonts w:ascii="Cambria" w:cs="Cambria" w:eastAsia="Cambria" w:hAnsi="Cambria"/>
          <w:color w:val="000000"/>
          <w:sz w:val="24"/>
          <w:szCs w:val="24"/>
        </w:rPr>
        <w:t xml:space="preserve">Across the reviewed access-control approaches </w:t>
      </w:r>
      <w:r>
        <w:rPr>
          <w:rFonts w:ascii="Cambria" w:cs="Cambria" w:eastAsia="Cambria" w:hAnsi="Cambria"/>
          <w:color w:val="000000"/>
          <w:sz w:val="24"/>
          <w:szCs w:val="24"/>
        </w:rPr>
        <w:t xml:space="preserve">[32, 11, 28], policy evaluation</w:t>
      </w:r>
      <w:r>
        <w:rPr>
          <w:rFonts w:ascii="Cambria" w:cs="Cambria" w:eastAsia="Cambria" w:hAnsi="Cambria"/>
          <w:color w:val="000000"/>
          <w:sz w:val="24"/>
          <w:szCs w:val="24"/>
        </w:rPr>
        <w:t xml:space="preserve"> is bound primarily to the requester's roles, attributes, or risk context rather than to the purpose and data scope authorised by the patient's consent. It is this missing relationship between the evaluated policy and the consent object itself that the proposed framework formalises.</w:t>
      </w:r>
    </w:p>
    <w:p>
      <w:pPr>
        <w:spacing w:after="140" w:line="300"/>
        <w:jc w:val="both"/>
      </w:pPr>
      <w:r>
        <w:rPr>
          <w:rFonts w:ascii="Cambria" w:cs="Cambria" w:eastAsia="Cambria" w:hAnsi="Cambria"/>
          <w:color w:val="000000"/>
          <w:sz w:val="24"/>
          <w:szCs w:val="24"/>
        </w:rPr>
        <w:t xml:space="preserve">Table 7 presents a summary of the access-control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7: </w:t>
      </w:r>
      <w:r>
        <w:rPr>
          <w:rFonts w:ascii="Cambria" w:cs="Cambria" w:eastAsia="Cambria" w:hAnsi="Cambria"/>
          <w:color w:val="000000"/>
          <w:sz w:val="21"/>
          <w:szCs w:val="21"/>
        </w:rPr>
        <w:t xml:space="preserve">Descriptions, issues and limitations of existing studies on policy-based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40"/>
        <w:gridCol w:w="2480"/>
        <w:gridCol w:w="620"/>
        <w:gridCol w:w="620"/>
        <w:gridCol w:w="620"/>
        <w:gridCol w:w="620"/>
        <w:gridCol w:w="620"/>
        <w:gridCol w:w="62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RQ-UCON, a usage-control model for healthcare big data that adds risk quantification based on physicians' access history and uses hierarchical clustering to derive risk intervals applied as access conditions.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Access decisions depend on the requester's risk profile rather than on patient-authorised purpose and data scope, and the model does not include consent, decentralised identity, multi-party approval or verifiable audit evidence.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survey access control in healthcare IoT, analysing RBAC, ABAC, capability-based and context-aware models, emergency access and privacy compliance, and discussing blockchain, artificial intelligence, Zero Trust and edge computing for decentralised enforcement.</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treats access decisions in terms of roles, attributes, capabilities and context; patient consent as an evaluable object, guardian co-approval and decentralised identity verification are not central to its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survey blockchain-based access control frameworks for electronic health records, classifying them as permissioned or permissionless and examining how smart contracts and privacy-preserving techniques support authentication, access control, integrity and availability.</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centres on access control and privacy of EHRs; consent is not treated as a structured object, and guardian co-approval, decentralised identity and consent lifecycle management receive little attention.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a decentralised ciphertext-policy attribute-based searchable encryption scheme for cloud-stored healthcare data, in which the master key is jointly managed by attribute nodes on a blockchain to avoid a single authority.</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Access is governed by cryptographic attribute policies over encrypted data; patient consent, purpose limitation, guardian approval and consent revocation are not modelled, and joint key management is not collective access approval.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2.4.6  Trusted Computing, Secure Execution, and Security Assurance</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r>
        <w:rPr>
          <w:rFonts w:ascii="Cambria" w:cs="Cambria" w:eastAsia="Cambria" w:hAnsi="Cambria"/>
          <w:color w:val="000000"/>
          <w:sz w:val="24"/>
          <w:szCs w:val="24"/>
        </w:rPr>
        <w:t xml:space="preserve"> [23]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140" w:line="300"/>
        <w:jc w:val="both"/>
      </w:pPr>
      <w:r>
        <w:rPr>
          <w:rFonts w:ascii="Cambria" w:cs="Cambria" w:eastAsia="Cambria" w:hAnsi="Cambria"/>
          <w:sz w:val="24"/>
          <w:szCs w:val="24"/>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w:t>
      </w:r>
    </w:p>
    <w:p>
      <w:pPr>
        <w:spacing w:after="140" w:line="300"/>
        <w:jc w:val="both"/>
      </w:pPr>
      <w:r>
        <w:rPr>
          <w:rFonts w:ascii="Cambria" w:cs="Cambria" w:eastAsia="Cambria" w:hAnsi="Cambria"/>
          <w:color w:val="000000"/>
          <w:sz w:val="24"/>
          <w:szCs w:val="24"/>
        </w:rPr>
        <w:t xml:space="preserve">This research establishes the conceptual foundation for such integration and, moreover, demonstrates it through an implemented and empirically evaluated prototype. Future work can therefore investigate how trusted execution and remote attestation can strengthen the enforcement and verification of decentralised consent decisions.</w:t>
      </w:r>
    </w:p>
    <w:p>
      <w:pPr>
        <w:spacing w:after="140" w:line="300"/>
        <w:jc w:val="both"/>
      </w:pPr>
      <w:r>
        <w:rPr>
          <w:rFonts w:ascii="Cambria" w:cs="Cambria" w:eastAsia="Cambria" w:hAnsi="Cambria"/>
          <w:sz w:val="24"/>
          <w:szCs w:val="24"/>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w:t>
      </w:r>
    </w:p>
    <w:p>
      <w:pPr>
        <w:spacing w:after="140" w:line="300"/>
        <w:jc w:val="both"/>
      </w:pPr>
      <w:r>
        <w:rPr>
          <w:rFonts w:ascii="Cambria" w:cs="Cambria" w:eastAsia="Cambria" w:hAnsi="Cambria"/>
          <w:color w:val="000000"/>
          <w:sz w:val="24"/>
          <w:szCs w:val="24"/>
        </w:rPr>
        <w:t xml:space="preserve">The present prototype addresses this concern empirically through adversarial and negative testing across each verification dimension. Nevertheless, formal analysis remains necessary in order to demonstrate that these properties hold under defined assumptions.</w:t>
      </w:r>
    </w:p>
    <w:p>
      <w:pPr>
        <w:spacing w:after="140" w:line="300"/>
        <w:jc w:val="both"/>
      </w:pPr>
      <w:r>
        <w:rPr>
          <w:rFonts w:ascii="Cambria" w:cs="Cambria" w:eastAsia="Cambria" w:hAnsi="Cambria"/>
          <w:b w:val="false"/>
          <w:bCs w:val="false"/>
          <w:sz w:val="24"/>
          <w:szCs w:val="24"/>
        </w:rPr>
        <w:t xml:space="preserve">Complementary work in this stream applies entropy-based measurement to quantify blockchain immutability and tamper-resilient trust, providing an analytical basis for treating the ledger itself as part of the trusted computing base [18].</w:t>
      </w:r>
    </w:p>
    <w:p>
      <w:pPr>
        <w:spacing w:after="140" w:line="300"/>
        <w:jc w:val="both"/>
      </w:pPr>
      <w:r>
        <w:rPr>
          <w:rFonts w:ascii="Cambria" w:cs="Cambria" w:eastAsia="Cambria" w:hAnsi="Cambria"/>
          <w:color w:val="000000"/>
          <w:sz w:val="24"/>
          <w:szCs w:val="24"/>
        </w:rPr>
        <w:t xml:space="preserve">Formal security analysis nevertheless remains rare across the reviewed corpus: security arguments are predominantly architectural or empirical, and </w:t>
      </w:r>
      <w:r>
        <w:rPr>
          <w:rFonts w:ascii="Cambria" w:cs="Cambria" w:eastAsia="Cambria" w:hAnsi="Cambria"/>
          <w:color w:val="000000"/>
          <w:sz w:val="24"/>
          <w:szCs w:val="24"/>
        </w:rPr>
        <w:t xml:space="preserve">analytical or simulation-based reasoning about security properties is found only in a minority of studies [18]</w:t>
      </w:r>
      <w:r>
        <w:rPr>
          <w:rFonts w:ascii="Cambria" w:cs="Cambria" w:eastAsia="Cambria" w:hAnsi="Cambria"/>
          <w:color w:val="000000"/>
          <w:sz w:val="24"/>
          <w:szCs w:val="24"/>
        </w:rPr>
        <w:t xml:space="preserve">. This observation grounds review question 7 and motivates the formal-assurance direction of the research. While Trusted Computing mechanisms could further harden the execution of the proposed authorisation evaluation, hardware-supported execution is treated as an orthogonal assurance layer and lies outside the scope of the present research questions.</w:t>
      </w:r>
    </w:p>
    <w:p>
      <w:pPr>
        <w:spacing w:after="140" w:line="300"/>
        <w:jc w:val="both"/>
      </w:pPr>
      <w:r>
        <w:rPr>
          <w:rFonts w:ascii="Cambria" w:cs="Cambria" w:eastAsia="Cambria" w:hAnsi="Cambria"/>
          <w:color w:val="000000"/>
          <w:sz w:val="24"/>
          <w:szCs w:val="24"/>
        </w:rPr>
        <w:t xml:space="preserve">Table 8 presents a summary of the trusted computing and security assurance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8: </w:t>
      </w:r>
      <w:r>
        <w:rPr>
          <w:rFonts w:ascii="Cambria" w:cs="Cambria" w:eastAsia="Cambria" w:hAnsi="Cambria"/>
          <w:color w:val="000000"/>
          <w:sz w:val="21"/>
          <w:szCs w:val="21"/>
        </w:rPr>
        <w:t xml:space="preserve">Descriptions, issues and limitations of existing studies on trusted computing, secure execution and security assurance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40"/>
        <w:gridCol w:w="2480"/>
        <w:gridCol w:w="620"/>
        <w:gridCol w:w="620"/>
        <w:gridCol w:w="620"/>
        <w:gridCol w:w="620"/>
        <w:gridCol w:w="620"/>
        <w:gridCol w:w="62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a smart-agriculture framework in which TEE-enabled sensors provide authenticated readings, Byzantine-resilient aggregation estimates a consistent environmental state, and a lightweight permissioned blockchain commits validated states, evaluated on a greenhouse IoT platform.</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concerns sensor-data integrity in agriculture; it does not involve consent, identity credentials, authorisation or access policies, and its security evidence is experimental rather than formal.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develop an entropy-based framework that models blockchain states as probability distributions to quantify on-chain immutability, off-chain data integrity and computation in blockchain virtual machines, supported by simulations under varying adversarial fractions.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provides a general analytical measure of ledger immutability and tamper evidence but does not address consent, identity, authorisation or access policy, nor healthcare data.</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reviews the principles of remote attestation and explains how Intel SGX, Arm TrustZone, AMD SEV and emerging RISC-V trusted execution environments apply these mechanisms to establish trust in the code they execute.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concerns hardware-level execution integrity only. It does not consider consent, identity, multi-party authorisation or access policy, and it is not situated in healthcare data sharing.</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w:t>
      </w:r>
      <w:r>
        <w:rPr>
          <w:rFonts w:ascii="Cambria" w:cs="Cambria" w:eastAsia="Cambria" w:hAnsi="Cambria"/>
          <w:color w:val="000000"/>
          <w:sz w:val="24"/>
          <w:szCs w:val="24"/>
        </w:rPr>
        <w:t xml:space="preserve"> [2, 7, 28]</w:t>
      </w:r>
      <w:r>
        <w:rPr>
          <w:rFonts w:ascii="Cambria" w:cs="Cambria" w:eastAsia="Cambria" w:hAnsi="Cambria"/>
          <w:sz w:val="24"/>
          <w:szCs w:val="24"/>
        </w:rPr>
        <w:t xml:space="preserve">; DID and VC mechanisms provide decentralised identity and verifiable attributes</w:t>
      </w:r>
      <w:r>
        <w:rPr>
          <w:rFonts w:ascii="Cambria" w:cs="Cambria" w:eastAsia="Cambria" w:hAnsi="Cambria"/>
          <w:color w:val="000000"/>
          <w:sz w:val="24"/>
          <w:szCs w:val="24"/>
        </w:rPr>
        <w:t xml:space="preserve"> [20, 4, 5]</w:t>
      </w:r>
      <w:r>
        <w:rPr>
          <w:rFonts w:ascii="Cambria" w:cs="Cambria" w:eastAsia="Cambria" w:hAnsi="Cambria"/>
          <w:sz w:val="24"/>
          <w:szCs w:val="24"/>
        </w:rPr>
        <w:t xml:space="preserve">; policy-based and cryptographic access-control mechanisms provide fine-grained data protection</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collaborative governance mechanisms support distributed participation</w:t>
      </w:r>
      <w:r>
        <w:rPr>
          <w:rFonts w:ascii="Cambria" w:cs="Cambria" w:eastAsia="Cambria" w:hAnsi="Cambria"/>
          <w:color w:val="000000"/>
          <w:sz w:val="24"/>
          <w:szCs w:val="24"/>
        </w:rPr>
        <w:t xml:space="preserve"> [19, 29, 6]</w:t>
      </w:r>
      <w:r>
        <w:rPr>
          <w:rFonts w:ascii="Cambria" w:cs="Cambria" w:eastAsia="Cambria" w:hAnsi="Cambria"/>
          <w:sz w:val="24"/>
          <w:szCs w:val="24"/>
        </w:rPr>
        <w:t xml:space="preserve">; and Trusted Computing provides secure execution and attestation capabilities</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9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color w:val="000000"/>
          <w:sz w:val="21"/>
          <w:szCs w:val="21"/>
        </w:rPr>
        <w:t xml:space="preserve">Table 9: </w:t>
      </w:r>
      <w:r>
        <w:rPr>
          <w:rFonts w:ascii="Cambria" w:cs="Cambria" w:eastAsia="Cambria" w:hAnsi="Cambria"/>
          <w:color w:val="000000"/>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Lifecycle trust and empirical validation realised in the implemented prototype; formal security assurance requires further extension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2.5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w:t>
      </w:r>
      <w:r>
        <w:rPr>
          <w:rFonts w:ascii="Cambria" w:cs="Cambria" w:eastAsia="Cambria" w:hAnsi="Cambria"/>
          <w:color w:val="000000"/>
          <w:sz w:val="24"/>
          <w:szCs w:val="24"/>
        </w:rPr>
        <w:t xml:space="preserve"> [2, 7, 28]</w:t>
      </w:r>
      <w:r>
        <w:rPr>
          <w:rFonts w:ascii="Cambria" w:cs="Cambria" w:eastAsia="Cambria" w:hAnsi="Cambria"/>
          <w:sz w:val="24"/>
          <w:szCs w:val="24"/>
        </w:rPr>
        <w:t xml:space="preserve">. Decentralised identity and verifiable credential systems address the identification and attribute verification of participating entities</w:t>
      </w:r>
      <w:r>
        <w:rPr>
          <w:rFonts w:ascii="Cambria" w:cs="Cambria" w:eastAsia="Cambria" w:hAnsi="Cambria"/>
          <w:color w:val="000000"/>
          <w:sz w:val="24"/>
          <w:szCs w:val="24"/>
        </w:rPr>
        <w:t xml:space="preserve"> [20, 33, 4]</w:t>
      </w:r>
      <w:r>
        <w:rPr>
          <w:rFonts w:ascii="Cambria" w:cs="Cambria" w:eastAsia="Cambria" w:hAnsi="Cambria"/>
          <w:sz w:val="24"/>
          <w:szCs w:val="24"/>
        </w:rPr>
        <w:t xml:space="preserve">. Multi-party governance mechanisms address distributed participation and collective decision-making</w:t>
      </w:r>
      <w:r>
        <w:rPr>
          <w:rFonts w:ascii="Cambria" w:cs="Cambria" w:eastAsia="Cambria" w:hAnsi="Cambria"/>
          <w:color w:val="000000"/>
          <w:sz w:val="24"/>
          <w:szCs w:val="24"/>
        </w:rPr>
        <w:t xml:space="preserve"> [19, 29]</w:t>
      </w:r>
      <w:r>
        <w:rPr>
          <w:rFonts w:ascii="Cambria" w:cs="Cambria" w:eastAsia="Cambria" w:hAnsi="Cambria"/>
          <w:sz w:val="24"/>
          <w:szCs w:val="24"/>
        </w:rPr>
        <w:t xml:space="preserve">. Policy-based access-control approaches determine whether requested operations comply with predefined constraints</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Trusted Computing technologies protect the execution of security-sensitive computation</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Heading3"/>
        <w:spacing w:after="160" w:before="280"/>
      </w:pPr>
      <w:r>
        <w:rPr>
          <w:color w:val="000000"/>
        </w:rPr>
        <w:t xml:space="preserve">2.5.1  Research Gaps in the Existing Studies from the Requirement Perspective</w:t>
      </w:r>
    </w:p>
    <w:p>
      <w:pPr>
        <w:spacing w:after="140" w:line="300"/>
        <w:jc w:val="both"/>
      </w:pPr>
      <w:r>
        <w:rPr>
          <w:rFonts w:ascii="Cambria" w:cs="Cambria" w:eastAsia="Cambria" w:hAnsi="Cambria"/>
          <w:color w:val="000000"/>
          <w:sz w:val="24"/>
          <w:szCs w:val="24"/>
        </w:rPr>
        <w:t xml:space="preserve">As presented in Tables 3 to 8, the reviewed studies have concentrated on recording consent, verifying identities and enforcing access policies as separate concerns. From the perspective of the six key requirements defined in Section 2.2, the existing work has the following drawbacks:</w:t>
      </w:r>
    </w:p>
    <w:p>
      <w:pPr>
        <w:spacing w:after="140" w:line="300"/>
        <w:jc w:val="both"/>
      </w:pPr>
      <w:r>
        <w:rPr>
          <w:rFonts w:ascii="Cambria" w:cs="Cambria" w:eastAsia="Cambria" w:hAnsi="Cambria"/>
          <w:b/>
          <w:bCs/>
          <w:color w:val="000000"/>
          <w:sz w:val="24"/>
          <w:szCs w:val="24"/>
        </w:rPr>
        <w:t xml:space="preserve">Representation of consent as an evaluable authorisation object (Req 1):</w:t>
      </w:r>
      <w:r>
        <w:rPr>
          <w:rFonts w:ascii="Cambria" w:cs="Cambria" w:eastAsia="Cambria" w:hAnsi="Cambria"/>
          <w:color w:val="000000"/>
          <w:sz w:val="24"/>
          <w:szCs w:val="24"/>
        </w:rPr>
        <w:t xml:space="preserve"> none of the 33 reviewed studies satisfies this requirement. The studies that come closest treat consent as a receipt (S10), as a dynamic preference that can be updated (S13, S24) or as a record tracked by a conceptual framework (S21), while the blockchain studies (S1, S2, S3, S7) store consent as a transaction on a ledger. In each case the consent establishes that a decision occurred; it does not carry the identity, authority, purpose, temporal and jurisdictional conditions in a form that can be evaluated at the time of a request. This is important because, without such a representation, the trustworthiness of an access decision cannot be traced back to the consent itself.</w:t>
      </w:r>
    </w:p>
    <w:p>
      <w:pPr>
        <w:spacing w:after="140" w:line="300"/>
        <w:jc w:val="both"/>
      </w:pPr>
      <w:r>
        <w:rPr>
          <w:rFonts w:ascii="Cambria" w:cs="Cambria" w:eastAsia="Cambria" w:hAnsi="Cambria"/>
          <w:b/>
          <w:bCs/>
          <w:color w:val="000000"/>
          <w:sz w:val="24"/>
          <w:szCs w:val="24"/>
        </w:rPr>
        <w:t xml:space="preserve">Decentralised verification of identity and authority (Req 2):</w:t>
      </w:r>
      <w:r>
        <w:rPr>
          <w:rFonts w:ascii="Cambria" w:cs="Cambria" w:eastAsia="Cambria" w:hAnsi="Cambria"/>
          <w:color w:val="000000"/>
          <w:sz w:val="24"/>
          <w:szCs w:val="24"/>
        </w:rPr>
        <w:t xml:space="preserve"> this requirement is addressed by S4, S5, S15, S16, S20, S21, S27, S33. These studies provide mature mechanisms for decentralised identifiers, verifiable credentials and privacy-preserving authentication. However, they establish who a participant is rather than what that participant is authorised to do with a particular patient's data. Consequently, the separation between identity verification and authority verification, and the binding of both to the consent object, remains unaddressed.</w:t>
      </w:r>
    </w:p>
    <w:p>
      <w:pPr>
        <w:spacing w:after="140" w:line="300"/>
        <w:jc w:val="both"/>
      </w:pPr>
      <w:r>
        <w:rPr>
          <w:rFonts w:ascii="Cambria" w:cs="Cambria" w:eastAsia="Cambria" w:hAnsi="Cambria"/>
          <w:b/>
          <w:bCs/>
          <w:color w:val="000000"/>
          <w:sz w:val="24"/>
          <w:szCs w:val="24"/>
        </w:rPr>
        <w:t xml:space="preserve">Multi-party authorisation through a verifiable threshold (Req 3):</w:t>
      </w:r>
      <w:r>
        <w:rPr>
          <w:rFonts w:ascii="Cambria" w:cs="Cambria" w:eastAsia="Cambria" w:hAnsi="Cambria"/>
          <w:color w:val="000000"/>
          <w:sz w:val="24"/>
          <w:szCs w:val="24"/>
        </w:rPr>
        <w:t xml:space="preserve"> no reviewed study satisfies this requirement. S6, S19 and S29 investigate data sharing among several stakeholders, but approval is realised through platform governance or the policies of the data subject rather than as a threshold condition that is checkable by any party. The threshold committees of S33 protect the identity infrastructure, and the committee approval of S4 concerns the issuance of credentials; neither applies to the authorisation of a data-access request. The literature therefore provides multi-party mechanisms, but not multi-party authorisation of consent.</w:t>
      </w:r>
    </w:p>
    <w:p>
      <w:pPr>
        <w:spacing w:after="140" w:line="300"/>
        <w:jc w:val="both"/>
      </w:pPr>
      <w:r>
        <w:rPr>
          <w:rFonts w:ascii="Cambria" w:cs="Cambria" w:eastAsia="Cambria" w:hAnsi="Cambria"/>
          <w:b/>
          <w:bCs/>
          <w:color w:val="000000"/>
          <w:sz w:val="24"/>
          <w:szCs w:val="24"/>
        </w:rPr>
        <w:t xml:space="preserve">Policy- and context-aware enforcement at the time of access (Req 4):</w:t>
      </w:r>
      <w:r>
        <w:rPr>
          <w:rFonts w:ascii="Cambria" w:cs="Cambria" w:eastAsia="Cambria" w:hAnsi="Cambria"/>
          <w:color w:val="000000"/>
          <w:sz w:val="24"/>
          <w:szCs w:val="24"/>
        </w:rPr>
        <w:t xml:space="preserve"> this requirement is addressed by S11, S15, S19, S25, S28, S32. These studies evaluate requests against roles, attributes, risk levels or usage conditions. However, the policies are bound to the requester rather than to the purpose and the data scope that the patient authorised, and none of them evaluates the jurisdiction in which the data may be used. As a result, a legitimate requester can exceed the scope of the consent without being refused.</w:t>
      </w:r>
    </w:p>
    <w:p>
      <w:pPr>
        <w:spacing w:after="140" w:line="300"/>
        <w:jc w:val="both"/>
      </w:pPr>
      <w:r>
        <w:rPr>
          <w:rFonts w:ascii="Cambria" w:cs="Cambria" w:eastAsia="Cambria" w:hAnsi="Cambria"/>
          <w:b/>
          <w:bCs/>
          <w:color w:val="000000"/>
          <w:sz w:val="24"/>
          <w:szCs w:val="24"/>
        </w:rPr>
        <w:t xml:space="preserve">Temporal validity and lifecycle control of consent (Req 5):</w:t>
      </w:r>
      <w:r>
        <w:rPr>
          <w:rFonts w:ascii="Cambria" w:cs="Cambria" w:eastAsia="Cambria" w:hAnsi="Cambria"/>
          <w:color w:val="000000"/>
          <w:sz w:val="24"/>
          <w:szCs w:val="24"/>
        </w:rPr>
        <w:t xml:space="preserve"> only S4, S13, S24 address this requirement, and only in part. S4 revokes identities rather than consents, S13 allows consent preferences to evolve, and S24 reviews dynamic consent without enforcing it. None of the studies enforces the validity interval of a consent at every request, makes revocation verifiable at the ledger level, or restricts the transitions between consent states. This is the least developed of the six requirements in the reviewed literature.</w:t>
      </w:r>
    </w:p>
    <w:p>
      <w:pPr>
        <w:spacing w:after="140" w:line="300"/>
        <w:jc w:val="both"/>
      </w:pPr>
      <w:r>
        <w:rPr>
          <w:rFonts w:ascii="Cambria" w:cs="Cambria" w:eastAsia="Cambria" w:hAnsi="Cambria"/>
          <w:b/>
          <w:bCs/>
          <w:color w:val="000000"/>
          <w:sz w:val="24"/>
          <w:szCs w:val="24"/>
        </w:rPr>
        <w:t xml:space="preserve">Verifiable auditability and security assurance (Req 6):</w:t>
      </w:r>
      <w:r>
        <w:rPr>
          <w:rFonts w:ascii="Cambria" w:cs="Cambria" w:eastAsia="Cambria" w:hAnsi="Cambria"/>
          <w:color w:val="000000"/>
          <w:sz w:val="24"/>
          <w:szCs w:val="24"/>
        </w:rPr>
        <w:t xml:space="preserve"> this is the most frequently addressed requirement (18 of the 33 studies), because a blockchain ledger provides tamper-evident evidence of the recorded events by construction. However, the assurance offered by these studies is functional: they demonstrate that valid operations are recorded correctly. Analytical or adversarial validation of the authorisation properties, such as the impossibility of access after revocation or without sufficient approvals, is found only in S18 and, at the level of the execution environment, in S23. None of the studies validates the negative cases of a consent decision.</w:t>
      </w:r>
    </w:p>
    <w:p>
      <w:pPr>
        <w:spacing w:after="140" w:line="300"/>
        <w:jc w:val="both"/>
      </w:pPr>
      <w:r>
        <w:rPr>
          <w:rFonts w:ascii="Cambria" w:cs="Cambria" w:eastAsia="Cambria" w:hAnsi="Cambria"/>
          <w:color w:val="000000"/>
          <w:sz w:val="24"/>
          <w:szCs w:val="24"/>
        </w:rPr>
        <w:t xml:space="preserve">Taken together, these drawbacks show that the existing literature supplies the individual building blocks of trustworthy consent authorisation but does not connect them. The identification of this gap is developed in the remainder of this section, and the next chapter restates it as a set of research questions and objectives.</w:t>
      </w:r>
    </w:p>
    <w:p>
      <w:pPr>
        <w:spacing w:after="140" w:line="300"/>
        <w:jc w:val="both"/>
      </w:pPr>
      <w:r>
        <w:rPr>
          <w:rFonts w:ascii="Cambria" w:cs="Cambria" w:eastAsia="Cambria" w:hAnsi="Cambria"/>
          <w:sz w:val="24"/>
          <w:szCs w:val="24"/>
        </w:rPr>
        <w:t xml:space="preserve">The central research gap therefore concerns the absence of a sufficiently integrated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color w:val="000000"/>
          <w:sz w:val="24"/>
          <w:szCs w:val="24"/>
        </w:rPr>
        <w:t xml:space="preserve">The reviewed literature also identifies persistent challenges of privacy preservation, scalability, and interoperability in blockchain-based healthcare systems [2, 7, 3, 28]; while these concerns inform the design constraints of the proposed framework, they are treated as engineering constraints rather than as the conceptual gap pursued by this research.</w:t>
      </w:r>
    </w:p>
    <w:p>
      <w:pPr>
        <w:spacing w:after="140" w:line="300"/>
        <w:jc w:val="both"/>
      </w:pPr>
      <w:r>
        <w:rPr>
          <w:rFonts w:ascii="Cambria" w:cs="Cambria" w:eastAsia="Cambria" w:hAnsi="Cambria"/>
          <w:color w:val="000000"/>
          <w:sz w:val="24"/>
          <w:szCs w:val="24"/>
        </w:rPr>
        <w:t xml:space="preserve">In the same way, the consent-lifecycle limitation identified in Section 2.4.1 and the scarcity of formal security analysis identified in Section 2.4.6 define the temporal-lifecycle and formal-assurance dimensions that the next stage of this research addresses.</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additionally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the jurisdictional constraint;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pStyle w:val="Heading2"/>
        <w:spacing w:after="160" w:before="280"/>
      </w:pPr>
      <w:r>
        <w:rPr>
          <w:color w:val="000000"/>
        </w:rPr>
        <w:t xml:space="preserve">2.6  Conclusion</w:t>
      </w:r>
    </w:p>
    <w:p>
      <w:pPr>
        <w:spacing w:after="140" w:line="300"/>
        <w:jc w:val="both"/>
      </w:pPr>
      <w:r>
        <w:rPr>
          <w:rFonts w:ascii="Cambria" w:cs="Cambria" w:eastAsia="Cambria" w:hAnsi="Cambria"/>
          <w:color w:val="000000"/>
          <w:sz w:val="24"/>
          <w:szCs w:val="24"/>
        </w:rPr>
        <w:t xml:space="preserve">This systematic literature review defined six key requirements that a trustworthy authorisation framework for multi-party patient consent should satisfy: the representation of consent as an evaluable authorisation object, the decentralised verification of identity and authority, multi-party authorisation through a verifiable threshold, policy- and context-aware enforcement at the time of access, temporal validity and lifecycle control, and verifiable auditability and security assurance. Following a PRISMA-based process, 33 studies were shortlisted from 125 records and were reviewed in six thematic streams. Each study was assessed against the six requirements, and the results are summarised in Tables 3 to 8.</w:t>
      </w:r>
    </w:p>
    <w:p>
      <w:pPr>
        <w:spacing w:after="140" w:line="300"/>
        <w:jc w:val="both"/>
      </w:pPr>
      <w:r>
        <w:rPr>
          <w:rFonts w:ascii="Cambria" w:cs="Cambria" w:eastAsia="Cambria" w:hAnsi="Cambria"/>
          <w:color w:val="000000"/>
          <w:sz w:val="24"/>
          <w:szCs w:val="24"/>
        </w:rPr>
        <w:t xml:space="preserve">The review shows that the existing studies provide strong solutions for individual requirements. Blockchain-based systems satisfy the auditability requirement, decentralised identity studies satisfy the identity requirement, and access-control studies satisfy the policy requirement. However, no reviewed study satisfies all six requirements together, and only a small number address the temporal and lifecycle requirement or provide security assurance beyond a functional demonstration. Consequently, the research gap identified in this chapter is not the absence of individual mechanisms but the absence of a framework that connects them into a single, verifiable authorisation decision.</w:t>
      </w:r>
    </w:p>
    <w:p>
      <w:pPr>
        <w:spacing w:after="140" w:line="300"/>
        <w:jc w:val="both"/>
      </w:pPr>
      <w:r>
        <w:rPr>
          <w:rFonts w:ascii="Cambria" w:cs="Cambria" w:eastAsia="Cambria" w:hAnsi="Cambria"/>
          <w:color w:val="000000"/>
          <w:sz w:val="24"/>
          <w:szCs w:val="24"/>
        </w:rPr>
        <w:t xml:space="preserve">The next chapter builds on this gap. It restates the gap in terms of a trust-oriented authorisation problem, defines the key terms used in this study, and presents the main research question, the six sub-research questions and the corresponding research objectives.</w:t>
      </w:r>
    </w:p>
    <w:p>
      <w:pPr>
        <w:keepNext/>
        <w:spacing w:after="60" w:before="140"/>
        <w:jc w:val="center"/>
      </w:pPr>
      <w:r>
        <w:drawing>
          <wp:inline distT="0" distB="0" distL="0" distR="0">
            <wp:extent cx="5715000" cy="2676525"/>
            <wp:effectExtent t="0" r="0" b="0" l="0"/>
            <wp:docPr id="1" name="gfig2c.png" descr="Figure 5: Synthesis of the review: the five research streams provide strong but fragmented mechanisms; their lack of integration constitutes the research gap, which the proposed framework addresses by treating consent as an evaluable authorisation object." title="Figure 5: Synthesis of the review: the five research streams provide strong but fragmented mechanisms; their lack of integration constitutes the research gap, which the proposed framework addresses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the five research streams provide strong but fragmented mechanisms; their lack of integration constitutes the research gap, which the proposed framework addresses by treating consent as an evaluable authorisation object.</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color w:val="000000"/>
          <w:sz w:val="24"/>
          <w:szCs w:val="24"/>
        </w:rPr>
        <w:t xml:space="preserve">Temporal and lifecycle trust has been operationalised in the current prototype, and empirical validation has been partially completed through automated and live negative testing. Consequently, formal security assurance forms the subsequent research scope and will be developed further in CA3.</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A represents the authority and multi-party authorisation evidence,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r>
        <w:rPr>
          <w:rFonts w:ascii="Cambria" w:cs="Cambria" w:eastAsia="Cambria" w:hAnsi="Cambria"/>
          <w:color w:val="000000"/>
          <w:sz w:val="24"/>
          <w:szCs w:val="24"/>
        </w:rPr>
        <w:t xml:space="preserve">Consequently, in the implemented framework N is instantiated as |G|, the number of designated guardians,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000000"/>
          <w:sz w:val="24"/>
          <w:szCs w:val="24"/>
        </w:rPr>
        <w:t xml:space="preserve">In the implemented framework, the lifecycle validity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as part of the collective authorisation predicate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This is important because only a consent in the ACTIVE state can satisfy the authorisation condition. Consequently, the symbol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reserved for the jurisdictional predicate, which corresponds to the component L of the consent object.</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0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w:t>
      </w:r>
      <w:r>
        <w:rPr>
          <w:rFonts w:ascii="Cambria" w:cs="Cambria" w:eastAsia="Cambria" w:hAnsi="Cambria"/>
          <w:color w:val="000000"/>
          <w:sz w:val="24"/>
          <w:szCs w:val="24"/>
        </w:rPr>
        <w:t xml:space="preserv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color w:val="0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color w:val="0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work therefore concerns hardening these controls rather than introducing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000000"/>
          <w:sz w:val="24"/>
          <w:szCs w:val="24"/>
        </w:rPr>
        <w:t xml:space="preserve">The empirical component has been executed against the demonstrated prototype. In particular,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10 and Table 11.</w:t>
      </w:r>
    </w:p>
    <w:p>
      <w:pPr>
        <w:spacing w:after="140" w:line="300"/>
        <w:jc w:val="both"/>
      </w:pPr>
      <w:r>
        <w:rPr>
          <w:rFonts w:ascii="Cambria" w:cs="Cambria" w:eastAsia="Cambria" w:hAnsi="Cambria"/>
          <w:sz w:val="24"/>
          <w:szCs w:val="24"/>
        </w:rPr>
        <w:t xml:space="preserve">The relationship between the six research questions and the six research objectives is</w:t>
      </w:r>
    </w:p>
    <w:p>
      <w:pPr>
        <w:spacing w:after="140" w:line="300"/>
        <w:jc w:val="both"/>
      </w:pPr>
      <w:r>
        <w:rPr>
          <w:rFonts w:ascii="Cambria" w:cs="Cambria" w:eastAsia="Cambria" w:hAnsi="Cambria"/>
          <w:sz w:val="24"/>
          <w:szCs w:val="24"/>
        </w:rPr>
        <w:t xml:space="preserve">RO5 and RO6 constitute the principal research agenda for CA3.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together with the identified prototype hardening.</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000000"/>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000000"/>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140" w:line="300"/>
        <w:jc w:val="both"/>
      </w:pPr>
      <w:r>
        <w:rPr>
          <w:rFonts w:ascii="Cambria" w:cs="Cambria" w:eastAsia="Cambria" w:hAnsi="Cambria"/>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VI ∧ VA ∧ VP ∧ VT ∧ VL</w:t>
      </w:r>
    </w:p>
    <w:p>
      <w:pPr>
        <w:spacing w:after="140" w:line="300"/>
        <w:jc w:val="both"/>
      </w:pPr>
      <w:r>
        <w:rPr>
          <w:rFonts w:ascii="Cambria" w:cs="Cambria" w:eastAsia="Cambria" w:hAnsi="Cambria"/>
          <w:color w:val="000000"/>
          <w:sz w:val="24"/>
          <w:szCs w:val="24"/>
        </w:rPr>
        <w:t xml:space="preserve">This five-predicate conjunction constitutes the decision rule of the implemented Consent Engine and is applied consistently throughout this chapter; the earlier three-predicate formulation represents an initial design iteration that has since been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jc w:val="center"/>
      </w:pPr>
      <w:r>
        <w:rPr>
          <w:rFonts w:ascii="Cambria" w:cs="Cambria" w:eastAsia="Cambria" w:hAnsi="Cambria"/>
          <w:i/>
          <w:iCs/>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deployed on Sepolia alongside the SQLite Audit Ledger, a revocation path flows from the Patient interface through the Controller to both the ledger and the contract, and an external independent verifier, verify_poc,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140" w:line="300"/>
        <w:jc w:val="both"/>
      </w:pPr>
      <w:r>
        <w:rPr>
          <w:rFonts w:ascii="Cambria" w:cs="Cambria" w:eastAsia="Cambria" w:hAnsi="Cambria"/>
          <w:color w:val="000000"/>
          <w:sz w:val="24"/>
          <w:szCs w:val="24"/>
        </w:rPr>
        <w:t xml:space="preserve">The Controller layer therefore comprises eight principal functions, the two additional functions being Cryptographic Proof Generation and Verification, realised through the Groth16 proving system, and On-chain Anchoring and State Synchronisation, which performs the Sepolia mint and revoke operations as a background process; the Controller row of Figure 7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jc w:val="center"/>
      </w:pPr>
      <w:r>
        <w:rPr>
          <w:rFonts w:ascii="Cambria" w:cs="Cambria" w:eastAsia="Cambria" w:hAnsi="Cambria"/>
          <w:i/>
          <w:iCs/>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8.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The integrated decision can therefore be expressed as</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Consequently, the corresponding component in Figure 8 is depicted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rather than as a lifecycle check.</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jc w:val="center"/>
      </w:pPr>
      <w:r>
        <w:rPr>
          <w:rFonts w:ascii="Cambria" w:cs="Cambria" w:eastAsia="Cambria" w:hAnsi="Cambria"/>
          <w:i/>
          <w:iCs/>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using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Identifiers (DIDs) and Verifiable Credentials (VCs). The purpose of this stage is to establish both the identity of the participant and the evidence supporting the participant’s claimed role or authority. Importantly, the framework explicitly separates identity authentication from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authorized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is satisfied when</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jc w:val="center"/>
      </w:pPr>
      <w:r>
        <w:rPr>
          <w:rFonts w:ascii="Cambria" w:cs="Cambria" w:eastAsia="Cambria" w:hAnsi="Cambria"/>
          <w:i/>
          <w:iCs/>
          <w:sz w:val="20"/>
          <w:szCs w:val="20"/>
        </w:rPr>
        <w:t xml:space="preserve">[Figure 9: End-to-End Workflow of Trust-Oriented Consent Authorisation Framework]</w:t>
      </w:r>
    </w:p>
    <w:p>
      <w:pPr>
        <w:spacing w:after="140" w:line="300"/>
        <w:jc w:val="both"/>
      </w:pPr>
      <w:r>
        <w:rPr>
          <w:rFonts w:ascii="Cambria" w:cs="Cambria" w:eastAsia="Cambria" w:hAnsi="Cambria"/>
          <w:color w:val="000000"/>
          <w:sz w:val="24"/>
          <w:szCs w:val="24"/>
        </w:rPr>
        <w:t xml:space="preserve">Once all |G| guardians have signed, satisfying the N-of-N condition, the consent token is minted in the local ledger while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on the ALLOW branch, and after the audit evidence is recorded the flow continues through patient-initiated revocation, the corresponding on-chain revoke transaction, and finally auditor review together with independent verification through verify_poc.</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authorized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For the current stage scope of the proposed framework,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Importantly, both successful and denied decisions should be recorded because a trustworthy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requires accountability not only for data that were released but also for access attempts that were rejected.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color w:val="000000"/>
          <w:sz w:val="24"/>
          <w:szCs w:val="24"/>
        </w:rPr>
        <w:t xml:space="preserve">The implementation realises this representation in full, including temporal validity, expiration, on-chain revocation and an explicit lifecycle state machine.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12.</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000000"/>
          <w:sz w:val="24"/>
          <w:szCs w:val="24"/>
        </w:rPr>
        <w:t xml:space="preserve">the next stage will</w:t>
      </w:r>
      <w:r>
        <w:rPr>
          <w:rFonts w:ascii="Cambria" w:cs="Cambria" w:eastAsia="Cambria" w:hAnsi="Cambria"/>
          <w:sz w:val="24"/>
          <w:szCs w:val="24"/>
        </w:rPr>
        <w:t xml:space="preserve"> investigate whether this core can maintain trust dynamically over time </w:t>
      </w:r>
      <w:r>
        <w:rPr>
          <w:rFonts w:ascii="Cambria" w:cs="Cambria" w:eastAsia="Cambria" w:hAnsi="Cambria"/>
          <w:color w:val="000000"/>
          <w:sz w:val="24"/>
          <w:szCs w:val="24"/>
        </w:rPr>
        <w:t xml:space="preserve">beyond the lifecycle mechanisms already demonstrated in the prototype</w:t>
      </w:r>
      <w:r>
        <w:rPr>
          <w:rFonts w:ascii="Cambria" w:cs="Cambria" w:eastAsia="Cambria" w:hAnsi="Cambria"/>
          <w:sz w:val="24"/>
          <w:szCs w:val="24"/>
        </w:rPr>
        <w:t xml:space="preserv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(51)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Whereas 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are generated by the system; and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this validation is a structural check that each identifier constitutes a well-formed DID.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 it is generated by the Consent Service at the moment the patient submits the consent, as a universally unique identifier (UUID).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jc w:val="center"/>
      </w:pPr>
      <w:r>
        <w:rPr>
          <w:rFonts w:ascii="Cambria" w:cs="Cambria" w:eastAsia="Cambria" w:hAnsi="Cambria"/>
          <w:i/>
          <w:iCs/>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This condition defines the target verification model rather than the behaviour presently exercised.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sz w:val="24"/>
          <w:szCs w:val="24"/>
        </w:rPr>
        <w:t xml:space="preserve">The threshold mechanism establishes collective authorisation.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In the current implementation the threshold is fixed to the full guardian set, N = |G|, so that every designated guardian must approve before the consent is activated; the demonstrated configuration is therefore 2-of-2. This distinction is important because a configurable k-of-n threshold, while a direct generalisation of the implemented mechanism, is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jc w:val="center"/>
      </w:pPr>
      <w:r>
        <w:rPr>
          <w:rFonts w:ascii="Cambria" w:cs="Cambria" w:eastAsia="Cambria" w:hAnsi="Cambria"/>
          <w:i/>
          <w:iCs/>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4: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5: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16: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20: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keccak(P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background job; reconciled on next lookup</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24: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26: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28: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decision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jc w:val="center"/>
      </w:pPr>
      <w:r>
        <w:rPr>
          <w:rFonts w:ascii="Cambria" w:cs="Cambria" w:eastAsia="Cambria" w:hAnsi="Cambria"/>
          <w:i/>
          <w:iCs/>
          <w:sz w:val="20"/>
          <w:szCs w:val="20"/>
        </w:rPr>
        <w:t xml:space="preserve">[Figure 14: RO4 workflow for policy- and context-aware access control]</w:t>
      </w:r>
    </w:p>
    <w:p>
      <w:pPr>
        <w:pStyle w:val="Heading3"/>
        <w:spacing w:after="160" w:before="280"/>
      </w:pPr>
      <w: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6.4.3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which means the requested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PurposeMatch(P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ScopeMatch(S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0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purpose compatibility is evaluated as an exact match against the consent purpose, which is stored on-chain as keccak256(purpose). Therefore, a formal proof that no execution path can violate the privacy policy is deliberately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(64)</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This is important because it is precisely this check that produced the demonstrated denial in which a request declaring jurisdiction SA was refused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Here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denotes the composite temporal–state predicate evaluated by this procedure;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per-request validity layer: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jc w:val="center"/>
      </w:pPr>
      <w:r>
        <w:rPr>
          <w:rFonts w:ascii="Cambria" w:cs="Cambria" w:eastAsia="Cambria" w:hAnsi="Cambria"/>
          <w:i/>
          <w:iCs/>
          <w:sz w:val="20"/>
          <w:szCs w:val="20"/>
        </w:rPr>
        <w:t xml:space="preserve">[Figure 15: RO5 workflow for temporal and consent lifecycle trust]</w:t>
      </w:r>
    </w:p>
    <w:p>
      <w:pPr>
        <w:spacing w:after="140" w:line="300"/>
        <w:jc w:val="both"/>
      </w:pPr>
      <w:r>
        <w:rPr>
          <w:rFonts w:ascii="Cambria" w:cs="Cambria" w:eastAsia="Cambria" w:hAnsi="Cambria"/>
          <w:sz w:val="24"/>
          <w:szCs w:val="24"/>
        </w:rPr>
        <w:t xml:space="preserve">Algorithm 5 extends the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decision process by ensuring that consent validity is dynamic rather than permanent.</w:t>
      </w:r>
    </w:p>
    <w:p>
      <w:pPr>
        <w:pStyle w:val="Heading2"/>
        <w:spacing w:after="160" w:before="280"/>
      </w:pPr>
      <w: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color w:val="000000"/>
          <w:sz w:val="24"/>
          <w:szCs w:val="24"/>
        </w:rPr>
        <w:t xml:space="preserve">Decision(C, R)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where this soundness property is the one actually validated: each conjunct is exercised by a dedicated per-dimension failure test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jc w:val="center"/>
      </w:pPr>
      <w:r>
        <w:rPr>
          <w:rFonts w:ascii="Cambria" w:cs="Cambria" w:eastAsia="Cambria" w:hAnsi="Cambria"/>
          <w:i/>
          <w:iCs/>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w:t>
      </w:r>
      <w:r>
        <w:rPr>
          <w:rFonts w:ascii="Cambria" w:cs="Cambria" w:eastAsia="Cambria" w:hAnsi="Cambria"/>
          <w:sz w:val="24"/>
          <w:szCs w:val="24"/>
        </w:rPr>
        <w:t xml:space="preserve"> Policy Compliance, </w:t>
      </w:r>
      <w:r>
        <w:rPr>
          <w:rFonts w:ascii="Cambria" w:cs="Cambria" w:eastAsia="Cambria" w:hAnsi="Cambria"/>
          <w:color w:val="000000"/>
          <w:sz w:val="24"/>
          <w:szCs w:val="24"/>
        </w:rPr>
        <w:t xml:space="preserve">5) </w:t>
      </w:r>
      <w:r>
        <w:rPr>
          <w:rFonts w:ascii="Cambria" w:cs="Cambria" w:eastAsia="Cambria" w:hAnsi="Cambria"/>
          <w:sz w:val="24"/>
          <w:szCs w:val="24"/>
        </w:rPr>
        <w:t xml:space="preserve">Temporal and Lifecycle Trust. For the current stage implementation, the operational decision is based on</w:t>
      </w:r>
    </w:p>
    <w:p>
      <w:pPr>
        <w:spacing w:after="140" w:line="300"/>
        <w:jc w:val="both"/>
      </w:pPr>
      <w:r>
        <w:rPr>
          <w:rFonts w:ascii="Cambria" w:cs="Cambria" w:eastAsia="Cambria" w:hAnsi="Cambria"/>
          <w:color w:val="0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color w:val="000000"/>
          <w:sz w:val="24"/>
          <w:szCs w:val="24"/>
        </w:rPr>
        <w:t xml:space="preserve">The implemented system enforces the complete rule of Equation (70):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 Equation (69) is retained as the historical current-stage formulation.</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electronic medical record (EMR) modules, and finally revoked by the patient.</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(51), the identity and authority verification of Algorithm 2, the threshold-based multi-party authorisation of Algorithm 3, and the trust-predicate evaluation of Figure 8 are each exercised in this workflow by a real transaction on the Ethereum Sepolia test network, so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decentralised identifiers (DIDs) provide identity pointers,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w:t>
      </w:r>
      <w:r>
        <w:rPr>
          <w:rFonts w:ascii="Cambria" w:cs="Cambria" w:eastAsia="Cambria" w:hAnsi="Cambria"/>
          <w:b/>
          <w:bCs/>
          <w:color w:val="000000"/>
          <w:sz w:val="24"/>
          <w:szCs w:val="24"/>
        </w:rPr>
        <w:t xml:space="preserve">ConsentSBTv3</w:t>
      </w:r>
      <w:r>
        <w:rPr>
          <w:rFonts w:ascii="Cambria" w:cs="Cambria" w:eastAsia="Cambria" w:hAnsi="Cambria"/>
          <w:color w:val="0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purpose is stored only as a keccak256 hash, and no medical content is written to the chain; the plaintext purpose and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and the enforcement state records whether the consent is active or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(51)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complete lifecycle — activation as </w:t>
      </w:r>
      <w:r>
        <w:rPr>
          <w:rFonts w:ascii="Cambria" w:cs="Cambria" w:eastAsia="Cambria" w:hAnsi="Cambria"/>
          <w:b/>
          <w:bCs/>
          <w:color w:val="000000"/>
          <w:sz w:val="24"/>
          <w:szCs w:val="24"/>
        </w:rPr>
        <w:t xml:space="preserve">token #1</w:t>
      </w:r>
      <w:r>
        <w:rPr>
          <w:rFonts w:ascii="Cambria" w:cs="Cambria" w:eastAsia="Cambria" w:hAnsi="Cambria"/>
          <w:color w:val="000000"/>
          <w:sz w:val="24"/>
          <w:szCs w:val="24"/>
        </w:rPr>
        <w:t xml:space="preserve">, granted access, refused access and final revocation — and all transaction evidence in this chapter follows it. Because a revoked consent cannot be photographed in its earlier states, the screenshots of consent creation, guardian approval and granted access were captured from a second lifecycle with the same configuration — the same four-module scope, the same guardians, jurisdiction, purpose and doctor — executed for a different demonstration patient (consent 04da25f5, anchored as </w:t>
      </w:r>
      <w:r>
        <w:rPr>
          <w:rFonts w:ascii="Cambria" w:cs="Cambria" w:eastAsia="Cambria" w:hAnsi="Cambria"/>
          <w:b/>
          <w:bCs/>
          <w:color w:val="000000"/>
          <w:sz w:val="24"/>
          <w:szCs w:val="24"/>
        </w:rPr>
        <w:t xml:space="preserve">token #2</w:t>
      </w:r>
      <w:r>
        <w:rPr>
          <w:rFonts w:ascii="Cambria" w:cs="Cambria" w:eastAsia="Cambria" w:hAnsi="Cambria"/>
          <w:color w:val="0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(54).</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The implementation therefore enforces the logical authorisation rule:</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 ALLOW ⟺ VI(u) ∧ VA(C) ∧ VP(C, R) ∧ VT(C, t) ∧ VL(C), which extends the three-predicate rule of Eq. (59) with the temporal and jurisdictional verdicts.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as enforced by the implemented Consent Engine." title="Figure 28: Trust Predicate Evaluation and Authorisation Decision Flow,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Trust Predicate Evaluation and Authorisation Decision Flow,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This module operationalises the enforcement component of the consent object, which requires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the consent progresses through the controlled states PENDING_SIGNATURE, PENDING_TOKEN, NOT_STARTED, ACTIVE and REVOKED,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the nine access requests comprise the granted, refused and reproduced requests of the two lifecycles together with three granted requests recorded for the earlier trial consents.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 proofs and model checking of the stated properties —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Enforcement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16: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In the current prototype the approval threshold is fixed at N-of-N: every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is not a subset of the authorised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the request exceeds the authorised scope and the jurisdiction and validity conditions are evaluated against the stored consent before any decision is returned.</w:t>
      </w:r>
    </w:p>
    <w:p>
      <w:pPr>
        <w:pStyle w:val="Heading2"/>
        <w:spacing w:after="160" w:before="280"/>
      </w:pPr>
      <w:r>
        <w:t xml:space="preserve">7.5  Progress of RO5: Temporal and Lifecycle Trust</w:t>
      </w:r>
    </w:p>
    <w:p>
      <w:pPr>
        <w:spacing w:after="140" w:line="300"/>
        <w:jc w:val="both"/>
      </w:pPr>
      <w:r>
        <w:rPr>
          <w:rFonts w:ascii="Cambria" w:cs="Cambria" w:eastAsia="Cambria" w:hAnsi="Cambria"/>
          <w:color w:val="000000"/>
          <w:sz w:val="24"/>
          <w:szCs w:val="24"/>
        </w:rPr>
        <w:t xml:space="preserve">Status: Largely Completed.</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t xml:space="preserve">7.6  Progress of RO6: Security Assurance and Validation</w:t>
      </w:r>
    </w:p>
    <w:p>
      <w:pPr>
        <w:spacing w:after="140" w:line="300"/>
        <w:jc w:val="both"/>
      </w:pPr>
      <w:r>
        <w:rPr>
          <w:rFonts w:ascii="Cambria" w:cs="Cambria" w:eastAsia="Cambria" w:hAnsi="Cambria"/>
          <w:sz w:val="24"/>
          <w:szCs w:val="24"/>
        </w:rPr>
        <w:t xml:space="preserve">Status: Partially Completed </w:t>
      </w:r>
      <w:r>
        <w:rPr>
          <w:rFonts w:ascii="Cambria" w:cs="Cambria" w:eastAsia="Cambria" w:hAnsi="Cambria"/>
          <w:color w:val="000000"/>
          <w:sz w:val="24"/>
          <w:szCs w:val="24"/>
        </w:rPr>
        <w:t xml:space="preserve">(empirical validation complete; formal assurance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color w:val="000000"/>
          <w:sz w:val="24"/>
          <w:szCs w:val="24"/>
        </w:rPr>
        <w:t xml:space="preserve">Empirical validation now covers all six trust dimensions.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The implemented decision rule is Decision(C, R, t) = ALLOW iff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Formal security analysis and a systematic performance study remain for the next stage.</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color w:val="000000"/>
          <w:sz w:val="21"/>
          <w:szCs w:val="21"/>
        </w:rPr>
        <w:t xml:space="preserve">Table 14: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t xml:space="preserve">9.2  Next Stage: Planned Work</w:t>
      </w:r>
    </w:p>
    <w:p>
      <w:pPr>
        <w:spacing w:after="140" w:line="300"/>
        <w:jc w:val="both"/>
      </w:pPr>
      <w:r>
        <w:rPr>
          <w:rFonts w:ascii="Cambria" w:cs="Cambria" w:eastAsia="Cambria" w:hAnsi="Cambria"/>
          <w:color w:val="0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the next stage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15.</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Temporal and Lifecycle Trust — Completed (on-chain notBefore and expiry fields; revoke transaction confirmed in block 11,771,307; explicit lifecycle state machine). Comprehensive Empirical Validation — Partially delivered (23 automated tests; live jurisdiction denial and revocation-then-denial on Sepolia; independent chain verification reporting ALL CHECKS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0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(59),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17: Traceability from the formal artefacts of this report to the implemented mechanisms and their on-chain evidence.</w:t>
      </w:r>
    </w:p>
    <w:p>
      <w:pPr>
        <w:pStyle w:val="Heading1"/>
        <w:pageBreakBefore/>
        <w:spacing w:after="160" w:before="400"/>
      </w:pPr>
      <w:r>
        <w:t xml:space="preserve">References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sz w:val="24"/>
          <w:szCs w:val="24"/>
        </w:rPr>
        <w:t xml:space="preserve">[22] Roy McClelland and Colin M Harper. Information privacy in healthcare—the vital role of informed consent.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Enhancing patient autonomy in data ownership: privacy models and consent frameworks for healthcare.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bac4283ac7c9dffcd42565f9f279d568fa67012.png"/><Relationship Id="rId9" Type="http://schemas.openxmlformats.org/officeDocument/2006/relationships/image" Target="media/d4fcae5448728df700f7fcb56b8fc5a1fc56fa7f.png"/><Relationship Id="rId10" Type="http://schemas.openxmlformats.org/officeDocument/2006/relationships/image" Target="media/5725741516b6d7350742358c69ef15dffd19ce8b.png"/><Relationship Id="rId11" Type="http://schemas.openxmlformats.org/officeDocument/2006/relationships/image" Target="media/8dbf8f8114ee1a36bb173391ae40c477f5a9f4e7.png"/><Relationship Id="rId12" Type="http://schemas.openxmlformats.org/officeDocument/2006/relationships/image" Target="media/0ed002e09311e352eea87b4c3d6bc1c202f9bce1.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18110f2d94411825c7d788fe5ccde19f68a450f5.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2026-09-29T05:59:22.403Z</dcterms:created>
  <dcterms:modified xsi:type="dcterms:W3CDTF">2026-09-29T05:59:22.403Z</dcterms:modified>
</cp:coreProperties>
</file>

<file path=docProps/custom.xml><?xml version="1.0" encoding="utf-8"?>
<Properties xmlns="http://schemas.openxmlformats.org/officeDocument/2006/custom-properties" xmlns:vt="http://schemas.openxmlformats.org/officeDocument/2006/docPropsVTypes"/>
</file>