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Authorisation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9</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2.2 Key Requirements for Trustworthy Multi-Party Consent Authorisation</w:t>
      </w:r>
      <w:r>
        <w:rPr>
          <w:rFonts w:ascii="Cambria" w:cs="Cambria" w:eastAsia="Cambria" w:hAnsi="Cambria"/>
          <w:sz w:val="22"/>
          <w:szCs w:val="22"/>
        </w:rPr>
        <w:t xml:space="preserve">	14</w:t>
      </w:r>
    </w:p>
    <w:p>
      <w:pPr>
        <w:tabs>
          <w:tab w:val="right" w:pos="9360" w:leader="dot"/>
        </w:tabs>
        <w:spacing w:after="60"/>
        <w:ind w:left="720"/>
      </w:pPr>
      <w:r>
        <w:rPr>
          <w:rFonts w:ascii="Cambria" w:cs="Cambria" w:eastAsia="Cambria" w:hAnsi="Cambria"/>
          <w:b w:val="false"/>
          <w:bCs w:val="false"/>
          <w:sz w:val="20"/>
          <w:szCs w:val="20"/>
        </w:rPr>
        <w:t xml:space="preserve">2.2.1 Representation of consent as an evaluable authorisation object (Req: 1)</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2.2.2 Decentralised verification of identity and authority (Req: 2)</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2.2.3 Multi-party authorisation through a verifiable threshold (Req: 3)</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2.2.4 Policy- and context-aware enforcement at the time of access (Req: 4)</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2.2.5 Temporal validity and lifecycle control of consent (Req: 5)</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2.2.6 Verifiable auditability and security assurance (Req: 6)</w:t>
      </w:r>
      <w:r>
        <w:rPr>
          <w:rFonts w:ascii="Cambria" w:cs="Cambria" w:eastAsia="Cambria" w:hAnsi="Cambria"/>
          <w:sz w:val="20"/>
          <w:szCs w:val="20"/>
        </w:rPr>
        <w:t xml:space="preserve">	15</w:t>
      </w:r>
    </w:p>
    <w:p>
      <w:pPr>
        <w:tabs>
          <w:tab w:val="right" w:pos="9360" w:leader="dot"/>
        </w:tabs>
        <w:spacing w:after="60"/>
        <w:ind w:left="360"/>
      </w:pPr>
      <w:r>
        <w:rPr>
          <w:rFonts w:ascii="Cambria" w:cs="Cambria" w:eastAsia="Cambria" w:hAnsi="Cambria"/>
          <w:b w:val="false"/>
          <w:bCs w:val="false"/>
          <w:sz w:val="22"/>
          <w:szCs w:val="22"/>
        </w:rPr>
        <w:t xml:space="preserve">2.3 Systematic Literature Review Methodology</w:t>
      </w:r>
      <w:r>
        <w:rPr>
          <w:rFonts w:ascii="Cambria" w:cs="Cambria" w:eastAsia="Cambria" w:hAnsi="Cambria"/>
          <w:sz w:val="22"/>
          <w:szCs w:val="22"/>
        </w:rPr>
        <w:t xml:space="preserve">	16</w:t>
      </w:r>
    </w:p>
    <w:p>
      <w:pPr>
        <w:tabs>
          <w:tab w:val="right" w:pos="9360" w:leader="dot"/>
        </w:tabs>
        <w:spacing w:after="60"/>
        <w:ind w:left="720"/>
      </w:pPr>
      <w:r>
        <w:rPr>
          <w:rFonts w:ascii="Cambria" w:cs="Cambria" w:eastAsia="Cambria" w:hAnsi="Cambria"/>
          <w:b w:val="false"/>
          <w:bCs w:val="false"/>
          <w:sz w:val="20"/>
          <w:szCs w:val="20"/>
        </w:rPr>
        <w:t xml:space="preserve">2.3.1 Review Design and Reporting Framework</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2.3.2 Questions for Review</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2.3.3 Search Databases and Search Strategy</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2.3.4 Search Period and Search Execution</w:t>
      </w:r>
      <w:r>
        <w:rPr>
          <w:rFonts w:ascii="Cambria" w:cs="Cambria" w:eastAsia="Cambria" w:hAnsi="Cambria"/>
          <w:sz w:val="20"/>
          <w:szCs w:val="20"/>
        </w:rPr>
        <w:t xml:space="preserve">	18</w:t>
      </w:r>
    </w:p>
    <w:p>
      <w:pPr>
        <w:tabs>
          <w:tab w:val="right" w:pos="9360" w:leader="dot"/>
        </w:tabs>
        <w:spacing w:after="60"/>
        <w:ind w:left="720"/>
      </w:pPr>
      <w:r>
        <w:rPr>
          <w:rFonts w:ascii="Cambria" w:cs="Cambria" w:eastAsia="Cambria" w:hAnsi="Cambria"/>
          <w:b w:val="false"/>
          <w:bCs w:val="false"/>
          <w:sz w:val="20"/>
          <w:szCs w:val="20"/>
        </w:rPr>
        <w:t xml:space="preserve">2.3.5 Eligibility Criteria</w:t>
      </w:r>
      <w:r>
        <w:rPr>
          <w:rFonts w:ascii="Cambria" w:cs="Cambria" w:eastAsia="Cambria" w:hAnsi="Cambria"/>
          <w:sz w:val="20"/>
          <w:szCs w:val="20"/>
        </w:rPr>
        <w:t xml:space="preserve">	19</w:t>
      </w:r>
    </w:p>
    <w:p>
      <w:pPr>
        <w:tabs>
          <w:tab w:val="right" w:pos="9360" w:leader="dot"/>
        </w:tabs>
        <w:spacing w:after="60"/>
        <w:ind w:left="720"/>
      </w:pPr>
      <w:r>
        <w:rPr>
          <w:rFonts w:ascii="Cambria" w:cs="Cambria" w:eastAsia="Cambria" w:hAnsi="Cambria"/>
          <w:b w:val="false"/>
          <w:bCs w:val="false"/>
          <w:sz w:val="20"/>
          <w:szCs w:val="20"/>
        </w:rPr>
        <w:t xml:space="preserve">2.3.6 Screening and Study Selection</w:t>
      </w:r>
      <w:r>
        <w:rPr>
          <w:rFonts w:ascii="Cambria" w:cs="Cambria" w:eastAsia="Cambria" w:hAnsi="Cambria"/>
          <w:sz w:val="20"/>
          <w:szCs w:val="20"/>
        </w:rPr>
        <w:t xml:space="preserve">	20</w:t>
      </w:r>
    </w:p>
    <w:p>
      <w:pPr>
        <w:tabs>
          <w:tab w:val="right" w:pos="9360" w:leader="dot"/>
        </w:tabs>
        <w:spacing w:after="60"/>
        <w:ind w:left="720"/>
      </w:pPr>
      <w:r>
        <w:rPr>
          <w:rFonts w:ascii="Cambria" w:cs="Cambria" w:eastAsia="Cambria" w:hAnsi="Cambria"/>
          <w:b w:val="false"/>
          <w:bCs w:val="false"/>
          <w:sz w:val="20"/>
          <w:szCs w:val="20"/>
        </w:rPr>
        <w:t xml:space="preserve">2.3.7 Data Extraction and Synthesis</w:t>
      </w:r>
      <w:r>
        <w:rPr>
          <w:rFonts w:ascii="Cambria" w:cs="Cambria" w:eastAsia="Cambria" w:hAnsi="Cambria"/>
          <w:sz w:val="20"/>
          <w:szCs w:val="20"/>
        </w:rPr>
        <w:t xml:space="preserve">	21</w:t>
      </w:r>
    </w:p>
    <w:p>
      <w:pPr>
        <w:tabs>
          <w:tab w:val="right" w:pos="9360" w:leader="dot"/>
        </w:tabs>
        <w:spacing w:after="60"/>
        <w:ind w:left="720"/>
      </w:pPr>
      <w:r>
        <w:rPr>
          <w:rFonts w:ascii="Cambria" w:cs="Cambria" w:eastAsia="Cambria" w:hAnsi="Cambria"/>
          <w:b w:val="false"/>
          <w:bCs w:val="false"/>
          <w:sz w:val="20"/>
          <w:szCs w:val="20"/>
        </w:rPr>
        <w:t xml:space="preserve">2.3.8 Shortlisted Studies and Their Categorisation</w:t>
      </w:r>
      <w:r>
        <w:rPr>
          <w:rFonts w:ascii="Cambria" w:cs="Cambria" w:eastAsia="Cambria" w:hAnsi="Cambria"/>
          <w:sz w:val="20"/>
          <w:szCs w:val="20"/>
        </w:rPr>
        <w:t xml:space="preserve">	22</w:t>
      </w:r>
    </w:p>
    <w:p>
      <w:pPr>
        <w:tabs>
          <w:tab w:val="right" w:pos="9360" w:leader="dot"/>
        </w:tabs>
        <w:spacing w:after="60"/>
        <w:ind w:left="360"/>
      </w:pPr>
      <w:r>
        <w:rPr>
          <w:rFonts w:ascii="Cambria" w:cs="Cambria" w:eastAsia="Cambria" w:hAnsi="Cambria"/>
          <w:b w:val="false"/>
          <w:bCs w:val="false"/>
          <w:sz w:val="22"/>
          <w:szCs w:val="22"/>
        </w:rPr>
        <w:t xml:space="preserve">2.4 Review</w:t>
      </w:r>
      <w:r>
        <w:rPr>
          <w:rFonts w:ascii="Cambria" w:cs="Cambria" w:eastAsia="Cambria" w:hAnsi="Cambria"/>
          <w:sz w:val="22"/>
          <w:szCs w:val="22"/>
        </w:rPr>
        <w:t xml:space="preserve">	26</w:t>
      </w:r>
    </w:p>
    <w:p>
      <w:pPr>
        <w:tabs>
          <w:tab w:val="right" w:pos="9360" w:leader="dot"/>
        </w:tabs>
        <w:spacing w:after="60"/>
        <w:ind w:left="720"/>
      </w:pPr>
      <w:r>
        <w:rPr>
          <w:rFonts w:ascii="Cambria" w:cs="Cambria" w:eastAsia="Cambria" w:hAnsi="Cambria"/>
          <w:b w:val="false"/>
          <w:bCs w:val="false"/>
          <w:sz w:val="20"/>
          <w:szCs w:val="20"/>
        </w:rPr>
        <w:t xml:space="preserve">2.4.1 Healthcare Consent and Decentralised Data Governance</w:t>
      </w:r>
      <w:r>
        <w:rPr>
          <w:rFonts w:ascii="Cambria" w:cs="Cambria" w:eastAsia="Cambria" w:hAnsi="Cambria"/>
          <w:sz w:val="20"/>
          <w:szCs w:val="20"/>
        </w:rPr>
        <w:t xml:space="preserve">	27</w:t>
      </w:r>
    </w:p>
    <w:p>
      <w:pPr>
        <w:tabs>
          <w:tab w:val="right" w:pos="9360" w:leader="dot"/>
        </w:tabs>
        <w:spacing w:after="60"/>
        <w:ind w:left="720"/>
      </w:pPr>
      <w:r>
        <w:rPr>
          <w:rFonts w:ascii="Cambria" w:cs="Cambria" w:eastAsia="Cambria" w:hAnsi="Cambria"/>
          <w:b w:val="false"/>
          <w:bCs w:val="false"/>
          <w:sz w:val="20"/>
          <w:szCs w:val="20"/>
        </w:rPr>
        <w:t xml:space="preserve">2.4.2 Blockchain-Based Consent and Data Governance</w:t>
      </w:r>
      <w:r>
        <w:rPr>
          <w:rFonts w:ascii="Cambria" w:cs="Cambria" w:eastAsia="Cambria" w:hAnsi="Cambria"/>
          <w:sz w:val="20"/>
          <w:szCs w:val="20"/>
        </w:rPr>
        <w:t xml:space="preserve">	30</w:t>
      </w:r>
    </w:p>
    <w:p>
      <w:pPr>
        <w:tabs>
          <w:tab w:val="right" w:pos="9360" w:leader="dot"/>
        </w:tabs>
        <w:spacing w:after="60"/>
        <w:ind w:left="720"/>
      </w:pPr>
      <w:r>
        <w:rPr>
          <w:rFonts w:ascii="Cambria" w:cs="Cambria" w:eastAsia="Cambria" w:hAnsi="Cambria"/>
          <w:b w:val="false"/>
          <w:bCs w:val="false"/>
          <w:sz w:val="20"/>
          <w:szCs w:val="20"/>
        </w:rPr>
        <w:t xml:space="preserve">2.4.3 Decentralised Identity and Verifiable Credentials</w:t>
      </w:r>
      <w:r>
        <w:rPr>
          <w:rFonts w:ascii="Cambria" w:cs="Cambria" w:eastAsia="Cambria" w:hAnsi="Cambria"/>
          <w:sz w:val="20"/>
          <w:szCs w:val="20"/>
        </w:rPr>
        <w:t xml:space="preserve">	33</w:t>
      </w:r>
    </w:p>
    <w:p>
      <w:pPr>
        <w:tabs>
          <w:tab w:val="right" w:pos="9360" w:leader="dot"/>
        </w:tabs>
        <w:spacing w:after="60"/>
        <w:ind w:left="720"/>
      </w:pPr>
      <w:r>
        <w:rPr>
          <w:rFonts w:ascii="Cambria" w:cs="Cambria" w:eastAsia="Cambria" w:hAnsi="Cambria"/>
          <w:b w:val="false"/>
          <w:bCs w:val="false"/>
          <w:sz w:val="20"/>
          <w:szCs w:val="20"/>
        </w:rPr>
        <w:t xml:space="preserve">2.4.4 Multi-Party Authorisation and Collaborative Consent</w:t>
      </w:r>
      <w:r>
        <w:rPr>
          <w:rFonts w:ascii="Cambria" w:cs="Cambria" w:eastAsia="Cambria" w:hAnsi="Cambria"/>
          <w:sz w:val="20"/>
          <w:szCs w:val="20"/>
        </w:rPr>
        <w:t xml:space="preserve">	36</w:t>
      </w:r>
    </w:p>
    <w:p>
      <w:pPr>
        <w:tabs>
          <w:tab w:val="right" w:pos="9360" w:leader="dot"/>
        </w:tabs>
        <w:spacing w:after="60"/>
        <w:ind w:left="720"/>
      </w:pPr>
      <w:r>
        <w:rPr>
          <w:rFonts w:ascii="Cambria" w:cs="Cambria" w:eastAsia="Cambria" w:hAnsi="Cambria"/>
          <w:b w:val="false"/>
          <w:bCs w:val="false"/>
          <w:sz w:val="20"/>
          <w:szCs w:val="20"/>
        </w:rPr>
        <w:t xml:space="preserve">2.4.5 Policy-Based and Context-Aware Access Control</w:t>
      </w:r>
      <w:r>
        <w:rPr>
          <w:rFonts w:ascii="Cambria" w:cs="Cambria" w:eastAsia="Cambria" w:hAnsi="Cambria"/>
          <w:sz w:val="20"/>
          <w:szCs w:val="20"/>
        </w:rPr>
        <w:t xml:space="preserve">	37</w:t>
      </w:r>
    </w:p>
    <w:p>
      <w:pPr>
        <w:tabs>
          <w:tab w:val="right" w:pos="9360" w:leader="dot"/>
        </w:tabs>
        <w:spacing w:after="60"/>
        <w:ind w:left="720"/>
      </w:pPr>
      <w:r>
        <w:rPr>
          <w:rFonts w:ascii="Cambria" w:cs="Cambria" w:eastAsia="Cambria" w:hAnsi="Cambria"/>
          <w:b w:val="false"/>
          <w:bCs w:val="false"/>
          <w:sz w:val="20"/>
          <w:szCs w:val="20"/>
        </w:rPr>
        <w:t xml:space="preserve">2.4.6 Trusted Computing, Secure Execution, and Security Assurance</w:t>
      </w:r>
      <w:r>
        <w:rPr>
          <w:rFonts w:ascii="Cambria" w:cs="Cambria" w:eastAsia="Cambria" w:hAnsi="Cambria"/>
          <w:sz w:val="20"/>
          <w:szCs w:val="20"/>
        </w:rPr>
        <w:t xml:space="preserve">	39</w:t>
      </w:r>
    </w:p>
    <w:p>
      <w:pPr>
        <w:tabs>
          <w:tab w:val="right" w:pos="9360" w:leader="dot"/>
        </w:tabs>
        <w:spacing w:after="60"/>
        <w:ind w:left="720"/>
      </w:pPr>
      <w:r>
        <w:rPr>
          <w:rFonts w:ascii="Cambria" w:cs="Cambria" w:eastAsia="Cambria" w:hAnsi="Cambria"/>
          <w:b w:val="false"/>
          <w:bCs w:val="false"/>
          <w:sz w:val="20"/>
          <w:szCs w:val="20"/>
        </w:rPr>
        <w:t xml:space="preserve">2.4.7 Comparative Analysis of Existing Approaches</w:t>
      </w:r>
      <w:r>
        <w:rPr>
          <w:rFonts w:ascii="Cambria" w:cs="Cambria" w:eastAsia="Cambria" w:hAnsi="Cambria"/>
          <w:sz w:val="20"/>
          <w:szCs w:val="20"/>
        </w:rPr>
        <w:t xml:space="preserve">	41</w:t>
      </w:r>
    </w:p>
    <w:p>
      <w:pPr>
        <w:tabs>
          <w:tab w:val="right" w:pos="9360" w:leader="dot"/>
        </w:tabs>
        <w:spacing w:after="60"/>
        <w:ind w:left="360"/>
      </w:pPr>
      <w:r>
        <w:rPr>
          <w:rFonts w:ascii="Cambria" w:cs="Cambria" w:eastAsia="Cambria" w:hAnsi="Cambria"/>
          <w:b w:val="false"/>
          <w:bCs w:val="false"/>
          <w:sz w:val="22"/>
          <w:szCs w:val="22"/>
        </w:rPr>
        <w:t xml:space="preserve">2.5 Synthesis and Research Gap</w:t>
      </w:r>
      <w:r>
        <w:rPr>
          <w:rFonts w:ascii="Cambria" w:cs="Cambria" w:eastAsia="Cambria" w:hAnsi="Cambria"/>
          <w:sz w:val="22"/>
          <w:szCs w:val="22"/>
        </w:rPr>
        <w:t xml:space="preserve">	43</w:t>
      </w:r>
    </w:p>
    <w:p>
      <w:pPr>
        <w:tabs>
          <w:tab w:val="right" w:pos="9360" w:leader="dot"/>
        </w:tabs>
        <w:spacing w:after="60"/>
        <w:ind w:left="720"/>
      </w:pPr>
      <w:r>
        <w:rPr>
          <w:rFonts w:ascii="Cambria" w:cs="Cambria" w:eastAsia="Cambria" w:hAnsi="Cambria"/>
          <w:b w:val="false"/>
          <w:bCs w:val="false"/>
          <w:sz w:val="20"/>
          <w:szCs w:val="20"/>
        </w:rPr>
        <w:t xml:space="preserve">2.5.1 Research Gaps in the Existing Studies from the Requirement Perspective</w:t>
      </w:r>
      <w:r>
        <w:rPr>
          <w:rFonts w:ascii="Cambria" w:cs="Cambria" w:eastAsia="Cambria" w:hAnsi="Cambria"/>
          <w:sz w:val="20"/>
          <w:szCs w:val="20"/>
        </w:rPr>
        <w:t xml:space="preserve">	43</w:t>
      </w:r>
    </w:p>
    <w:p>
      <w:pPr>
        <w:tabs>
          <w:tab w:val="right" w:pos="9360" w:leader="dot"/>
        </w:tabs>
        <w:spacing w:after="60"/>
        <w:ind w:left="360"/>
      </w:pPr>
      <w:r>
        <w:rPr>
          <w:rFonts w:ascii="Cambria" w:cs="Cambria" w:eastAsia="Cambria" w:hAnsi="Cambria"/>
          <w:b w:val="false"/>
          <w:bCs w:val="false"/>
          <w:sz w:val="22"/>
          <w:szCs w:val="22"/>
        </w:rPr>
        <w:t xml:space="preserve">2.6 Conclusion</w:t>
      </w:r>
      <w:r>
        <w:rPr>
          <w:rFonts w:ascii="Cambria" w:cs="Cambria" w:eastAsia="Cambria" w:hAnsi="Cambria"/>
          <w:sz w:val="22"/>
          <w:szCs w:val="22"/>
        </w:rPr>
        <w:t xml:space="preserve">	46</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48</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48</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49</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50</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50</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51</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51</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52</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53</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54</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55</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58</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58</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58</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58</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59</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59</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61</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64</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64</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66</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68</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69</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70</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Authorisation Workflow</w:t>
      </w:r>
      <w:r>
        <w:rPr>
          <w:rFonts w:ascii="Cambria" w:cs="Cambria" w:eastAsia="Cambria" w:hAnsi="Cambria"/>
          <w:sz w:val="22"/>
          <w:szCs w:val="22"/>
        </w:rPr>
        <w:t xml:space="preserve">	71</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74</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75</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76</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77</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78</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78</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79</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80</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80</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83</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83</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83</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85</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88</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88</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88</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89</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92</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93</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93</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94</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97</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98</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99</w:t>
      </w:r>
    </w:p>
    <w:p>
      <w:pPr>
        <w:tabs>
          <w:tab w:val="right" w:pos="9360" w:leader="dot"/>
        </w:tabs>
        <w:spacing w:after="60"/>
        <w:ind w:left="720"/>
      </w:pPr>
      <w:r>
        <w:rPr>
          <w:rFonts w:ascii="Cambria" w:cs="Cambria" w:eastAsia="Cambria" w:hAnsi="Cambria"/>
          <w:b w:val="false"/>
          <w:bCs w:val="false"/>
          <w:sz w:val="20"/>
          <w:szCs w:val="20"/>
        </w:rPr>
        <w:t xml:space="preserve">6.4.2 Algorithm 4: Policy-Aware Access Decision</w:t>
      </w:r>
      <w:r>
        <w:rPr>
          <w:rFonts w:ascii="Cambria" w:cs="Cambria" w:eastAsia="Cambria" w:hAnsi="Cambria"/>
          <w:sz w:val="20"/>
          <w:szCs w:val="20"/>
        </w:rPr>
        <w:t xml:space="preserve">	100</w:t>
      </w:r>
    </w:p>
    <w:p>
      <w:pPr>
        <w:tabs>
          <w:tab w:val="right" w:pos="9360" w:leader="dot"/>
        </w:tabs>
        <w:spacing w:after="60"/>
        <w:ind w:left="720"/>
      </w:pPr>
      <w:r>
        <w:rPr>
          <w:rFonts w:ascii="Cambria" w:cs="Cambria" w:eastAsia="Cambria" w:hAnsi="Cambria"/>
          <w:b w:val="false"/>
          <w:bCs w:val="false"/>
          <w:sz w:val="20"/>
          <w:szCs w:val="20"/>
        </w:rPr>
        <w:t xml:space="preserve">6.4.3 Procedure for Policy-Aware Access Decision</w:t>
      </w:r>
      <w:r>
        <w:rPr>
          <w:rFonts w:ascii="Cambria" w:cs="Cambria" w:eastAsia="Cambria" w:hAnsi="Cambria"/>
          <w:sz w:val="20"/>
          <w:szCs w:val="20"/>
        </w:rPr>
        <w:t xml:space="preserve">	101</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104</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105</w:t>
      </w:r>
    </w:p>
    <w:p>
      <w:pPr>
        <w:tabs>
          <w:tab w:val="right" w:pos="9360" w:leader="dot"/>
        </w:tabs>
        <w:spacing w:after="60"/>
        <w:ind w:left="720"/>
      </w:pPr>
      <w:r>
        <w:rPr>
          <w:rFonts w:ascii="Cambria" w:cs="Cambria" w:eastAsia="Cambria" w:hAnsi="Cambria"/>
          <w:b w:val="false"/>
          <w:bCs w:val="false"/>
          <w:sz w:val="20"/>
          <w:szCs w:val="20"/>
        </w:rPr>
        <w:t xml:space="preserve">6.5.2 Procedure for Temporal and Lifecycle Validation</w:t>
      </w:r>
      <w:r>
        <w:rPr>
          <w:rFonts w:ascii="Cambria" w:cs="Cambria" w:eastAsia="Cambria" w:hAnsi="Cambria"/>
          <w:sz w:val="20"/>
          <w:szCs w:val="20"/>
        </w:rPr>
        <w:t xml:space="preserve">	105</w:t>
      </w:r>
    </w:p>
    <w:p>
      <w:pPr>
        <w:tabs>
          <w:tab w:val="right" w:pos="9360" w:leader="dot"/>
        </w:tabs>
        <w:spacing w:after="60"/>
        <w:ind w:left="720"/>
      </w:pPr>
      <w:r>
        <w:rPr>
          <w:rFonts w:ascii="Cambria" w:cs="Cambria" w:eastAsia="Cambria" w:hAnsi="Cambria"/>
          <w:b w:val="false"/>
          <w:bCs w:val="false"/>
          <w:sz w:val="20"/>
          <w:szCs w:val="20"/>
        </w:rPr>
        <w:t xml:space="preserve">6.5.3 Algorithm 5: Temporal and Lifecycle Validation</w:t>
      </w:r>
      <w:r>
        <w:rPr>
          <w:rFonts w:ascii="Cambria" w:cs="Cambria" w:eastAsia="Cambria" w:hAnsi="Cambria"/>
          <w:sz w:val="20"/>
          <w:szCs w:val="20"/>
        </w:rPr>
        <w:t xml:space="preserve">	108</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109</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110</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110</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115</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116</w:t>
      </w:r>
    </w:p>
    <w:p>
      <w:pPr>
        <w:tabs>
          <w:tab w:val="right" w:pos="9360" w:leader="dot"/>
        </w:tabs>
        <w:spacing w:after="60"/>
        <w:ind w:left="360"/>
      </w:pPr>
      <w:r>
        <w:rPr>
          <w:rFonts w:ascii="Cambria" w:cs="Cambria" w:eastAsia="Cambria" w:hAnsi="Cambria"/>
          <w:b w:val="false"/>
          <w:bCs w:val="false"/>
          <w:color w:val="000000"/>
          <w:sz w:val="22"/>
          <w:szCs w:val="22"/>
        </w:rPr>
        <w:t xml:space="preserve">6.8 Implementation and Live Demonstration of the Proposed Solution</w:t>
      </w:r>
      <w:r>
        <w:rPr>
          <w:rFonts w:ascii="Cambria" w:cs="Cambria" w:eastAsia="Cambria" w:hAnsi="Cambria"/>
          <w:color w:val="000000"/>
          <w:sz w:val="22"/>
          <w:szCs w:val="22"/>
        </w:rPr>
        <w:t xml:space="preserve">	118</w:t>
      </w:r>
    </w:p>
    <w:p>
      <w:pPr>
        <w:tabs>
          <w:tab w:val="right" w:pos="9360" w:leader="dot"/>
        </w:tabs>
        <w:spacing w:after="60"/>
        <w:ind w:left="720"/>
      </w:pPr>
      <w:r>
        <w:rPr>
          <w:rFonts w:ascii="Cambria" w:cs="Cambria" w:eastAsia="Cambria" w:hAnsi="Cambria"/>
          <w:b w:val="false"/>
          <w:bCs w:val="false"/>
          <w:color w:val="000000"/>
          <w:sz w:val="20"/>
          <w:szCs w:val="20"/>
        </w:rPr>
        <w:t xml:space="preserve">6.8.1 The HALAH System</w:t>
      </w:r>
      <w:r>
        <w:rPr>
          <w:rFonts w:ascii="Cambria" w:cs="Cambria" w:eastAsia="Cambria" w:hAnsi="Cambria"/>
          <w:color w:val="000000"/>
          <w:sz w:val="20"/>
          <w:szCs w:val="20"/>
        </w:rPr>
        <w:t xml:space="preserve">	118</w:t>
      </w:r>
    </w:p>
    <w:p>
      <w:pPr>
        <w:tabs>
          <w:tab w:val="right" w:pos="9360" w:leader="dot"/>
        </w:tabs>
        <w:spacing w:after="60"/>
        <w:ind w:left="720"/>
      </w:pPr>
      <w:r>
        <w:rPr>
          <w:rFonts w:ascii="Cambria" w:cs="Cambria" w:eastAsia="Cambria" w:hAnsi="Cambria"/>
          <w:b w:val="false"/>
          <w:bCs w:val="false"/>
          <w:color w:val="000000"/>
          <w:sz w:val="20"/>
          <w:szCs w:val="20"/>
        </w:rPr>
        <w:t xml:space="preserve">6.8.2 Create Smart Consent Contract: Patient Subsystem</w:t>
      </w:r>
      <w:r>
        <w:rPr>
          <w:rFonts w:ascii="Cambria" w:cs="Cambria" w:eastAsia="Cambria" w:hAnsi="Cambria"/>
          <w:color w:val="000000"/>
          <w:sz w:val="20"/>
          <w:szCs w:val="20"/>
        </w:rPr>
        <w:t xml:space="preserve">	122</w:t>
      </w:r>
    </w:p>
    <w:p>
      <w:pPr>
        <w:tabs>
          <w:tab w:val="right" w:pos="9360" w:leader="dot"/>
        </w:tabs>
        <w:spacing w:after="60"/>
        <w:ind w:left="720"/>
      </w:pPr>
      <w:r>
        <w:rPr>
          <w:rFonts w:ascii="Cambria" w:cs="Cambria" w:eastAsia="Cambria" w:hAnsi="Cambria"/>
          <w:b w:val="false"/>
          <w:bCs w:val="false"/>
          <w:color w:val="000000"/>
          <w:sz w:val="20"/>
          <w:szCs w:val="20"/>
        </w:rPr>
        <w:t xml:space="preserve">6.8.3 Guardian Cryptographic Approval</w:t>
      </w:r>
      <w:r>
        <w:rPr>
          <w:rFonts w:ascii="Cambria" w:cs="Cambria" w:eastAsia="Cambria" w:hAnsi="Cambria"/>
          <w:color w:val="000000"/>
          <w:sz w:val="20"/>
          <w:szCs w:val="20"/>
        </w:rPr>
        <w:t xml:space="preserve">	124</w:t>
      </w:r>
    </w:p>
    <w:p>
      <w:pPr>
        <w:tabs>
          <w:tab w:val="right" w:pos="9360" w:leader="dot"/>
        </w:tabs>
        <w:spacing w:after="60"/>
        <w:ind w:left="720"/>
      </w:pPr>
      <w:r>
        <w:rPr>
          <w:rFonts w:ascii="Cambria" w:cs="Cambria" w:eastAsia="Cambria" w:hAnsi="Cambria"/>
          <w:b w:val="false"/>
          <w:bCs w:val="false"/>
          <w:color w:val="000000"/>
          <w:sz w:val="20"/>
          <w:szCs w:val="20"/>
        </w:rPr>
        <w:t xml:space="preserve">6.8.4 Secure Patient Data Access for the Doctor</w:t>
      </w:r>
      <w:r>
        <w:rPr>
          <w:rFonts w:ascii="Cambria" w:cs="Cambria" w:eastAsia="Cambria" w:hAnsi="Cambria"/>
          <w:color w:val="000000"/>
          <w:sz w:val="20"/>
          <w:szCs w:val="20"/>
        </w:rPr>
        <w:t xml:space="preserve">	128</w:t>
      </w:r>
    </w:p>
    <w:p>
      <w:pPr>
        <w:tabs>
          <w:tab w:val="right" w:pos="9360" w:leader="dot"/>
        </w:tabs>
        <w:spacing w:after="60"/>
        <w:ind w:left="720"/>
      </w:pPr>
      <w:r>
        <w:rPr>
          <w:rFonts w:ascii="Cambria" w:cs="Cambria" w:eastAsia="Cambria" w:hAnsi="Cambria"/>
          <w:b w:val="false"/>
          <w:bCs w:val="false"/>
          <w:color w:val="000000"/>
          <w:sz w:val="20"/>
          <w:szCs w:val="20"/>
        </w:rPr>
        <w:t xml:space="preserve">6.8.5 Negative Demonstration: Jurisdiction Violation</w:t>
      </w:r>
      <w:r>
        <w:rPr>
          <w:rFonts w:ascii="Cambria" w:cs="Cambria" w:eastAsia="Cambria" w:hAnsi="Cambria"/>
          <w:color w:val="000000"/>
          <w:sz w:val="20"/>
          <w:szCs w:val="20"/>
        </w:rPr>
        <w:t xml:space="preserve">	132</w:t>
      </w:r>
    </w:p>
    <w:p>
      <w:pPr>
        <w:tabs>
          <w:tab w:val="right" w:pos="9360" w:leader="dot"/>
        </w:tabs>
        <w:spacing w:after="60"/>
        <w:ind w:left="720"/>
      </w:pPr>
      <w:r>
        <w:rPr>
          <w:rFonts w:ascii="Cambria" w:cs="Cambria" w:eastAsia="Cambria" w:hAnsi="Cambria"/>
          <w:b w:val="false"/>
          <w:bCs w:val="false"/>
          <w:color w:val="000000"/>
          <w:sz w:val="20"/>
          <w:szCs w:val="20"/>
        </w:rPr>
        <w:t xml:space="preserve">6.8.6 Consent Revocation</w:t>
      </w:r>
      <w:r>
        <w:rPr>
          <w:rFonts w:ascii="Cambria" w:cs="Cambria" w:eastAsia="Cambria" w:hAnsi="Cambria"/>
          <w:color w:val="000000"/>
          <w:sz w:val="20"/>
          <w:szCs w:val="20"/>
        </w:rPr>
        <w:t xml:space="preserve">	134</w:t>
      </w:r>
    </w:p>
    <w:p>
      <w:pPr>
        <w:tabs>
          <w:tab w:val="right" w:pos="9360" w:leader="dot"/>
        </w:tabs>
        <w:spacing w:after="60"/>
        <w:ind w:left="720"/>
      </w:pPr>
      <w:r>
        <w:rPr>
          <w:rFonts w:ascii="Cambria" w:cs="Cambria" w:eastAsia="Cambria" w:hAnsi="Cambria"/>
          <w:b w:val="false"/>
          <w:bCs w:val="false"/>
          <w:color w:val="000000"/>
          <w:sz w:val="20"/>
          <w:szCs w:val="20"/>
        </w:rPr>
        <w:t xml:space="preserve">6.8.7 Blockchain Audit and Consent Lifecycle for the Auditor</w:t>
      </w:r>
      <w:r>
        <w:rPr>
          <w:rFonts w:ascii="Cambria" w:cs="Cambria" w:eastAsia="Cambria" w:hAnsi="Cambria"/>
          <w:color w:val="000000"/>
          <w:sz w:val="20"/>
          <w:szCs w:val="20"/>
        </w:rPr>
        <w:t xml:space="preserve">	137</w:t>
      </w:r>
    </w:p>
    <w:p>
      <w:pPr>
        <w:tabs>
          <w:tab w:val="right" w:pos="9360" w:leader="dot"/>
        </w:tabs>
        <w:spacing w:after="60"/>
        <w:ind w:left="720"/>
      </w:pPr>
      <w:r>
        <w:rPr>
          <w:rFonts w:ascii="Cambria" w:cs="Cambria" w:eastAsia="Cambria" w:hAnsi="Cambria"/>
          <w:b w:val="false"/>
          <w:bCs w:val="false"/>
          <w:color w:val="000000"/>
          <w:sz w:val="20"/>
          <w:szCs w:val="20"/>
        </w:rPr>
        <w:t xml:space="preserve">6.8.8 Detailed Audit Records</w:t>
      </w:r>
      <w:r>
        <w:rPr>
          <w:rFonts w:ascii="Cambria" w:cs="Cambria" w:eastAsia="Cambria" w:hAnsi="Cambria"/>
          <w:color w:val="000000"/>
          <w:sz w:val="20"/>
          <w:szCs w:val="20"/>
        </w:rPr>
        <w:t xml:space="preserve">	140</w:t>
      </w:r>
    </w:p>
    <w:p>
      <w:pPr>
        <w:tabs>
          <w:tab w:val="right" w:pos="9360" w:leader="dot"/>
        </w:tabs>
        <w:spacing w:after="60"/>
        <w:ind w:left="720"/>
      </w:pPr>
      <w:r>
        <w:rPr>
          <w:rFonts w:ascii="Cambria" w:cs="Cambria" w:eastAsia="Cambria" w:hAnsi="Cambria"/>
          <w:b w:val="false"/>
          <w:bCs w:val="false"/>
          <w:color w:val="000000"/>
          <w:sz w:val="20"/>
          <w:szCs w:val="20"/>
        </w:rPr>
        <w:t xml:space="preserve">6.8.9 Complete Audit Ledger and Independent Verification</w:t>
      </w:r>
      <w:r>
        <w:rPr>
          <w:rFonts w:ascii="Cambria" w:cs="Cambria" w:eastAsia="Cambria" w:hAnsi="Cambria"/>
          <w:color w:val="000000"/>
          <w:sz w:val="20"/>
          <w:szCs w:val="20"/>
        </w:rPr>
        <w:t xml:space="preserve">	140</w:t>
      </w:r>
    </w:p>
    <w:p>
      <w:pPr>
        <w:tabs>
          <w:tab w:val="right" w:pos="9360" w:leader="dot"/>
        </w:tabs>
        <w:spacing w:after="60"/>
        <w:ind w:left="720"/>
      </w:pPr>
      <w:r>
        <w:rPr>
          <w:rFonts w:ascii="Cambria" w:cs="Cambria" w:eastAsia="Cambria" w:hAnsi="Cambria"/>
          <w:b w:val="false"/>
          <w:bCs w:val="false"/>
          <w:color w:val="000000"/>
          <w:sz w:val="20"/>
          <w:szCs w:val="20"/>
        </w:rPr>
        <w:t xml:space="preserve">6.8.10 Correspondence Between the Subsystems and the Framework</w:t>
      </w:r>
      <w:r>
        <w:rPr>
          <w:rFonts w:ascii="Cambria" w:cs="Cambria" w:eastAsia="Cambria" w:hAnsi="Cambria"/>
          <w:color w:val="000000"/>
          <w:sz w:val="20"/>
          <w:szCs w:val="20"/>
        </w:rPr>
        <w:t xml:space="preserve">	141</w:t>
      </w:r>
    </w:p>
    <w:p>
      <w:pPr>
        <w:tabs>
          <w:tab w:val="right" w:pos="9360" w:leader="dot"/>
        </w:tabs>
        <w:spacing w:after="60"/>
        <w:ind w:left="720"/>
      </w:pPr>
      <w:r>
        <w:rPr>
          <w:rFonts w:ascii="Cambria" w:cs="Cambria" w:eastAsia="Cambria" w:hAnsi="Cambria"/>
          <w:b w:val="false"/>
          <w:bCs w:val="false"/>
          <w:color w:val="000000"/>
          <w:sz w:val="20"/>
          <w:szCs w:val="20"/>
        </w:rPr>
        <w:t xml:space="preserve">6.8.11 Overall System Demonstration</w:t>
      </w:r>
      <w:r>
        <w:rPr>
          <w:rFonts w:ascii="Cambria" w:cs="Cambria" w:eastAsia="Cambria" w:hAnsi="Cambria"/>
          <w:color w:val="000000"/>
          <w:sz w:val="20"/>
          <w:szCs w:val="20"/>
        </w:rPr>
        <w:t xml:space="preserve">	142</w:t>
      </w:r>
    </w:p>
    <w:p>
      <w:pPr>
        <w:tabs>
          <w:tab w:val="right" w:pos="9360" w:leader="dot"/>
        </w:tabs>
        <w:spacing w:after="60"/>
        <w:ind w:left="720"/>
      </w:pPr>
      <w:r>
        <w:rPr>
          <w:rFonts w:ascii="Cambria" w:cs="Cambria" w:eastAsia="Cambria" w:hAnsi="Cambria"/>
          <w:b w:val="false"/>
          <w:bCs w:val="false"/>
          <w:color w:val="000000"/>
          <w:sz w:val="20"/>
          <w:szCs w:val="20"/>
        </w:rPr>
        <w:t xml:space="preserve">6.8.12 Verification Links</w:t>
      </w:r>
      <w:r>
        <w:rPr>
          <w:rFonts w:ascii="Cambria" w:cs="Cambria" w:eastAsia="Cambria" w:hAnsi="Cambria"/>
          <w:color w:val="000000"/>
          <w:sz w:val="20"/>
          <w:szCs w:val="20"/>
        </w:rPr>
        <w:t xml:space="preserve">	143</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144</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144</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w:t>
      </w:r>
      <w:r>
        <w:rPr>
          <w:rFonts w:ascii="Cambria" w:cs="Cambria" w:eastAsia="Cambria" w:hAnsi="Cambria"/>
          <w:sz w:val="22"/>
          <w:szCs w:val="22"/>
        </w:rPr>
        <w:t xml:space="preserve">	144</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145</w:t>
      </w:r>
    </w:p>
    <w:p>
      <w:pPr>
        <w:tabs>
          <w:tab w:val="right" w:pos="9360" w:leader="dot"/>
        </w:tabs>
        <w:spacing w:after="60"/>
        <w:ind w:left="360"/>
      </w:pPr>
      <w:r>
        <w:rPr>
          <w:rFonts w:ascii="Cambria" w:cs="Cambria" w:eastAsia="Cambria" w:hAnsi="Cambria"/>
          <w:b w:val="false"/>
          <w:bCs w:val="false"/>
          <w:sz w:val="22"/>
          <w:szCs w:val="22"/>
        </w:rPr>
        <w:t xml:space="preserve">7.4 Progress of RO4: Policy-Aware Access Control</w:t>
      </w:r>
      <w:r>
        <w:rPr>
          <w:rFonts w:ascii="Cambria" w:cs="Cambria" w:eastAsia="Cambria" w:hAnsi="Cambria"/>
          <w:sz w:val="22"/>
          <w:szCs w:val="22"/>
        </w:rPr>
        <w:t xml:space="preserve">	145</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146</w:t>
      </w:r>
    </w:p>
    <w:p>
      <w:pPr>
        <w:tabs>
          <w:tab w:val="right" w:pos="9360" w:leader="dot"/>
        </w:tabs>
        <w:spacing w:after="60"/>
        <w:ind w:left="360"/>
      </w:pPr>
      <w:r>
        <w:rPr>
          <w:rFonts w:ascii="Cambria" w:cs="Cambria" w:eastAsia="Cambria" w:hAnsi="Cambria"/>
          <w:b w:val="false"/>
          <w:bCs w:val="false"/>
          <w:sz w:val="22"/>
          <w:szCs w:val="22"/>
        </w:rPr>
        <w:t xml:space="preserve">7.6 Progress of RO6: Security Assurance and Validation</w:t>
      </w:r>
      <w:r>
        <w:rPr>
          <w:rFonts w:ascii="Cambria" w:cs="Cambria" w:eastAsia="Cambria" w:hAnsi="Cambria"/>
          <w:sz w:val="22"/>
          <w:szCs w:val="22"/>
        </w:rPr>
        <w:t xml:space="preserve">	146</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148</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149</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149</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149</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154</w:t>
      </w:r>
    </w:p>
    <w:p>
      <w:pPr>
        <w:pStyle w:val="Heading1"/>
        <w:pageBreakBefore/>
        <w:spacing w:after="160" w:before="400"/>
      </w:pPr>
      <w:r>
        <w:t xml:space="preserve">1  Introduction</w:t>
      </w:r>
    </w:p>
    <w:p>
      <w:pPr>
        <w:pStyle w:val="Heading2"/>
        <w:spacing w:after="160" w:before="280"/>
      </w:pPr>
      <w: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w:t>
      </w:r>
      <w:r>
        <w:rPr>
          <w:rFonts w:ascii="Cambria" w:cs="Cambria" w:eastAsia="Cambria" w:hAnsi="Cambria"/>
          <w:b w:val="false"/>
          <w:bCs w:val="false"/>
          <w:sz w:val="24"/>
          <w:szCs w:val="24"/>
        </w:rPr>
        <w:t xml:space="preserve">[31, 14]</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permission-management mechanisms [28, 25, 11].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other authorised stakeholders [21, 9].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7, 3]. More broadly, blockchain-based approaches have demonstrated the potential to improve the integrity, transparency, and traceability of decentralised data-management processes [8, 1].</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Heading2"/>
        <w:spacing w:after="160" w:before="280"/>
      </w:pPr>
      <w: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sz w:val="24"/>
          <w:szCs w:val="24"/>
        </w:rP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[20, 15]. However, these mechanisms are often investigated independently or integrated primarily at the implementation level without providing a unified Trust Computing model explaining how their combined operation establishes a trustworthy authorisation outcome.</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pStyle w:val="Heading2"/>
        <w:spacing w:after="160" w:before="280"/>
      </w:pPr>
      <w:r>
        <w:t xml:space="preserve">1.3  Research Motivation</w:t>
      </w:r>
    </w:p>
    <w:p>
      <w:pPr>
        <w:spacing w:after="140" w:line="300"/>
        <w:jc w:val="both"/>
      </w:pPr>
      <w:r>
        <w:rPr>
          <w:rFonts w:ascii="Cambria" w:cs="Cambria" w:eastAsia="Cambria" w:hAnsi="Cambria"/>
          <w:color w:val="000000"/>
          <w:sz w:val="24"/>
          <w:szCs w:val="24"/>
        </w:rPr>
        <w:t xml:space="preserve">The framework has been extended to incorporate temporal validity and lifecycle trust.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000000"/>
          <w:sz w:val="24"/>
          <w:szCs w:val="24"/>
        </w:rPr>
        <w:t xml:space="preserve">Adversarial and negative testing has been undertaken using the HALAH prototype, encompassing per-dimension denial scenarios, signature-rejection tests, and zero-knowledge tamper and expiry tests, together with a live negative evaluation on the Sepolia network. Consequently, formal security analysis remains the subject of the next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sz w:val="24"/>
          <w:szCs w:val="24"/>
        </w:rP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sz w:val="24"/>
          <w:szCs w:val="24"/>
        </w:rPr>
        <w:t xml:space="preserve">A consent that was valid when initially approved may subsequently become invalid due to expiration, revocation, or a change in its authorised lifecycle state.</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The distinction between the current contribution and the subsequent research is summarised in Table 1.</w:t>
      </w:r>
    </w:p>
    <w:p>
      <w:pPr>
        <w:spacing w:after="140" w:line="300"/>
        <w:jc w:val="both"/>
      </w:pPr>
      <w:r>
        <w:rPr>
          <w:rFonts w:ascii="Cambria" w:cs="Cambria" w:eastAsia="Cambria" w:hAnsi="Cambria"/>
          <w:color w:val="000000"/>
          <w:sz w:val="24"/>
          <w:szCs w:val="24"/>
        </w:rPr>
        <w:t xml:space="preserve">Table 1 summarises the research dimensions, distinguishing those realised in the implemented HALAH prototype from the formal security assurance that remains for the subsequent research.</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000000"/>
          <w:sz w:val="24"/>
          <w:szCs w:val="24"/>
        </w:rPr>
        <w:t xml:space="preserve">The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keepNext/>
        <w:spacing w:after="80" w:before="160"/>
        <w:jc w:val="center"/>
      </w:pPr>
      <w:r>
        <w:rPr>
          <w:rFonts w:ascii="Cambria" w:cs="Cambria" w:eastAsia="Cambria" w:hAnsi="Cambria"/>
          <w:b/>
          <w:bCs/>
          <w:color w:val="000000"/>
          <w:sz w:val="21"/>
          <w:szCs w:val="21"/>
        </w:rPr>
        <w:t xml:space="preserve">Table 1: </w:t>
      </w:r>
      <w:r>
        <w:rPr>
          <w:rFonts w:ascii="Cambria" w:cs="Cambria" w:eastAsia="Cambria" w:hAnsi="Cambria"/>
          <w:color w:val="000000"/>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Modelling</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pStyle w:val="Heading1"/>
        <w:pageBreakBefore/>
        <w:spacing w:after="160" w:before="400"/>
      </w:pPr>
      <w:r>
        <w:t xml:space="preserve">2  Systematic Literature Review</w:t>
      </w:r>
    </w:p>
    <w:p>
      <w:pPr>
        <w:pStyle w:val="Heading2"/>
        <w:spacing w:after="160" w:before="280"/>
      </w:pPr>
      <w: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w:t>
      </w:r>
      <w:r>
        <w:rPr>
          <w:rFonts w:ascii="Cambria" w:cs="Cambria" w:eastAsia="Cambria" w:hAnsi="Cambria"/>
          <w:color w:val="000000"/>
          <w:sz w:val="24"/>
          <w:szCs w:val="24"/>
        </w:rPr>
        <w:t xml:space="preserve">decentralised trust</w:t>
      </w:r>
      <w:r>
        <w:rPr>
          <w:rFonts w:ascii="Cambria" w:cs="Cambria" w:eastAsia="Cambria" w:hAnsi="Cambria"/>
          <w:sz w:val="24"/>
          <w:szCs w:val="24"/>
        </w:rPr>
        <w:t xml:space="preserve">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spacing w:after="140" w:line="300"/>
        <w:jc w:val="both"/>
      </w:pPr>
      <w:r>
        <w:rPr>
          <w:rFonts w:ascii="Cambria" w:cs="Cambria" w:eastAsia="Cambria" w:hAnsi="Cambria"/>
          <w:color w:val="0000CC"/>
          <w:sz w:val="24"/>
          <w:szCs w:val="24"/>
        </w:rPr>
        <w:t xml:space="preserve">The structure of this chapter is as follows. Section 2.2 presents the six key requirements that a trustworthy multi-party consent authorisation framework should satisfy, which serve as the basis of comparison throughout the review. Section 2.3 describes the process that was adopted to search, shortlist and categorise the studies, including the review questions, the databases, the search string, the eligibility criteria and the PRISMA-based selection. Section 2.4 reviews the shortlisted studies in six thematic streams and assesses each study against the six requirements. Section 2.5 synthesises the review and identifies the research gap from the requirement perspective, and Section 2.6 concludes the chapter.</w:t>
      </w:r>
    </w:p>
    <w:p>
      <w:pPr>
        <w:pStyle w:val="Heading2"/>
        <w:spacing w:after="160" w:before="280"/>
      </w:pPr>
      <w:r>
        <w:rPr>
          <w:color w:val="0000CC"/>
        </w:rPr>
        <w:t xml:space="preserve">2.2  Key Requirements for Trustworthy Multi-Party Consent Authorisation</w:t>
      </w:r>
    </w:p>
    <w:p>
      <w:pPr>
        <w:spacing w:after="140" w:line="300"/>
        <w:jc w:val="both"/>
      </w:pPr>
      <w:r>
        <w:rPr>
          <w:rFonts w:ascii="Cambria" w:cs="Cambria" w:eastAsia="Cambria" w:hAnsi="Cambria"/>
          <w:color w:val="0000CC"/>
          <w:sz w:val="24"/>
          <w:szCs w:val="24"/>
        </w:rPr>
        <w:t xml:space="preserve">This section discusses the requirements that a trustworthy authorisation framework for multi-party patient consent should satisfy. These requirements form the basis on which the existing studies are compared in this SLR. They are derived from the research problem introduced in Chapter 1, and each of them corresponds to one of the six sub-research questions that are formulated in Chapter 3. A consent decision in healthcare is not a single event. It passes through three phases: the phase in which the consent is specified and approved, the phase in which it is enforced at the time of a data-access request, and the phase in which its validity is maintained or withdrawn over time. The six requirements below cover these three phases.</w:t>
      </w:r>
    </w:p>
    <w:p>
      <w:pPr>
        <w:pStyle w:val="Heading3"/>
        <w:spacing w:after="160" w:before="280"/>
      </w:pPr>
      <w:r>
        <w:rPr>
          <w:color w:val="0000CC"/>
        </w:rPr>
        <w:t xml:space="preserve">2.2.1  Representation of consent as an evaluable authorisation object (Req: 1)</w:t>
      </w:r>
    </w:p>
    <w:p>
      <w:pPr>
        <w:spacing w:after="140" w:line="300"/>
        <w:jc w:val="both"/>
      </w:pPr>
      <w:r>
        <w:rPr>
          <w:rFonts w:ascii="Cambria" w:cs="Cambria" w:eastAsia="Cambria" w:hAnsi="Cambria"/>
          <w:color w:val="0000CC"/>
          <w:sz w:val="24"/>
          <w:szCs w:val="24"/>
        </w:rPr>
        <w:t xml:space="preserve">Patient consent is commonly stored as a permission record, a consent receipt, or a transaction on a ledger. Such a record establishes that a consent decision occurred, but it does not by itself state the conditions under which a later access request should be trusted. A trustworthy framework therefore requires that consent is represented as a structured object whose components, namely the participating identities, the authority requirements, the permitted purpose and data scope, the temporal validity, the jurisdiction and the supporting evidence, can be evaluated independently at the time of each request. This is important because the same consent may be valid for one request and invalid for another, depending on who is asking, for what purpose and at what time.</w:t>
      </w:r>
    </w:p>
    <w:p>
      <w:pPr>
        <w:pStyle w:val="Heading3"/>
        <w:spacing w:after="160" w:before="280"/>
      </w:pPr>
      <w:r>
        <w:rPr>
          <w:color w:val="0000CC"/>
        </w:rPr>
        <w:t xml:space="preserve">2.2.2  Decentralised verification of identity and authority (Req: 2)</w:t>
      </w:r>
    </w:p>
    <w:p>
      <w:pPr>
        <w:spacing w:after="140" w:line="300"/>
        <w:jc w:val="both"/>
      </w:pPr>
      <w:r>
        <w:rPr>
          <w:rFonts w:ascii="Cambria" w:cs="Cambria" w:eastAsia="Cambria" w:hAnsi="Cambria"/>
          <w:color w:val="0000CC"/>
          <w:sz w:val="24"/>
          <w:szCs w:val="24"/>
        </w:rPr>
        <w:t xml:space="preserve">The participants in a consent decision, including the patient, the guardians, the healthcare professional and the institution, must be identifiable without relying on a single central identity provider. Decentralised identifiers and verifiable credentials provide this capability. A framework should, however, distinguish between establishing who a participant is and establishing what that participant is permitted to do. A verified identity does not imply authority over a patient's data. Consequently, a trustworthy framework requires that identity verification and authority verification are treated as separate conditions, each with its own evidence.</w:t>
      </w:r>
    </w:p>
    <w:p>
      <w:pPr>
        <w:pStyle w:val="Heading3"/>
        <w:spacing w:after="160" w:before="280"/>
      </w:pPr>
      <w:r>
        <w:rPr>
          <w:color w:val="0000CC"/>
        </w:rPr>
        <w:t xml:space="preserve">2.2.3  Multi-party authorisation through a verifiable threshold (Req: 3)</w:t>
      </w:r>
    </w:p>
    <w:p>
      <w:pPr>
        <w:spacing w:after="140" w:line="300"/>
        <w:jc w:val="both"/>
      </w:pPr>
      <w:r>
        <w:rPr>
          <w:rFonts w:ascii="Cambria" w:cs="Cambria" w:eastAsia="Cambria" w:hAnsi="Cambria"/>
          <w:color w:val="0000CC"/>
          <w:sz w:val="24"/>
          <w:szCs w:val="24"/>
        </w:rPr>
        <w:t xml:space="preserve">In many healthcare situations, a single party cannot lawfully authorise access on its own. Access to the records of a minor, for example, may require the approval of more than one guardian. A framework should therefore support collective approval in which a predefined number of designated parties must each provide an independently verifiable approval before the consent becomes active. This requirement goes beyond a workflow in which several people click an approval button. The approval condition must be represented within the consent object and must be checkable by any party at a later time.</w:t>
      </w:r>
    </w:p>
    <w:p>
      <w:pPr>
        <w:pStyle w:val="Heading3"/>
        <w:spacing w:after="160" w:before="280"/>
      </w:pPr>
      <w:r>
        <w:rPr>
          <w:color w:val="0000CC"/>
        </w:rPr>
        <w:t xml:space="preserve">2.2.4  Policy- and context-aware enforcement at the time of access (Req: 4)</w:t>
      </w:r>
    </w:p>
    <w:p>
      <w:pPr>
        <w:spacing w:after="140" w:line="300"/>
        <w:jc w:val="both"/>
      </w:pPr>
      <w:r>
        <w:rPr>
          <w:rFonts w:ascii="Cambria" w:cs="Cambria" w:eastAsia="Cambria" w:hAnsi="Cambria"/>
          <w:color w:val="0000CC"/>
          <w:sz w:val="24"/>
          <w:szCs w:val="24"/>
        </w:rPr>
        <w:t xml:space="preserve">Even when the identities are valid and the required approvals have been obtained, an access request should be granted only if it conforms to the purpose and the data scope that the patient authorised, and to the contextual constraints that apply to the request, such as the jurisdiction in which the data may be used. A framework should evaluate every request against these constraints rather than relying on the existence of a valid consent record. This is important because most unauthorised disclosures in practice are not caused by unknown requesters but by legitimate requesters who exceed the scope of what was permitted.</w:t>
      </w:r>
    </w:p>
    <w:p>
      <w:pPr>
        <w:pStyle w:val="Heading3"/>
        <w:spacing w:after="160" w:before="280"/>
      </w:pPr>
      <w:r>
        <w:rPr>
          <w:color w:val="0000CC"/>
        </w:rPr>
        <w:t xml:space="preserve">2.2.5  Temporal validity and lifecycle control of consent (Req: 5)</w:t>
      </w:r>
    </w:p>
    <w:p>
      <w:pPr>
        <w:spacing w:after="140" w:line="300"/>
        <w:jc w:val="both"/>
      </w:pPr>
      <w:r>
        <w:rPr>
          <w:rFonts w:ascii="Cambria" w:cs="Cambria" w:eastAsia="Cambria" w:hAnsi="Cambria"/>
          <w:color w:val="0000CC"/>
          <w:sz w:val="24"/>
          <w:szCs w:val="24"/>
        </w:rPr>
        <w:t xml:space="preserve">Trust in a consent decision is not permanent. A consent may expire, may be revoked by the patient, or may pass through intermediate states before it becomes active. A framework should enforce the validity interval of a consent at every request, should make revocation effective immediately and verifiably, and should permit only controlled transitions between lifecycle states. Without this requirement, a consent that was valid when it was granted continues to authorise access long after the patient has withdrawn it.</w:t>
      </w:r>
    </w:p>
    <w:p>
      <w:pPr>
        <w:pStyle w:val="Heading3"/>
        <w:spacing w:after="160" w:before="280"/>
      </w:pPr>
      <w:r>
        <w:rPr>
          <w:color w:val="0000CC"/>
        </w:rPr>
        <w:t xml:space="preserve">2.2.6  Verifiable auditability and security assurance (Req: 6)</w:t>
      </w:r>
    </w:p>
    <w:p>
      <w:pPr>
        <w:spacing w:after="140" w:line="300"/>
        <w:jc w:val="both"/>
      </w:pPr>
      <w:r>
        <w:rPr>
          <w:rFonts w:ascii="Cambria" w:cs="Cambria" w:eastAsia="Cambria" w:hAnsi="Cambria"/>
          <w:color w:val="0000CC"/>
          <w:sz w:val="24"/>
          <w:szCs w:val="24"/>
        </w:rPr>
        <w:t xml:space="preserve">Finally, every consent decision and every access decision should leave evidence that can be verified independently of the application that produced it. A tamper-evident ledger provides such evidence for the events themselves. In addition, the security properties of the framework, such as the impossibility of access after revocation or without sufficient approvals, should be validated, either formally or through systematic adversarial testing. A framework that only demonstrates the successful cases does not establish that the unsuccessful cases are correctly refused.</w:t>
      </w:r>
    </w:p>
    <w:p>
      <w:pPr>
        <w:spacing w:after="140" w:line="300"/>
        <w:jc w:val="both"/>
      </w:pPr>
      <w:r>
        <w:rPr>
          <w:rFonts w:ascii="Cambria" w:cs="Cambria" w:eastAsia="Cambria" w:hAnsi="Cambria"/>
          <w:color w:val="0000CC"/>
          <w:sz w:val="24"/>
          <w:szCs w:val="24"/>
        </w:rPr>
        <w:t xml:space="preserve">These six requirements form the basis of the investigation into the existing approaches in the literature. Therefore, the question of whether each reviewed study assists in addressing these requirements is answered in the study tables of Section 2.4 and in the gap analysis of Section 2.5. The next section details the process that was adopted to identify and shortlist the studies reviewed in this SLR.</w:t>
      </w:r>
    </w:p>
    <w:p>
      <w:pPr>
        <w:pStyle w:val="Heading2"/>
        <w:spacing w:after="160" w:before="280"/>
      </w:pPr>
      <w:r>
        <w:t xml:space="preserve">2.3  Systematic Literature Review Methodology</w:t>
      </w:r>
    </w:p>
    <w:p>
      <w:pPr>
        <w:spacing w:after="140" w:line="300"/>
        <w:jc w:val="both"/>
      </w:pPr>
      <w:r>
        <w:rPr>
          <w:rFonts w:ascii="Cambria" w:cs="Cambria" w:eastAsia="Cambria" w:hAnsi="Cambria"/>
          <w:b w:val="false"/>
          <w:bCs w:val="false"/>
          <w:sz w:val="24"/>
          <w:szCs w:val="24"/>
        </w:rPr>
        <w:t xml:space="preserve">The review corpus comprises the 33 studies identified through the search and screening process described in the remainder of this section. </w:t>
      </w:r>
      <w:r>
        <w:rPr>
          <w:rFonts w:ascii="Cambria" w:cs="Cambria" w:eastAsia="Cambria" w:hAnsi="Cambria"/>
          <w:b w:val="false"/>
          <w:bCs w:val="false"/>
          <w:color w:val="000000"/>
          <w:sz w:val="24"/>
          <w:szCs w:val="24"/>
        </w:rPr>
        <w:t xml:space="preserve">Thirty-two of the 33 included studies were published between 2022 and 2026; one earlier foundational study [31] was retained under the eligibility provision for necessary foundational contributions. The corpus concentrates</w:t>
      </w:r>
      <w:r>
        <w:rPr>
          <w:rFonts w:ascii="Cambria" w:cs="Cambria" w:eastAsia="Cambria" w:hAnsi="Cambria"/>
          <w:b w:val="false"/>
          <w:bCs w:val="false"/>
          <w:sz w:val="24"/>
          <w:szCs w:val="24"/>
        </w:rPr>
        <w:t xml:space="preserve"> on blockchain-based data governance, decentralised identity, verifiable credentials, healthcare access control, and consent management.</w:t>
      </w:r>
    </w:p>
    <w:p>
      <w:pPr>
        <w:spacing w:after="140" w:line="300"/>
        <w:jc w:val="both"/>
      </w:pPr>
      <w:r>
        <w:rPr>
          <w:rFonts w:ascii="Cambria" w:cs="Cambria" w:eastAsia="Cambria" w:hAnsi="Cambria"/>
          <w:b w:val="false"/>
          <w:bCs w:val="false"/>
          <w:sz w:val="24"/>
          <w:szCs w:val="24"/>
        </w:rPr>
        <w:t xml:space="preserve">Within this corpus, references </w:t>
      </w:r>
      <w:r>
        <w:rPr>
          <w:rFonts w:ascii="Cambria" w:cs="Cambria" w:eastAsia="Cambria" w:hAnsi="Cambria"/>
          <w:b w:val="false"/>
          <w:bCs w:val="false"/>
          <w:color w:val="000000"/>
          <w:sz w:val="24"/>
          <w:szCs w:val="24"/>
        </w:rPr>
        <w:t xml:space="preserve">[1, 2, 3, 7, 9, 10, 11, 12, 13, 14, 21, 22, 24, 25, 28, 31, 32]</w:t>
      </w:r>
      <w:r>
        <w:rPr>
          <w:rFonts w:ascii="Cambria" w:cs="Cambria" w:eastAsia="Cambria" w:hAnsi="Cambria"/>
          <w:b w:val="false"/>
          <w:bCs w:val="false"/>
          <w:sz w:val="24"/>
          <w:szCs w:val="24"/>
        </w:rPr>
        <w:t xml:space="preserve"> address the healthcare data sharing, consent, and access-control dimensions of the review, while references </w:t>
      </w:r>
      <w:r>
        <w:rPr>
          <w:rFonts w:ascii="Cambria" w:cs="Cambria" w:eastAsia="Cambria" w:hAnsi="Cambria"/>
          <w:b w:val="false"/>
          <w:bCs w:val="false"/>
          <w:color w:val="000000"/>
          <w:sz w:val="24"/>
          <w:szCs w:val="24"/>
        </w:rPr>
        <w:t xml:space="preserve">[4, 5, 15, 16, 20, 27, 33]</w:t>
      </w:r>
      <w:r>
        <w:rPr>
          <w:rFonts w:ascii="Cambria" w:cs="Cambria" w:eastAsia="Cambria" w:hAnsi="Cambria"/>
          <w:b w:val="false"/>
          <w:bCs w:val="false"/>
          <w:sz w:val="24"/>
          <w:szCs w:val="24"/>
        </w:rPr>
        <w:t xml:space="preserve"> address the decentralised identifier, verifiable credential, and trust-architecture dimensions; the remaining studies contribute to multi-party governance and security assurance.</w:t>
      </w:r>
    </w:p>
    <w:p>
      <w:pPr>
        <w:pStyle w:val="Heading3"/>
        <w:spacing w:after="160" w:before="280"/>
      </w:pPr>
      <w:r>
        <w:t xml:space="preserve">2.3.1  Review Design and Reporting Framework</w:t>
      </w:r>
    </w:p>
    <w:p>
      <w:pPr>
        <w:spacing w:after="140" w:line="300"/>
        <w:jc w:val="both"/>
      </w:pPr>
      <w:r>
        <w:rPr>
          <w:rFonts w:ascii="Cambria" w:cs="Cambria" w:eastAsia="Cambria" w:hAnsi="Cambria"/>
          <w:sz w:val="24"/>
          <w:szCs w:val="24"/>
        </w:rPr>
        <w:t xml:space="preserve">A systematic literature review (SLR) was conducted to identify, classify, and critically evaluate existing research on multi-party healthcare data sharing, patient consent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privacy-preserving access control, and auditability. The review was designed to establish the conceptual and technical foundations of the research and thus </w:t>
      </w:r>
      <w:r>
        <w:rPr>
          <w:rFonts w:ascii="Cambria" w:cs="Cambria" w:eastAsia="Cambria" w:hAnsi="Cambria"/>
          <w:color w:val="000000"/>
          <w:sz w:val="24"/>
          <w:szCs w:val="24"/>
        </w:rPr>
        <w:t xml:space="preserve">of the</w:t>
      </w:r>
      <w:r>
        <w:rPr>
          <w:rFonts w:ascii="Cambria" w:cs="Cambria" w:eastAsia="Cambria" w:hAnsi="Cambria"/>
          <w:sz w:val="24"/>
          <w:szCs w:val="24"/>
        </w:rPr>
        <w:t xml:space="preserv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enforcement, privacy preservation, and auditable data access.</w:t>
      </w:r>
    </w:p>
    <w:p>
      <w:pPr>
        <w:spacing w:after="140" w:line="300"/>
        <w:jc w:val="both"/>
      </w:pPr>
      <w:r>
        <w:rPr>
          <w:rFonts w:ascii="Cambria" w:cs="Cambria" w:eastAsia="Cambria" w:hAnsi="Cambria"/>
          <w:sz w:val="24"/>
          <w:szCs w:val="24"/>
        </w:rPr>
        <w:t xml:space="preserve">The review process was structured according to the Preferred Reporting Items for Systematic Reviews and Meta-Analyses (PRISMA) framework </w:t>
      </w:r>
      <w:r>
        <w:rPr>
          <w:rFonts w:ascii="Cambria" w:cs="Cambria" w:eastAsia="Cambria" w:hAnsi="Cambria"/>
          <w:color w:val="000000"/>
          <w:sz w:val="24"/>
          <w:szCs w:val="24"/>
        </w:rPr>
        <w:t xml:space="preserve">[34]</w:t>
      </w:r>
      <w:r>
        <w:rPr>
          <w:rFonts w:ascii="Cambria" w:cs="Cambria" w:eastAsia="Cambria" w:hAnsi="Cambria"/>
          <w:sz w:val="24"/>
          <w:szCs w:val="24"/>
        </w:rPr>
        <w:t xml:space="preserve">.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w:t>
      </w:r>
    </w:p>
    <w:p>
      <w:pPr>
        <w:pStyle w:val="Heading3"/>
        <w:spacing w:after="160" w:before="280"/>
      </w:pPr>
      <w:r>
        <w:t xml:space="preserve">2.3.2  Questions for Review</w:t>
      </w:r>
    </w:p>
    <w:p>
      <w:pPr>
        <w:spacing w:after="140" w:line="300"/>
        <w:jc w:val="both"/>
      </w:pPr>
      <w:r>
        <w:rPr>
          <w:rFonts w:ascii="Cambria" w:cs="Cambria" w:eastAsia="Cambria" w:hAnsi="Cambria"/>
          <w:sz w:val="24"/>
          <w:szCs w:val="24"/>
        </w:rPr>
        <w:t xml:space="preserve">This systematic literature review is guided by the following questions</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What multi-party trust approaches have been proposed for healthcare data sharing and patient consent management?</w:t>
      </w:r>
    </w:p>
    <w:p>
      <w:pPr>
        <w:spacing w:after="140" w:line="300"/>
        <w:jc w:val="both"/>
      </w:pPr>
      <w:r>
        <w:rPr>
          <w:rFonts w:ascii="Cambria" w:cs="Cambria" w:eastAsia="Cambria" w:hAnsi="Cambria"/>
          <w:sz w:val="24"/>
          <w:szCs w:val="24"/>
        </w:rPr>
        <w:t xml:space="preserve">2. How do existing approaches represent, verify, and enforce patient consent and data access permissions?</w:t>
      </w:r>
    </w:p>
    <w:p>
      <w:pPr>
        <w:spacing w:after="140" w:line="300"/>
        <w:jc w:val="both"/>
      </w:pPr>
      <w:r>
        <w:rPr>
          <w:rFonts w:ascii="Cambria" w:cs="Cambria" w:eastAsia="Cambria" w:hAnsi="Cambria"/>
          <w:sz w:val="24"/>
          <w:szCs w:val="24"/>
        </w:rPr>
        <w:t xml:space="preserve">3. What mechanisms are used to support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verifiable credentials, and authentication in healthcare data ecosystems?</w:t>
      </w:r>
    </w:p>
    <w:p>
      <w:pPr>
        <w:spacing w:after="140" w:line="300"/>
        <w:jc w:val="both"/>
      </w:pPr>
      <w:r>
        <w:rPr>
          <w:rFonts w:ascii="Cambria" w:cs="Cambria" w:eastAsia="Cambria" w:hAnsi="Cambria"/>
          <w:sz w:val="24"/>
          <w:szCs w:val="24"/>
        </w:rPr>
        <w:t xml:space="preserve">4. How do existing systems address privacy preservation, selective disclosure, interoperability, and auditability?</w:t>
      </w:r>
    </w:p>
    <w:p>
      <w:pPr>
        <w:spacing w:after="140" w:line="300"/>
        <w:jc w:val="both"/>
      </w:pPr>
      <w:r>
        <w:rPr>
          <w:rFonts w:ascii="Cambria" w:cs="Cambria" w:eastAsia="Cambria" w:hAnsi="Cambria"/>
          <w:sz w:val="24"/>
          <w:szCs w:val="24"/>
        </w:rPr>
        <w:t xml:space="preserve">5. What limitations remain regarding the integration of consent management, identity verification, access control, and auditable healthcare data sharing?</w:t>
      </w:r>
    </w:p>
    <w:p>
      <w:pPr>
        <w:spacing w:after="140" w:line="300"/>
        <w:jc w:val="both"/>
      </w:pPr>
      <w:r>
        <w:rPr>
          <w:rFonts w:ascii="Cambria" w:cs="Cambria" w:eastAsia="Cambria" w:hAnsi="Cambria"/>
          <w:color w:val="000000"/>
          <w:sz w:val="24"/>
          <w:szCs w:val="24"/>
        </w:rPr>
        <w:t xml:space="preserve">6. How do existing systems manage the temporal validity and lifecycle of consent, including expiration, revocation, and state transitions, after consent has been granted?</w:t>
      </w:r>
    </w:p>
    <w:p>
      <w:pPr>
        <w:spacing w:after="140" w:line="300"/>
        <w:jc w:val="both"/>
      </w:pPr>
      <w:r>
        <w:rPr>
          <w:rFonts w:ascii="Cambria" w:cs="Cambria" w:eastAsia="Cambria" w:hAnsi="Cambria"/>
          <w:color w:val="000000"/>
          <w:sz w:val="24"/>
          <w:szCs w:val="24"/>
        </w:rPr>
        <w:t xml:space="preserve">7. How are the security properties of existing consent and access-control systems evaluated, and to what extent is formal security analysis employed alongside empirical prototyping?</w:t>
      </w:r>
    </w:p>
    <w:p>
      <w:pPr>
        <w:spacing w:after="140" w:line="300"/>
        <w:jc w:val="both"/>
      </w:pPr>
      <w:r>
        <w:rPr>
          <w:rFonts w:ascii="Cambria" w:cs="Cambria" w:eastAsia="Cambria" w:hAnsi="Cambria"/>
          <w:sz w:val="24"/>
          <w:szCs w:val="24"/>
        </w:rP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p>
      <w:pPr>
        <w:pStyle w:val="Heading3"/>
        <w:spacing w:after="160" w:before="280"/>
      </w:pPr>
      <w:r>
        <w:t xml:space="preserve">2.3.3  Search Databases and Search Strategy</w:t>
      </w:r>
    </w:p>
    <w:p>
      <w:pPr>
        <w:spacing w:after="140" w:line="300"/>
        <w:jc w:val="both"/>
      </w:pPr>
      <w:r>
        <w:rPr>
          <w:rFonts w:ascii="Cambria" w:cs="Cambria" w:eastAsia="Cambria" w:hAnsi="Cambria"/>
          <w:sz w:val="24"/>
          <w:szCs w:val="24"/>
        </w:rPr>
        <w:t xml:space="preserve">The literature search was conducted using the following academic databases</w:t>
      </w:r>
      <w:r>
        <w:rPr>
          <w:rFonts w:ascii="Cambria" w:cs="Cambria" w:eastAsia="Cambria" w:hAnsi="Cambria"/>
          <w:color w:val="000000"/>
          <w:sz w:val="24"/>
          <w:szCs w:val="24"/>
        </w:rPr>
        <w:t xml:space="preserve">: 1) IEEE Xplore, 2) ACM Digital Library, 3) ScienceDirect, 4) SpringerLink, 5) PubMed, 6) Scopus, and 7) Web of Science</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spacing w:after="140" w:line="300"/>
        <w:jc w:val="both"/>
      </w:pPr>
      <w:r>
        <w:rPr>
          <w:rFonts w:ascii="Cambria" w:cs="Cambria" w:eastAsia="Cambria" w:hAnsi="Cambria"/>
          <w:sz w:val="24"/>
          <w:szCs w:val="24"/>
        </w:rP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w:t>
      </w:r>
      <w:r>
        <w:rPr>
          <w:rFonts w:ascii="Cambria" w:cs="Cambria" w:eastAsia="Cambria" w:hAnsi="Cambria"/>
          <w:color w:val="000000"/>
          <w:sz w:val="24"/>
          <w:szCs w:val="24"/>
        </w:rPr>
        <w:t xml:space="preserve">blockchain and distributed-ledger technology,</w:t>
      </w:r>
      <w:r>
        <w:rPr>
          <w:rFonts w:ascii="Cambria" w:cs="Cambria" w:eastAsia="Cambria" w:hAnsi="Cambria"/>
          <w:sz w:val="24"/>
          <w:szCs w:val="24"/>
        </w:rPr>
        <w:t xml:space="preserve"> healthcare data, patient consent,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access control, privacy, and auditability. The general search string was defined as shown in Figure 1.</w:t>
      </w:r>
    </w:p>
    <w:p>
      <w:pPr>
        <w:spacing w:after="140" w:line="300"/>
        <w:jc w:val="both"/>
      </w:pPr>
      <w:r>
        <w:rPr>
          <w:rFonts w:ascii="Cambria" w:cs="Cambria" w:eastAsia="Cambria" w:hAnsi="Cambria"/>
          <w:b w:val="false"/>
          <w:bCs w:val="false"/>
          <w:sz w:val="24"/>
          <w:szCs w:val="24"/>
        </w:rPr>
        <w:t xml:space="preserve">The supporting-requirements block of the search string additionally captured trusted-execution terminology (trusted computing, trusted execution environment, attestation), which yielded the secure-execution studies reviewed in Section 2.4.6.</w:t>
      </w:r>
    </w:p>
    <w:p>
      <w:pPr>
        <w:keepNext/>
        <w:spacing w:after="60" w:before="140"/>
        <w:jc w:val="center"/>
      </w:pPr>
      <w:r>
        <w:drawing>
          <wp:inline distT="0" distB="0" distL="0" distR="0">
            <wp:extent cx="5715000" cy="4010025"/>
            <wp:effectExtent t="0" r="0" b="0" l="0"/>
            <wp:docPr id="1" name="gfig1f.png" descr="Figure 1: SLR Search String Definition" title="Figure 1: SLR Search String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10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w:t>
      </w:r>
    </w:p>
    <w:p>
      <w:pPr>
        <w:jc w:val="center"/>
      </w:pPr>
      <w:r>
        <w:rPr>
          <w:rFonts w:ascii="Cambria" w:cs="Cambria" w:eastAsia="Cambria" w:hAnsi="Cambria"/>
          <w:i/>
          <w:iCs/>
          <w:sz w:val="20"/>
          <w:szCs w:val="20"/>
        </w:rPr>
        <w:t xml:space="preserve">[Figure 1: SLR Search String Definition (updated: blockchain and distributed-ledger terminology added to the Multi-Party Trust block, and trusted computing, trusted execution environment, and attestation added to the Supporting Requirements block, in line with Section 2.2.3)]</w:t>
      </w:r>
    </w:p>
    <w:p>
      <w:pPr>
        <w:pStyle w:val="Heading3"/>
        <w:spacing w:after="160" w:before="280"/>
      </w:pPr>
      <w:r>
        <w:t xml:space="preserve">2.3.4  Search Period and Search Execution</w:t>
      </w:r>
    </w:p>
    <w:p>
      <w:pPr>
        <w:spacing w:after="140" w:line="300"/>
        <w:jc w:val="both"/>
      </w:pPr>
      <w:r>
        <w:rPr>
          <w:rFonts w:ascii="Cambria" w:cs="Cambria" w:eastAsia="Cambria" w:hAnsi="Cambria"/>
          <w:sz w:val="24"/>
          <w:szCs w:val="24"/>
        </w:rPr>
        <w:t xml:space="preserve">The search was restricted to studies published between </w:t>
      </w:r>
      <w:r>
        <w:rPr>
          <w:rFonts w:ascii="Cambria" w:cs="Cambria" w:eastAsia="Cambria" w:hAnsi="Cambria"/>
          <w:color w:val="000000"/>
          <w:sz w:val="24"/>
          <w:szCs w:val="24"/>
        </w:rPr>
        <w:t xml:space="preserve">January 2022 and the search date, and was performed in August 2026</w:t>
      </w:r>
      <w:r>
        <w:rPr>
          <w:rFonts w:ascii="Cambria" w:cs="Cambria" w:eastAsia="Cambria" w:hAnsi="Cambria"/>
          <w:sz w:val="24"/>
          <w:szCs w:val="24"/>
        </w:rPr>
        <w:t xml:space="preserve">. The search period was selected to capture the rapid development of multi-party trust healthcare data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consent-aware access control while maintaining a sufficiently contemporary evidence base. Earlier foundational studies were retained when they provided critical contributions to the technical or conceptual development of the reviewed approaches.</w:t>
      </w:r>
    </w:p>
    <w:p>
      <w:pPr>
        <w:spacing w:after="140" w:line="300"/>
        <w:jc w:val="both"/>
      </w:pPr>
      <w:r>
        <w:rPr>
          <w:rFonts w:ascii="Cambria" w:cs="Cambria" w:eastAsia="Cambria" w:hAnsi="Cambria"/>
          <w:sz w:val="24"/>
          <w:szCs w:val="24"/>
        </w:rP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Heading3"/>
        <w:spacing w:after="160" w:before="280"/>
      </w:pPr>
      <w:r>
        <w:t xml:space="preserve">2.3.5  Eligibility Criteria</w:t>
      </w:r>
    </w:p>
    <w:p>
      <w:pPr>
        <w:spacing w:after="140" w:line="300"/>
        <w:jc w:val="both"/>
      </w:pPr>
      <w:r>
        <w:rPr>
          <w:rFonts w:ascii="Cambria" w:cs="Cambria" w:eastAsia="Cambria" w:hAnsi="Cambria"/>
          <w:sz w:val="24"/>
          <w:szCs w:val="24"/>
        </w:rPr>
        <w:t xml:space="preserve">The eligibility criteria were defined before the screening process to ensure consistency in the selection of studies. The criteria were designed to identify research that was directly relevant to the objectives of the SLR.</w:t>
      </w:r>
    </w:p>
    <w:p>
      <w:pPr>
        <w:spacing w:after="140" w:line="300"/>
        <w:jc w:val="both"/>
      </w:pPr>
      <w:r>
        <w:rPr>
          <w:rFonts w:ascii="Cambria" w:cs="Cambria" w:eastAsia="Cambria" w:hAnsi="Cambria"/>
          <w:sz w:val="24"/>
          <w:szCs w:val="24"/>
        </w:rPr>
        <w:t xml:space="preserve">A study was included if it satisfied the following criteria</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The study was published as a peer-reviewed journal article, conference paper, or systematic review relevant to the research questions.</w:t>
      </w:r>
    </w:p>
    <w:p>
      <w:pPr>
        <w:spacing w:after="140" w:line="300"/>
        <w:jc w:val="both"/>
      </w:pPr>
      <w:r>
        <w:rPr>
          <w:rFonts w:ascii="Cambria" w:cs="Cambria" w:eastAsia="Cambria" w:hAnsi="Cambria"/>
          <w:sz w:val="24"/>
          <w:szCs w:val="24"/>
        </w:rPr>
        <w:t xml:space="preserve">2. The study addressed healthcare data sharing, electronic health records, patient consent, healthcare access control,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privacy preservation, or a closely related topic.</w:t>
      </w:r>
    </w:p>
    <w:p>
      <w:pPr>
        <w:spacing w:after="140" w:line="300"/>
        <w:jc w:val="both"/>
      </w:pPr>
      <w:r>
        <w:rPr>
          <w:rFonts w:ascii="Cambria" w:cs="Cambria" w:eastAsia="Cambria" w:hAnsi="Cambria"/>
          <w:sz w:val="24"/>
          <w:szCs w:val="24"/>
        </w:rPr>
        <w:t xml:space="preserve">3. The study proposed, implemented, evaluated, or critically reviewed a technical, architectural, conceptual, or governance-oriented approach relevant to the research questions.</w:t>
      </w:r>
    </w:p>
    <w:p>
      <w:pPr>
        <w:spacing w:after="140" w:line="300"/>
        <w:jc w:val="both"/>
      </w:pPr>
      <w:r>
        <w:rPr>
          <w:rFonts w:ascii="Cambria" w:cs="Cambria" w:eastAsia="Cambria" w:hAnsi="Cambria"/>
          <w:sz w:val="24"/>
          <w:szCs w:val="24"/>
        </w:rPr>
        <w:t xml:space="preserve">4. The study provided sufficient methodological or conceptual information to support the extraction of relevant findings.</w:t>
      </w:r>
    </w:p>
    <w:p>
      <w:pPr>
        <w:spacing w:after="140" w:line="300"/>
        <w:jc w:val="both"/>
      </w:pPr>
      <w:r>
        <w:rPr>
          <w:rFonts w:ascii="Cambria" w:cs="Cambria" w:eastAsia="Cambria" w:hAnsi="Cambria"/>
          <w:sz w:val="24"/>
          <w:szCs w:val="24"/>
        </w:rPr>
        <w:t xml:space="preserve">5. The full text was available for inspection.</w:t>
      </w:r>
    </w:p>
    <w:p>
      <w:pPr>
        <w:spacing w:after="140" w:line="300"/>
        <w:jc w:val="both"/>
      </w:pPr>
      <w:r>
        <w:rPr>
          <w:rFonts w:ascii="Cambria" w:cs="Cambria" w:eastAsia="Cambria" w:hAnsi="Cambria"/>
          <w:sz w:val="24"/>
          <w:szCs w:val="24"/>
        </w:rPr>
        <w:t xml:space="preserve">6. The publication language was English.</w:t>
      </w:r>
    </w:p>
    <w:p>
      <w:pPr>
        <w:spacing w:after="140" w:line="300"/>
        <w:jc w:val="both"/>
      </w:pPr>
      <w:r>
        <w:rPr>
          <w:rFonts w:ascii="Cambria" w:cs="Cambria" w:eastAsia="Cambria" w:hAnsi="Cambria"/>
          <w:sz w:val="24"/>
          <w:szCs w:val="24"/>
        </w:rPr>
        <w:t xml:space="preserve">Studies were excluded if they satisfied one or more of the following conditions</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The study was unrelated to healthcare data sharing, patient consent, identity management, access control, privacy, or auditability.</w:t>
      </w:r>
    </w:p>
    <w:p>
      <w:pPr>
        <w:spacing w:after="140" w:line="300"/>
        <w:jc w:val="both"/>
      </w:pPr>
      <w:r>
        <w:rPr>
          <w:rFonts w:ascii="Cambria" w:cs="Cambria" w:eastAsia="Cambria" w:hAnsi="Cambria"/>
          <w:sz w:val="24"/>
          <w:szCs w:val="24"/>
        </w:rPr>
        <w:t xml:space="preserve">2. The study was a duplicate of another retrieved record.</w:t>
      </w:r>
    </w:p>
    <w:p>
      <w:pPr>
        <w:spacing w:after="140" w:line="300"/>
        <w:jc w:val="both"/>
      </w:pPr>
      <w:r>
        <w:rPr>
          <w:rFonts w:ascii="Cambria" w:cs="Cambria" w:eastAsia="Cambria" w:hAnsi="Cambria"/>
          <w:sz w:val="24"/>
          <w:szCs w:val="24"/>
        </w:rPr>
        <w:t xml:space="preserve">3. The study was a short abstract, editorial, opinion article, thesis, book chapter, or non-peer-reviewed publication without sufficient methodological detail, unless it provided a necessary foundational contribution.</w:t>
      </w:r>
    </w:p>
    <w:p>
      <w:pPr>
        <w:spacing w:after="140" w:line="300"/>
        <w:jc w:val="both"/>
      </w:pPr>
      <w:r>
        <w:rPr>
          <w:rFonts w:ascii="Cambria" w:cs="Cambria" w:eastAsia="Cambria" w:hAnsi="Cambria"/>
          <w:sz w:val="24"/>
          <w:szCs w:val="24"/>
        </w:rPr>
        <w:t xml:space="preserve">4. The study did not provide sufficient information to evaluate its contribution to the research questions.</w:t>
      </w:r>
    </w:p>
    <w:p>
      <w:pPr>
        <w:spacing w:after="140" w:line="300"/>
        <w:jc w:val="both"/>
      </w:pPr>
      <w:r>
        <w:rPr>
          <w:rFonts w:ascii="Cambria" w:cs="Cambria" w:eastAsia="Cambria" w:hAnsi="Cambria"/>
          <w:sz w:val="24"/>
          <w:szCs w:val="24"/>
        </w:rPr>
        <w:t xml:space="preserve">5. The full text was unavailable.</w:t>
      </w:r>
    </w:p>
    <w:p>
      <w:pPr>
        <w:spacing w:after="140" w:line="300"/>
        <w:jc w:val="both"/>
      </w:pPr>
      <w:r>
        <w:rPr>
          <w:rFonts w:ascii="Cambria" w:cs="Cambria" w:eastAsia="Cambria" w:hAnsi="Cambria"/>
          <w:sz w:val="24"/>
          <w:szCs w:val="24"/>
        </w:rPr>
        <w:t xml:space="preserve">6. The study focused exclusively on a technical problem that was outside the scope of healthcare data management and did not provide transferable insights relevant to the review.</w:t>
      </w:r>
    </w:p>
    <w:p>
      <w:pPr>
        <w:spacing w:after="140" w:line="300"/>
        <w:jc w:val="both"/>
      </w:pPr>
      <w:r>
        <w:rPr>
          <w:rFonts w:ascii="Cambria" w:cs="Cambria" w:eastAsia="Cambria" w:hAnsi="Cambria"/>
          <w:sz w:val="24"/>
          <w:szCs w:val="24"/>
        </w:rP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spacing w:after="140" w:line="300"/>
        <w:jc w:val="both"/>
      </w:pPr>
      <w:r>
        <w:rPr>
          <w:rFonts w:ascii="Cambria" w:cs="Cambria" w:eastAsia="Cambria" w:hAnsi="Cambria"/>
          <w:color w:val="000000"/>
          <w:sz w:val="24"/>
          <w:szCs w:val="24"/>
        </w:rPr>
        <w:t xml:space="preserve">A small number of included studies address domains other than healthcare, such as cross-organisational livestock data sharing, archival record-keeping, smart agriculture, electric-vehicle charging, and smart-city data governance [6, 8, 17, 27, 30]. These studies were retained under criterion 6 because they provide transferable insights on decentralised trust, verifiable credentials, and auditable data governance that bear directly on the review questions.</w:t>
      </w:r>
      <w:r>
        <w:rPr>
          <w:rFonts w:ascii="Cambria" w:cs="Cambria" w:eastAsia="Cambria" w:hAnsi="Cambria"/>
          <w:sz w:val="24"/>
          <w:szCs w:val="24"/>
        </w:rPr>
        <w:t xml:space="preserve"> </w:t>
      </w:r>
      <w:r>
        <w:rPr>
          <w:rFonts w:ascii="Cambria" w:cs="Cambria" w:eastAsia="Cambria" w:hAnsi="Cambria"/>
          <w:color w:val="007A00"/>
          <w:sz w:val="24"/>
          <w:szCs w:val="24"/>
        </w:rPr>
        <w:t xml:space="preserve">Similarly, the healthcare studies [9, 14, 31] contribute contextual evidence on patient attitudes, confidentiality and guardianship rather than technical mechanisms, and they are assessed on that basis in the study tables of Section 2.4.</w:t>
      </w:r>
    </w:p>
    <w:p>
      <w:pPr>
        <w:pStyle w:val="Heading3"/>
        <w:spacing w:after="160" w:before="280"/>
      </w:pPr>
      <w:r>
        <w:t xml:space="preserve">2.3.6  Screening and Study Selection</w:t>
      </w:r>
    </w:p>
    <w:p>
      <w:pPr>
        <w:spacing w:after="140" w:line="300"/>
        <w:jc w:val="both"/>
      </w:pPr>
      <w:r>
        <w:rPr>
          <w:rFonts w:ascii="Cambria" w:cs="Cambria" w:eastAsia="Cambria" w:hAnsi="Cambria"/>
          <w:sz w:val="24"/>
          <w:szCs w:val="24"/>
        </w:rPr>
        <w:t xml:space="preserve">The screening process consisted of three sequential stages: title and abstract screening, full-text eligibility assessment, and final inclusion.</w:t>
      </w:r>
    </w:p>
    <w:p>
      <w:pPr>
        <w:spacing w:after="140" w:line="300"/>
        <w:jc w:val="both"/>
      </w:pPr>
      <w:r>
        <w:rPr>
          <w:rFonts w:ascii="Cambria" w:cs="Cambria" w:eastAsia="Cambria" w:hAnsi="Cambria"/>
          <w:sz w:val="24"/>
          <w:szCs w:val="24"/>
        </w:rP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privacy, and healthcare data sharing.</w:t>
      </w:r>
    </w:p>
    <w:p>
      <w:pPr>
        <w:spacing w:after="140" w:line="300"/>
        <w:jc w:val="both"/>
      </w:pPr>
      <w:r>
        <w:rPr>
          <w:rFonts w:ascii="Cambria" w:cs="Cambria" w:eastAsia="Cambria" w:hAnsi="Cambria"/>
          <w:sz w:val="24"/>
          <w:szCs w:val="24"/>
        </w:rP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keepNext/>
        <w:spacing w:after="60" w:before="140"/>
        <w:jc w:val="center"/>
      </w:pPr>
      <w:r>
        <w:drawing>
          <wp:inline distT="0" distB="0" distL="0" distR="0">
            <wp:extent cx="5715000" cy="3981450"/>
            <wp:effectExtent t="0" r="0" b="0" l="0"/>
            <wp:docPr id="1" name="gfig2.png" descr="Figure 2: PRISMA Study Selection Summary" title="Figure 2: PRISMA Study Selec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81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Study Selection Summary</w:t>
      </w:r>
    </w:p>
    <w:p>
      <w:pPr>
        <w:jc w:val="center"/>
      </w:pPr>
      <w:r>
        <w:rPr>
          <w:rFonts w:ascii="Cambria" w:cs="Cambria" w:eastAsia="Cambria" w:hAnsi="Cambria"/>
          <w:i/>
          <w:iCs/>
          <w:sz w:val="20"/>
          <w:szCs w:val="20"/>
        </w:rPr>
        <w:t xml:space="preserve">[Figure 2: PRISMA Study Selection Summary]</w:t>
      </w:r>
    </w:p>
    <w:p>
      <w:pPr>
        <w:spacing w:after="140" w:line="300"/>
        <w:jc w:val="both"/>
      </w:pPr>
      <w:r>
        <w:rPr>
          <w:rFonts w:ascii="Cambria" w:cs="Cambria" w:eastAsia="Cambria" w:hAnsi="Cambria"/>
          <w:sz w:val="24"/>
          <w:szCs w:val="24"/>
        </w:rPr>
        <w:t xml:space="preserve">Figure 2 presents the PRISMA flow diagram for this review</w:t>
      </w:r>
      <w:r>
        <w:rPr>
          <w:rFonts w:ascii="Cambria" w:cs="Cambria" w:eastAsia="Cambria" w:hAnsi="Cambria"/>
          <w:color w:val="000000"/>
          <w:sz w:val="24"/>
          <w:szCs w:val="24"/>
        </w:rPr>
        <w:t xml:space="preserve">, which summarises</w:t>
      </w:r>
      <w:r>
        <w:rPr>
          <w:rFonts w:ascii="Cambria" w:cs="Cambria" w:eastAsia="Cambria" w:hAnsi="Cambria"/>
          <w:sz w:val="24"/>
          <w:szCs w:val="24"/>
        </w:rPr>
        <w:t xml:space="preserve"> the identification, screening, eligibility, and inclusion stages of the SLR. The final number of included studies was derived after completing the screening and eligibility assessment across the identified literature base.</w:t>
      </w:r>
    </w:p>
    <w:p>
      <w:pPr>
        <w:spacing w:after="140" w:line="300"/>
        <w:jc w:val="both"/>
      </w:pPr>
      <w:r>
        <w:rPr>
          <w:rFonts w:ascii="Cambria" w:cs="Cambria" w:eastAsia="Cambria" w:hAnsi="Cambria"/>
          <w:b w:val="false"/>
          <w:bCs w:val="false"/>
          <w:sz w:val="24"/>
          <w:szCs w:val="24"/>
        </w:rPr>
        <w:t xml:space="preserve">Seven of the removed records were flagged as ineligible during automated pre-screening (non-English sources and non-peer-reviewed material) and were excluded before the manual title and abstract screening.</w:t>
      </w:r>
    </w:p>
    <w:p>
      <w:pPr>
        <w:spacing w:after="140" w:line="300"/>
        <w:jc w:val="both"/>
      </w:pPr>
      <w:r>
        <w:rPr>
          <w:rFonts w:ascii="Cambria" w:cs="Cambria" w:eastAsia="Cambria" w:hAnsi="Cambria"/>
          <w:color w:val="000000"/>
          <w:sz w:val="24"/>
          <w:szCs w:val="24"/>
        </w:rPr>
        <w:t xml:space="preserve">In numerical terms, the database searches returned 125 records. Before screening, 35 duplicate records and the seven records flagged during automated pre-screening were removed, leaving 83 records for title and abstract screening. Of these, 40 records were excluded as unrelated to the review scope and 43 reports were sought for retrieval; three full texts were inaccessible, so 40 reports were assessed for eligibility. Seven reports were excluded at this stage, three for insufficient technical or architectural detail and four for scope mismatch with the consent and decentralised-identity focus of the review, and 33 studies were included in the final qualitative synthesis, exactly as reported in Figure 2.</w:t>
      </w:r>
    </w:p>
    <w:p>
      <w:pPr>
        <w:pStyle w:val="Heading3"/>
        <w:spacing w:after="160" w:before="280"/>
      </w:pPr>
      <w:r>
        <w:t xml:space="preserve">2.3.7  Data Extraction and Synthesis</w:t>
      </w:r>
    </w:p>
    <w:p>
      <w:pPr>
        <w:spacing w:after="140" w:line="300"/>
        <w:jc w:val="both"/>
      </w:pPr>
      <w:r>
        <w:rPr>
          <w:rFonts w:ascii="Cambria" w:cs="Cambria" w:eastAsia="Cambria" w:hAnsi="Cambria"/>
          <w:sz w:val="24"/>
          <w:szCs w:val="24"/>
        </w:rP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spacing w:after="140" w:line="300"/>
        <w:jc w:val="both"/>
      </w:pPr>
      <w:r>
        <w:rPr>
          <w:rFonts w:ascii="Cambria" w:cs="Cambria" w:eastAsia="Cambria" w:hAnsi="Cambria"/>
          <w:sz w:val="24"/>
          <w:szCs w:val="24"/>
        </w:rPr>
        <w:t xml:space="preserve">The extracted data were </w:t>
      </w:r>
      <w:r>
        <w:rPr>
          <w:rFonts w:ascii="Cambria" w:cs="Cambria" w:eastAsia="Cambria" w:hAnsi="Cambria"/>
          <w:color w:val="000000"/>
          <w:sz w:val="24"/>
          <w:szCs w:val="24"/>
        </w:rPr>
        <w:t xml:space="preserve">organised</w:t>
      </w:r>
      <w:r>
        <w:rPr>
          <w:rFonts w:ascii="Cambria" w:cs="Cambria" w:eastAsia="Cambria" w:hAnsi="Cambria"/>
          <w:sz w:val="24"/>
          <w:szCs w:val="24"/>
        </w:rPr>
        <w:t xml:space="preserve"> into thematic categories corresponding to the research questions. These categories included consent specification and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credential verification,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access control, privacy preservation, interoperability, auditability, and system evaluation.</w:t>
      </w:r>
    </w:p>
    <w:p>
      <w:pPr>
        <w:spacing w:after="140" w:line="300"/>
        <w:jc w:val="both"/>
      </w:pPr>
      <w:r>
        <w:rPr>
          <w:rFonts w:ascii="Cambria" w:cs="Cambria" w:eastAsia="Cambria" w:hAnsi="Cambria"/>
          <w:sz w:val="24"/>
          <w:szCs w:val="24"/>
        </w:rP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auditable access records, and mechanisms for preserving patient autonomy.</w:t>
      </w:r>
    </w:p>
    <w:p>
      <w:pPr>
        <w:spacing w:after="140" w:line="300"/>
        <w:jc w:val="both"/>
      </w:pPr>
      <w:r>
        <w:rPr>
          <w:rFonts w:ascii="Cambria" w:cs="Cambria" w:eastAsia="Cambria" w:hAnsi="Cambria"/>
          <w:color w:val="000000"/>
          <w:sz w:val="24"/>
          <w:szCs w:val="24"/>
        </w:rPr>
        <w:t xml:space="preserve">Each study assessed at the full-text stage was additionally evaluated against four predefined quality criteria: clarity of the research objective, adequacy of the methodological description, rigour of the reported evaluation or validation, and relevance of the evidence to the review questions. Studies that failed more than one criterion were excluded during the full-text assessment, so the quality assessment operated as part of the eligibility decision rather than as a separate scoring exercise.</w:t>
      </w:r>
    </w:p>
    <w:p>
      <w:pPr>
        <w:spacing w:after="140" w:line="300"/>
        <w:jc w:val="both"/>
      </w:pPr>
      <w:r>
        <w:rPr>
          <w:rFonts w:ascii="Cambria" w:cs="Cambria" w:eastAsia="Cambria" w:hAnsi="Cambria"/>
          <w:sz w:val="24"/>
          <w:szCs w:val="24"/>
        </w:rP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pStyle w:val="Heading3"/>
        <w:spacing w:after="160" w:before="280"/>
      </w:pPr>
      <w:r>
        <w:rPr>
          <w:color w:val="0000CC"/>
        </w:rPr>
        <w:t xml:space="preserve">2.3.8  Shortlisted Studies and Their Categorisation</w:t>
      </w:r>
    </w:p>
    <w:p>
      <w:pPr>
        <w:spacing w:after="140" w:line="300"/>
        <w:jc w:val="both"/>
      </w:pPr>
      <w:r>
        <w:rPr>
          <w:rFonts w:ascii="Cambria" w:cs="Cambria" w:eastAsia="Cambria" w:hAnsi="Cambria"/>
          <w:color w:val="0000CC"/>
          <w:sz w:val="24"/>
          <w:szCs w:val="24"/>
        </w:rPr>
        <w:t xml:space="preserve">Each of the 33 shortlisted studies was analysed according to its scope, topic, authors, year of publication and its contribution to the review questions. Based on this analysis, each study was assigned to one of six thematic categories: healthcare consent and data governance; blockchain-based data governance; decentralised identity and verifiable credentials; multi-party authorisation and collaborative governance; policy- and context-aware access control; and trusted computing and security assurance. The studies are listed in Table 2. In the remainder of this chapter, each study is referred to by the label Sn, where n is its number in the reference list, so that the reader can move between the tables, the text and the references without ambiguity. The studies in each category are reviewed in the next section, and their issues and limitations with respect to the key requirements defined in Section 2.2 are discussed.</w:t>
      </w:r>
    </w:p>
    <w:p>
      <w:pPr>
        <w:keepNext/>
        <w:spacing w:after="80" w:before="160"/>
        <w:jc w:val="center"/>
      </w:pPr>
      <w:r>
        <w:rPr>
          <w:rFonts w:ascii="Cambria" w:cs="Cambria" w:eastAsia="Cambria" w:hAnsi="Cambria"/>
          <w:b/>
          <w:bCs/>
          <w:color w:val="0000CC"/>
          <w:sz w:val="21"/>
          <w:szCs w:val="21"/>
        </w:rPr>
        <w:t xml:space="preserve">Table 2: </w:t>
      </w:r>
      <w:r>
        <w:rPr>
          <w:rFonts w:ascii="Cambria" w:cs="Cambria" w:eastAsia="Cambria" w:hAnsi="Cambria"/>
          <w:color w:val="0000CC"/>
          <w:sz w:val="21"/>
          <w:szCs w:val="21"/>
        </w:rPr>
        <w:t xml:space="preserve">Listing of the studies identified after the shortlisting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640"/>
        <w:gridCol w:w="3600"/>
        <w:gridCol w:w="2200"/>
      </w:tblGrid>
      <w:tr>
        <w:trPr>
          <w:tblHeader/>
        </w:trPr>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Author</w:t>
            </w:r>
          </w:p>
        </w:tc>
        <w:tc>
          <w:tcPr>
            <w:tcW w:type="dxa" w:w="6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Date</w:t>
            </w:r>
          </w:p>
        </w:tc>
        <w:tc>
          <w:tcPr>
            <w:tcW w:type="dxa" w:w="36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Topic</w:t>
            </w:r>
          </w:p>
        </w:tc>
        <w:tc>
          <w:tcPr>
            <w:tcW w:type="dxa" w:w="22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Category</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Abdullah Al Mamun, Sami Azam, and Clementine Gritti [1]</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2022</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Blockchain-based electronic health records management: a comprehensive review and future research direction</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Blockchain-Based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J Andrew, Deva Priya Isravel, K Martin Sagayam, Bharat Bhushan, Yuichi Sei, and Jennifer Eunice [2]</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2023</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 for healthcare systems: Architecture, security challenges, trends and future directions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Blockchain-Based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Mohammad Salar Arbabi, Chhagan Lal, Narasimha Raghavan Veeraragavan, Dusica Marijan, Jan F Nygård, and Roman Vitenberg [3]</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2023</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 survey on blockchain for healthcare: Challenges, benefits, and future directions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Blockchain-Based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Haotian Deng, Jinwen Liang, Chuan Zhang, Ximeng Liu, Liehuang Zhu, and Song Guo [4]</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2024</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FutureDID: A fully decentralized identity system with multi-party verification</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Decentralised Identity and Verifiable Credentials</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Andrea Flamini, Giada Sciarretta, Mario Scuro, Amir Sharif, Alessandro Tomasi, and Silvio Ranise [5]</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2024</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On cryptographic mechanisms for the selective disclosure of verifiable credentials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Decentralised Identity and Verifiable Credentials</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Abdul Ghafoor, Iraklis Symeonidis, Anna Rydberg, Cecilia Lindahl, and Abdul Qadus Abbasi [6]</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2025</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Towards empowering stakeholders through decentralized trust and secure livestock data sharing</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Multi-Party Authorisation and Collaborative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Pranto Kumar Ghosh, Arindom Chakraborty, Mehedi Hasan, Khalid Rashid, and Abdul Hasib Siddique [7]</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2023</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 application in healthcare systems: a review</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Blockchain-Based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Remy Hellstern, Daniel C Park, Victoria Lemieux, and Guldana Salimjan [8]</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2022</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Leveraging blockchain-based archival solutions for sensitive documentation: A Xinjiang case study</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Blockchain-Based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Ateya Megahed Ibrahim, Hassanat Ramadan Abdel-Aziz, Heba Ali Hamed Mohamed, Donia Elsaid Fathi Zaghamir, Nadia Mohamed Ibrahim Wahba, Ghada A Hassan, Mostafa Shaban, Mohammad El-Nablaway, Ohoud Naif Aldughmi, and Taghreed Hussien Aboelola [9]</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2024</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Balancing confidentiality and care coordination: challenges in patient privacy</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Healthcare Consent and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Vitor Jesus and Harshvardhan J Pandit [10]</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2022</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Consent receipts for a usable and auditable web of personal data</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Healthcare Consent and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Rong Jiang, Xue Chen, Yimin Yu, Ying Zhang, and Weiping Ding [11]</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2023</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Risk and UCON-based access control model for healthcare big data</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Policy- and Context-Aware Access Control</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Katya Kaplow, Max Downey, Darren Stewart, Allan B Massie, Jennifer D Motter, Lauren Taylor, John Massarelli, Taylor Matalon, Carolyn Sidoti, Macey L Levan, et al [12]</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2024</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Data professionals’ attitudes on data privacy, sharing, and consent in healthcare and research</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Healthcare Consent and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Muhammad Irfan Khalid, Mansoor Ahmed, Markus Helfert, and Jungsuk Kim [13]</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2023</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Privacy-first paradigm for dynamic consent management systems: empowering data subjects through decentralized data controllers and privacy-preserving techniques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Healthcare Consent and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Alexander Kharlamov, Roland Hohmann, and Glenn Parry [14]</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2023</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Data sharing decisions: perceptions and intentions in healthcare</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Healthcare Consent and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Behnam Khayer, Siamak Mirzaei, Hooman Alavizadeh, and Ahmad Salehi Shahraki [15]</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2025</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 for secure IoT: A review of identity management, access control, and trust mechanisms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Decentralised Identity and Verifiable Credentials</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Chalima Dimitra Nassar Kyriakidou, Athanasia Maria Papathanasiou, and George C Polyzos [16]</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2023</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Decentralized identity with applications to security and privacy for the internet of things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Decentralised Identity and Verifiable Credentials</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Lanlan Li, Charles Z Liu, Kejia Huang, Ruiyi Deng, Majed Abdullah Alrowaily, Mansoor Alghamdi, Ibrahim S Alkhazi, and Malek Alrashidi [17]</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2026</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Trust-aware environmental state consensus for smart agriculture with TEE-enabled sensing and Byzantine-resilient blockchain coordination</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Trusted Computing and Security Assurance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Lanlan Li, Charles Z Liu, and Sanjeeb Shrestha [18]</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2026</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Analytical entropy approach for measuring blockchain immutability and tamper-resilient trust</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Trusted Computing and Security Assurance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Richard K Lomotey, Sandra Kumi, and Ralph Deters [19]</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2022</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Data trusts as a service: Providing a platform for multi-party data sharing</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Multi-Party Authorisation and Collaborative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Carlo Mazzocca, Abbas Acar, Selcuk Uluagac, Rebecca Montanari, Paolo Bellavista, and Mauro Conti [20]</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2025</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 survey on decentralized identifiers and verifiable credentials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Decentralised Identity and Verifiable Credentials</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Cindy Welzel, Max Ostermann, Hannah Louise Smith, Timo Minssen, Toralf Kirsten, and Stephen Gilbert [21]</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2025</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Enabling secure and self determined health data sharing and consent management</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Healthcare Consent and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Roy McClelland and Colin M Harper [22]</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2023</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Information privacy in healthcare—the vital role of informed consent</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Healthcare Consent and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Jämes Ménétrey, Christian Göttel, Anum Khurshid, Marcelo Pasin, Pascal Felber, Valerio Schiavoni, and Shahid Raza [23]</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2022</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Attestation mechanisms for trusted execution environments demystified</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Trusted Computing and Security Assurance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Minal R Narkhede, Nilesh I Wankhede, and Akanksha M Kamble [24]</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2025</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Enhancing patient autonomy in data ownership: privacy models and consent frameworks for healthcare</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Healthcare Consent and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Aleena Nazir, Mubashir Husain Rehmani, Bernard Butler, and Donna O’Shea [25]</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2026</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Access control in healthcare IoT: A comprehensive survey</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Policy- and Context-Aware Access Control</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S26</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Thanh Linh Nguyen, Lam Nguyen, Thong Hoang, Dilum Bandara, Qin Wang, Qinghua Lu, Xiwei Xu, Liming Zhu, and Shiping Chen [26]</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2025</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Blockchain-empowered trustworthy data sharing: Fundamentals, applications, and challenges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Blockchain-Based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Rohini Poolat Parameswarath, Prosanta Gope, and Biplab Sikdar [27]</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2022</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User-empowered privacy-preserving authentication protocol for electric vehicle charging based on decentralized identity and verifiable credential</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Decentralised Identity and Verifiable Credentials</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S28</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Ahmed M Tawfik, Ayman Al-Ahwal, Adly S Tag Eldien, and Hala H Zayed [28]</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2025</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Blockchain-based access control and privacy preservation in healthcare: a comprehensive survey</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Policy- and Context-Aware Access Control</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Leonidas Theodorakopoulos, Alexandra Theodoropoulou, and Constantinos Halkiopoulos [29]</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2024</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Enhancing decentralized decision-making with big data and blockchain technology: A comprehensive review</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Multi-Party Authorisation and Collaborative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Mohammad Nawab Turan, Irshad Ahmed Hashimzai, and Mohammad Qaseem Qiam [30]</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2025</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 blockchain-based framework for secure and transparent environmental data sharing in smart cities: Enhancing trust, integrity, and interoperability in urban sustainability systems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Blockchain-Based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S31</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Emily C Webber, David Brick, James P Scibilia, Peter Dehnel, Council on Clinical Information Technology, et al [31]</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2019</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Electronic communication of the health record and information with pediatric patients and their guardians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Healthcare Consent and Data Governance</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S32</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Hongjian Yin, Yiming Zhao, Lei Zhang, Baojun Qiao, Wenbo Chen, and Huaqing Wang [32]</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2024</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Attribute-based searchable encryption with decentralized key management for healthcare data sharing</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Policy- and Context-Aware Access Control</w:t>
            </w:r>
          </w:p>
        </w:tc>
      </w:tr>
      <w:tr>
        <w:trPr>
          <w:cantSplit/>
        </w:trPr>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w:t>
            </w:r>
          </w:p>
        </w:tc>
        <w:tc>
          <w:tcPr>
            <w:tcW w:type="dxa" w:w="2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Jie Yin, Yang Xiao, Qian Chen, Xuefeng Liu, Qingqi Pei, Jianying Zhou, et al [33]</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2025</w:t>
            </w:r>
          </w:p>
        </w:tc>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DP-DID: A dynamic and proactive decentralized identity system</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Decentralised Identity and Verifiable Credentials</w:t>
            </w:r>
          </w:p>
        </w:tc>
      </w:tr>
    </w:tbl>
    <w:p>
      <w:pPr>
        <w:spacing w:after="180"/>
      </w:pPr>
    </w:p>
    <w:p>
      <w:pPr>
        <w:keepNext/>
        <w:spacing w:after="60" w:before="140"/>
        <w:jc w:val="center"/>
      </w:pPr>
      <w:r>
        <w:drawing>
          <wp:inline distT="0" distB="0" distL="0" distR="0">
            <wp:extent cx="5715000" cy="2114550"/>
            <wp:effectExtent t="0" r="0" b="0" l="0"/>
            <wp:docPr id="1" name="gfig2a.png" descr="Figure 3: Profile of the 33 included studies: distribution by publication year and by review stream. The single 2019 study is the foundational source [31] retained outside the systematic search window; a study may contribute to more than one stream." title="Figure 3: Profile of the 33 included studies: distribution by publication year and by review stream. The single 2019 study is the foundational source [31] retained outside the systematic search window; a study may contribute to more than one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 Profile of the 33 included studies: distribution by publication year and by review stream. The single 2019 study is the foundational source [31] retained outside the systematic search window; a study may contribute to more than one stream.</w:t>
      </w:r>
    </w:p>
    <w:p>
      <w:pPr>
        <w:pStyle w:val="Heading2"/>
        <w:spacing w:after="160" w:before="280"/>
      </w:pPr>
      <w:r>
        <w:t xml:space="preserve">2.4  Review</w:t>
      </w:r>
    </w:p>
    <w:p>
      <w:pPr>
        <w:spacing w:after="140" w:line="300"/>
        <w:jc w:val="both"/>
      </w:pPr>
      <w:r>
        <w:rPr>
          <w:rFonts w:ascii="Cambria" w:cs="Cambria" w:eastAsia="Cambria" w:hAnsi="Cambria"/>
          <w:color w:val="000000"/>
          <w:sz w:val="24"/>
          <w:szCs w:val="24"/>
        </w:rPr>
        <w:t xml:space="preserve">The thematic sections that follow (Sections 2.4.1–2.4.6), together with the comparative analysis in Section 2.4.7, address the review questions as follows. Review question 1 is addressed principally in Sections 2.4.2 and 2.4.4; review question 2 in Sections 2.4.1 and 2.4.5; review question 3 in Section 2.4.3; review question 4 in Sections 2.4.2 and 2.4.5, with its selective-disclosure dimension addressed in Section 2.4.3; and review question 5 is synthesised in Sections 2.4.7 and 2.5, where it motivates the research gap. The lifecycle and evaluation questions 6 and 7 are addressed in Sections 2.4.1 and 2.4.6 respectively.</w:t>
      </w:r>
      <w:r>
        <w:rPr>
          <w:rFonts w:ascii="Cambria" w:cs="Cambria" w:eastAsia="Cambria" w:hAnsi="Cambria"/>
          <w:sz w:val="24"/>
          <w:szCs w:val="24"/>
        </w:rPr>
        <w:t xml:space="preserve"> </w:t>
      </w:r>
      <w:r>
        <w:rPr>
          <w:rFonts w:ascii="Cambria" w:cs="Cambria" w:eastAsia="Cambria" w:hAnsi="Cambria"/>
          <w:color w:val="0000CC"/>
          <w:sz w:val="24"/>
          <w:szCs w:val="24"/>
        </w:rPr>
        <w:t xml:space="preserve">At the end of each stream, a table summarises the reviewed studies, their issues and limitations, and their commitment to the six key requirements defined in Section 2.2 (Tables 3 to 8).</w:t>
      </w:r>
    </w:p>
    <w:p>
      <w:pPr>
        <w:spacing w:after="140" w:line="300"/>
        <w:jc w:val="both"/>
      </w:pPr>
      <w:r>
        <w:rPr>
          <w:rFonts w:ascii="Cambria" w:cs="Cambria" w:eastAsia="Cambria" w:hAnsi="Cambria"/>
          <w:color w:val="000000"/>
          <w:sz w:val="24"/>
          <w:szCs w:val="24"/>
        </w:rPr>
        <w:t xml:space="preserve">Consistent with the scope established in Section 2.1, the following subsections examine each research stream in turn: healthcare consent governance, blockchain-based data governance, decentralised identity and verifiable credentials, multi-party authorisation, policy-based and context-aware access control, and Trusted Computing. Each subsection evaluates how the reviewed approaches contribute to the conditions required for a trustworthy authorisation decision and identifies the limitations that motivate the proposed framework.</w:t>
      </w:r>
    </w:p>
    <w:p>
      <w:pPr>
        <w:keepNext/>
        <w:spacing w:after="60" w:before="140"/>
        <w:jc w:val="center"/>
      </w:pPr>
      <w:r>
        <w:drawing>
          <wp:inline distT="0" distB="0" distL="0" distR="0">
            <wp:extent cx="5334000" cy="4276725"/>
            <wp:effectExtent t="0" r="0" b="0" l="0"/>
            <wp:docPr id="1" name="gfig2b.png" descr="Figure 4: Correspondence between the seven review questions of Section 2.3.2 and the sections of the review in which they are addressed, ending in the research gap carried into Chapter 3." title="Figure 4: Correspondence between the seven review questions of Section 2.3.2 and the sections of the review in which they are addressed, ending in the research gap carried into Chap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76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 Correspondence between the seven review questions of Section 2.3.2 and the sections of the review in which they are addressed, ending in the research gap carried into Chapter 3.</w:t>
      </w:r>
    </w:p>
    <w:p>
      <w:pPr>
        <w:pStyle w:val="Heading3"/>
        <w:spacing w:after="160" w:before="280"/>
      </w:pPr>
      <w:r>
        <w:t xml:space="preserve">2.4.1  Healthcare Consent and Decentralised Data Governance</w:t>
      </w:r>
    </w:p>
    <w:p>
      <w:pPr>
        <w:spacing w:after="140" w:line="300"/>
        <w:jc w:val="both"/>
      </w:pPr>
      <w:r>
        <w:rPr>
          <w:rFonts w:ascii="Cambria" w:cs="Cambria" w:eastAsia="Cambria" w:hAnsi="Cambria"/>
          <w:sz w:val="24"/>
          <w:szCs w:val="24"/>
        </w:rPr>
        <w:t xml:space="preserve">Healthcare data sharing is fundamentally different from conventional information exchange because the data involved </w:t>
      </w:r>
      <w:r>
        <w:rPr>
          <w:rFonts w:ascii="Cambria" w:cs="Cambria" w:eastAsia="Cambria" w:hAnsi="Cambria"/>
          <w:color w:val="000000"/>
          <w:sz w:val="24"/>
          <w:szCs w:val="24"/>
        </w:rPr>
        <w:t xml:space="preserve">are</w:t>
      </w:r>
      <w:r>
        <w:rPr>
          <w:rFonts w:ascii="Cambria" w:cs="Cambria" w:eastAsia="Cambria" w:hAnsi="Cambria"/>
          <w:sz w:val="24"/>
          <w:szCs w:val="24"/>
        </w:rPr>
        <w:t xml:space="preserve">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spacing w:after="140" w:line="300"/>
        <w:jc w:val="both"/>
      </w:pPr>
      <w:r>
        <w:rPr>
          <w:rFonts w:ascii="Cambria" w:cs="Cambria" w:eastAsia="Cambria" w:hAnsi="Cambria"/>
          <w:sz w:val="24"/>
          <w:szCs w:val="24"/>
        </w:rP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spacing w:after="140" w:line="300"/>
        <w:jc w:val="both"/>
      </w:pPr>
      <w:r>
        <w:rPr>
          <w:rFonts w:ascii="Cambria" w:cs="Cambria" w:eastAsia="Cambria" w:hAnsi="Cambria"/>
          <w:sz w:val="24"/>
          <w:szCs w:val="24"/>
        </w:rPr>
        <w:t xml:space="preserve">Traditional consent-management approaches frequently represent consent as a permission indicating whether a particular party is allowed to perform a specified operation</w:t>
      </w:r>
      <w:r>
        <w:rPr>
          <w:rFonts w:ascii="Cambria" w:cs="Cambria" w:eastAsia="Cambria" w:hAnsi="Cambria"/>
          <w:color w:val="000000"/>
          <w:sz w:val="24"/>
          <w:szCs w:val="24"/>
        </w:rPr>
        <w:t xml:space="preserve"> </w:t>
      </w:r>
      <w:r>
        <w:rPr>
          <w:rFonts w:ascii="Cambria" w:cs="Cambria" w:eastAsia="Cambria" w:hAnsi="Cambria"/>
          <w:color w:val="007A00"/>
          <w:sz w:val="24"/>
          <w:szCs w:val="24"/>
        </w:rPr>
        <w:t xml:space="preserve">[13]</w:t>
      </w:r>
      <w:r>
        <w:rPr>
          <w:rFonts w:ascii="Cambria" w:cs="Cambria" w:eastAsia="Cambria" w:hAnsi="Cambria"/>
          <w:sz w:val="24"/>
          <w:szCs w:val="24"/>
        </w:rPr>
        <w:t xml:space="preserve">.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spacing w:after="140" w:line="300"/>
        <w:jc w:val="both"/>
      </w:pPr>
      <w:r>
        <w:rPr>
          <w:rFonts w:ascii="Cambria" w:cs="Cambria" w:eastAsia="Cambria" w:hAnsi="Cambria"/>
          <w:sz w:val="24"/>
          <w:szCs w:val="24"/>
        </w:rP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spacing w:after="140" w:line="300"/>
        <w:jc w:val="both"/>
      </w:pPr>
      <w:r>
        <w:rPr>
          <w:rFonts w:ascii="Cambria" w:cs="Cambria" w:eastAsia="Cambria" w:hAnsi="Cambria"/>
          <w:sz w:val="24"/>
          <w:szCs w:val="24"/>
        </w:rP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spacing w:after="140" w:line="300"/>
        <w:jc w:val="both"/>
      </w:pPr>
      <w:r>
        <w:rPr>
          <w:rFonts w:ascii="Cambria" w:cs="Cambria" w:eastAsia="Cambria" w:hAnsi="Cambria"/>
          <w:color w:val="000000"/>
          <w:sz w:val="24"/>
          <w:szCs w:val="24"/>
        </w:rPr>
        <w:t xml:space="preserve">Within this stream, </w:t>
      </w:r>
      <w:r>
        <w:rPr>
          <w:rFonts w:ascii="Cambria" w:cs="Cambria" w:eastAsia="Cambria" w:hAnsi="Cambria"/>
          <w:color w:val="007A00"/>
          <w:sz w:val="24"/>
          <w:szCs w:val="24"/>
        </w:rPr>
        <w:t xml:space="preserve">dynamic-consent research [13] recognises that a patient's preferences change over time, and consent receipts [10] provide evidence of how consent was obtained</w:t>
      </w:r>
      <w:r>
        <w:rPr>
          <w:rFonts w:ascii="Cambria" w:cs="Cambria" w:eastAsia="Cambria" w:hAnsi="Cambria"/>
          <w:color w:val="000000"/>
          <w:sz w:val="24"/>
          <w:szCs w:val="24"/>
        </w:rPr>
        <w:t xml:space="preserve">; however, the reviewed systems provide limited support for treating expiration, revocation, and consent state transitions as first-class and independently verifiable authorisation conditions after consent has been granted. This limitation motivates the lifecycle dimension examined by review question 6.</w:t>
      </w:r>
    </w:p>
    <w:p>
      <w:pPr>
        <w:spacing w:after="140" w:line="300"/>
        <w:jc w:val="both"/>
      </w:pPr>
      <w:r>
        <w:rPr>
          <w:rFonts w:ascii="Cambria" w:cs="Cambria" w:eastAsia="Cambria" w:hAnsi="Cambria"/>
          <w:color w:val="0000CC"/>
          <w:sz w:val="24"/>
          <w:szCs w:val="24"/>
        </w:rPr>
        <w:t xml:space="preserve">Table 3 presents a summary of the studies that fall under the healthcare consent and data governance category and their commitment to the key requirements defined in Section 2.2.</w:t>
      </w:r>
    </w:p>
    <w:p>
      <w:pPr>
        <w:keepNext/>
        <w:spacing w:after="80" w:before="160"/>
        <w:jc w:val="center"/>
      </w:pPr>
      <w:r>
        <w:rPr>
          <w:rFonts w:ascii="Cambria" w:cs="Cambria" w:eastAsia="Cambria" w:hAnsi="Cambria"/>
          <w:b/>
          <w:bCs/>
          <w:color w:val="0000CC"/>
          <w:sz w:val="21"/>
          <w:szCs w:val="21"/>
        </w:rPr>
        <w:t xml:space="preserve">Table 3: </w:t>
      </w:r>
      <w:r>
        <w:rPr>
          <w:rFonts w:ascii="Cambria" w:cs="Cambria" w:eastAsia="Cambria" w:hAnsi="Cambria"/>
          <w:color w:val="0000CC"/>
          <w:sz w:val="21"/>
          <w:szCs w:val="21"/>
        </w:rPr>
        <w:t xml:space="preserve">Descriptions, issues and limitations of existing studies on healthcare consent and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40"/>
        <w:gridCol w:w="2480"/>
        <w:gridCol w:w="620"/>
        <w:gridCol w:w="620"/>
        <w:gridCol w:w="620"/>
        <w:gridCol w:w="620"/>
        <w:gridCol w:w="620"/>
        <w:gridCol w:w="620"/>
      </w:tblGrid>
      <w:tr>
        <w:trPr>
          <w:tblHeader/>
        </w:trPr>
        <w:tc>
          <w:tcPr>
            <w:tcW w:type="dxa" w:w="7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4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 of the Study</w:t>
            </w:r>
          </w:p>
        </w:tc>
        <w:tc>
          <w:tcPr>
            <w:tcW w:type="dxa" w:w="248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cross-sectional study surveys 150 nurses in an Egyptian general hospital, using HIPAA, privacy-impact, data-sharing-agreement and EHR security instruments, to identify challenges and strategies in balancing patient confidentiality with care coordination.</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study is an empirical nursing survey without a technical mechanism; it does not address consent representation, identity verification, multi-party authorisation, access-control policy or verifiable audit.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authors propose consent receipts, records of consent interactions that individuals and organisations retain and later use as proof, to support legal compliance, usability, transparency and accountability in online consent for personal data.</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Consent is captured as a receipt or record of interaction rather than as an evaluable authorisation object, and the approach is web-focused, without decentralised identity, multi-party approval or access-time policy enforcement.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authors report a 43-item online survey of United States professionals who work with health data, examining their trust in different sectors and their views on consent, control and privacy standards for health data use.</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study is descriptive and attitudinal; it proposes no consent model, identity mechanism or access-control design, so none of the technical requirements is addressed, although respondents' preference for use-specific consent motivates purpose-bound authorisation.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study examines existing blockchain-based dynamic consent management systems, identifies the privacy risk of storing consent in plaintext on-chain, and proposes a model with a decentralised data controller and encrypted consent handled through privacy-preserving techniques.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Consent is treated as encrypted data to be protected rather than as an evaluable authorisation object; the model does not provide decentralised identity, multi-party approval or purpose-aware policy evaluation, and remains largely conceptual.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authors develop and apply a measurement scale to explain individuals' intention to share healthcare data in the UK National Health Service context, using survey data from 129 respondents.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study models behavioural intention (perceived information risk and societal benefit) and offers no technical mechanism for consent representation, identity, authorisation or auditability; its small survey measures intention rather than actual behaviour.</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authors present an early-stage conceptual framework that reviews blockchain, self-sovereign identity with decentralised identifiers, and de-identified tokens for integration into a consent management system that tracks consent and the use of personally generated health data.</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framework is conceptual and unevaluated; it tracks consent and data use but does not model consent as an evaluable authorisation object, support multi-party approval, or specify enforcement of validity and revocation.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authors analyse the legal and ethical bases for using and disclosing patient information in Europe, contrasting the GDPR's explicit consent with implied consent under common law and professional ethics for direct care, other healthcare purposes and uses outside healthcare.</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study is a legal-ethical analysis with no technical design; it clarifies purpose-dependent consent requirements but does not provide mechanisms for representing, enforcing or auditing consent.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review examines the ethical, legal and technological aspects of patient data ownership, comparing private, public and hybrid privacy models and dynamic and granular consent frameworks, with reference to My Health Record and Estonia's e-Health system.</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study is a narrative review that discusses dynamic consent conceptually but proposes no formal consent model, decentralised identity mechanism, multi-party approval or verifiable audit design.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S31</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American Academy of Pediatrics policy statement examines electronic access to health records by paediatric and adolescent patients and their guardians, identifying inconsistent age thresholds, limited proxy and filtering support in EHRs, and conflicting laws.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statement offers policy recommendations, not a technical mechanism. It identifies the need to filter proxy access and to balance adolescent and guardian rights but proposes no system for doing so.</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bl>
    <w:p>
      <w:pPr>
        <w:spacing w:after="180"/>
      </w:pPr>
    </w:p>
    <w:p>
      <w:pPr>
        <w:pStyle w:val="Heading3"/>
        <w:spacing w:after="160" w:before="280"/>
      </w:pPr>
      <w:r>
        <w:t xml:space="preserve">2.4.2  Blockchain-Based Consent and Data Governance</w:t>
      </w:r>
    </w:p>
    <w:p>
      <w:pPr>
        <w:spacing w:after="140" w:line="300"/>
        <w:jc w:val="both"/>
      </w:pPr>
      <w:r>
        <w:rPr>
          <w:rFonts w:ascii="Cambria" w:cs="Cambria" w:eastAsia="Cambria" w:hAnsi="Cambria"/>
          <w:sz w:val="24"/>
          <w:szCs w:val="24"/>
        </w:rP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spacing w:after="140" w:line="300"/>
        <w:jc w:val="both"/>
      </w:pPr>
      <w:r>
        <w:rPr>
          <w:rFonts w:ascii="Cambria" w:cs="Cambria" w:eastAsia="Cambria" w:hAnsi="Cambria"/>
          <w:sz w:val="24"/>
          <w:szCs w:val="24"/>
        </w:rP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spacing w:after="140" w:line="300"/>
        <w:jc w:val="both"/>
      </w:pPr>
      <w:r>
        <w:rPr>
          <w:rFonts w:ascii="Cambria" w:cs="Cambria" w:eastAsia="Cambria" w:hAnsi="Cambria"/>
          <w:sz w:val="24"/>
          <w:szCs w:val="24"/>
        </w:rP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spacing w:after="140" w:line="300"/>
        <w:jc w:val="both"/>
      </w:pPr>
      <w:r>
        <w:rPr>
          <w:rFonts w:ascii="Cambria" w:cs="Cambria" w:eastAsia="Cambria" w:hAnsi="Cambria"/>
          <w:sz w:val="24"/>
          <w:szCs w:val="24"/>
        </w:rP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spacing w:after="140" w:line="300"/>
        <w:jc w:val="both"/>
      </w:pPr>
      <w:r>
        <w:rPr>
          <w:rFonts w:ascii="Cambria" w:cs="Cambria" w:eastAsia="Cambria" w:hAnsi="Cambria"/>
          <w:sz w:val="24"/>
          <w:szCs w:val="24"/>
        </w:rP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spacing w:after="140" w:line="300"/>
        <w:jc w:val="both"/>
      </w:pPr>
      <w:r>
        <w:rPr>
          <w:rFonts w:ascii="Cambria" w:cs="Cambria" w:eastAsia="Cambria" w:hAnsi="Cambria"/>
          <w:sz w:val="24"/>
          <w:szCs w:val="24"/>
        </w:rP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spacing w:after="140" w:line="300"/>
        <w:jc w:val="both"/>
      </w:pPr>
      <w:r>
        <w:rPr>
          <w:rFonts w:ascii="Cambria" w:cs="Cambria" w:eastAsia="Cambria" w:hAnsi="Cambria"/>
          <w:color w:val="0000CC"/>
          <w:sz w:val="24"/>
          <w:szCs w:val="24"/>
        </w:rPr>
        <w:t xml:space="preserve">Table 4 presents a summary of the studies that come under the blockchain category and their commitment to the key requirements.</w:t>
      </w:r>
    </w:p>
    <w:p>
      <w:pPr>
        <w:keepNext/>
        <w:spacing w:after="80" w:before="160"/>
        <w:jc w:val="center"/>
      </w:pPr>
      <w:r>
        <w:rPr>
          <w:rFonts w:ascii="Cambria" w:cs="Cambria" w:eastAsia="Cambria" w:hAnsi="Cambria"/>
          <w:b/>
          <w:bCs/>
          <w:color w:val="0000CC"/>
          <w:sz w:val="21"/>
          <w:szCs w:val="21"/>
        </w:rPr>
        <w:t xml:space="preserve">Table 4: </w:t>
      </w:r>
      <w:r>
        <w:rPr>
          <w:rFonts w:ascii="Cambria" w:cs="Cambria" w:eastAsia="Cambria" w:hAnsi="Cambria"/>
          <w:color w:val="0000CC"/>
          <w:sz w:val="21"/>
          <w:szCs w:val="21"/>
        </w:rPr>
        <w:t xml:space="preserve">Descriptions, issues and limitations of existing studies on blockchain-based consent and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40"/>
        <w:gridCol w:w="2480"/>
        <w:gridCol w:w="620"/>
        <w:gridCol w:w="620"/>
        <w:gridCol w:w="620"/>
        <w:gridCol w:w="620"/>
        <w:gridCol w:w="620"/>
        <w:gridCol w:w="620"/>
      </w:tblGrid>
      <w:tr>
        <w:trPr>
          <w:tblHeader/>
        </w:trPr>
        <w:tc>
          <w:tcPr>
            <w:tcW w:type="dxa" w:w="7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4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 of the Study</w:t>
            </w:r>
          </w:p>
        </w:tc>
        <w:tc>
          <w:tcPr>
            <w:tcW w:type="dxa" w:w="248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systematic review examines blockchain-based electronic health record management, comparing prior studies on privacy, security, scalability, accessibility, cost, consensus algorithms and blockchain type, and outlines directions for future EHR systems.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As a review centred on EHR storage and platform choice, it does not model consent as an evaluable authorisation object, nor address decentralised identity, multi-party approval, purpose-bound access or consent lifecycle.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authors survey blockchain technology for healthcare from application and technical perspectives, discussing architecture, regulatory constraints such as HIPAA, authentication, interoperability and record-sharing requirements, and open challenges in scalability, security and privacy.</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survey treats blockchain as a general integrity and trust layer; it does not define structured consent, threshold approval, consent-bound policy evaluation or post-grant revocation mechanisms.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survey reviews blockchain-based healthcare solutions and proposes a classification framework covering interactions between healthcare entities, functional components of health data storage systems, domain challenges that blockchain can address, and benefits derived from its features.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work classifies existing systems rather than proposing a mechanism; consent representation, credential-based authority, multi-party authorisation and consent lifecycle enforcement are not examined as distinct requirements.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authors review 144 articles on blockchain applications in healthcare, discussing the potential and limits of the technology for electronic health record systems and healthcare operations, and identifying difficulties and areas for future research.</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review offers a broad overview of blockchain uses and challenges but does not examine consent structure, decentralised identity, multi-party authorisation, purpose-aware access control or consent lifecycle.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exploratory study surveys literature on decentralised storage and archival science and examines how NGOs and academic groups use distributed ledger tools, such as Starling Lab, to preserve sensitive human-rights documentation relating to Xinjiang.</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study concerns archival integrity for human-rights records; it does not address consent, identity, access authorisation or healthcare data, and offers no security evaluation of the systems discussed.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S26</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survey examines blockchain-based data-sharing architectures, discusses provenance, privacy and consent-management issues in existing platforms, proposes a reference architecture, and reviews applications in healthcare, smart grid, transportation and decarbonisation.</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survey is domain-general and architectural. Consent management is named as an open issue rather than modelled, and multi-party threshold approval and identity-authority separation are not addressed.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systematic literature review analyses 23 papers published between 2019 and 2025 on how blockchain frameworks support secure, transparent and interoperable sharing of environmental data in smart cities.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study concerns urban environmental data rather than personal health data, and considers blockchain integrity and transparency only; consent, identity, multi-party authorisation and access policy are outside its scope.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bl>
    <w:p>
      <w:pPr>
        <w:spacing w:after="180"/>
      </w:pPr>
    </w:p>
    <w:p>
      <w:pPr>
        <w:pStyle w:val="Heading3"/>
        <w:spacing w:after="160" w:before="280"/>
      </w:pPr>
      <w:r>
        <w:t xml:space="preserve">2.4.3  Decentralised Identity and Verifiable Credentials</w:t>
      </w:r>
    </w:p>
    <w:p>
      <w:pPr>
        <w:spacing w:after="140" w:line="300"/>
        <w:jc w:val="both"/>
      </w:pPr>
      <w:r>
        <w:rPr>
          <w:rFonts w:ascii="Cambria" w:cs="Cambria" w:eastAsia="Cambria" w:hAnsi="Cambria"/>
          <w:color w:val="000000"/>
          <w:sz w:val="24"/>
          <w:szCs w:val="24"/>
        </w:rPr>
        <w:t xml:space="preserve">Decentralised Identifiers (DIDs)</w:t>
      </w:r>
      <w:r>
        <w:rPr>
          <w:rFonts w:ascii="Cambria" w:cs="Cambria" w:eastAsia="Cambria" w:hAnsi="Cambria"/>
          <w:sz w:val="24"/>
          <w:szCs w:val="24"/>
        </w:rPr>
        <w:t xml:space="preserve">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spacing w:after="140" w:line="300"/>
        <w:jc w:val="both"/>
      </w:pPr>
      <w:r>
        <w:rPr>
          <w:rFonts w:ascii="Cambria" w:cs="Cambria" w:eastAsia="Cambria" w:hAnsi="Cambria"/>
          <w:sz w:val="24"/>
          <w:szCs w:val="24"/>
        </w:rP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w:t>
      </w:r>
      <w:r>
        <w:rPr>
          <w:rFonts w:ascii="Cambria" w:cs="Cambria" w:eastAsia="Cambria" w:hAnsi="Cambria"/>
          <w:color w:val="007A00"/>
          <w:sz w:val="24"/>
          <w:szCs w:val="24"/>
        </w:rPr>
        <w:t xml:space="preserve">[5]</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spacing w:after="140" w:line="300"/>
        <w:jc w:val="both"/>
      </w:pPr>
      <w:r>
        <w:rPr>
          <w:rFonts w:ascii="Cambria" w:cs="Cambria" w:eastAsia="Cambria" w:hAnsi="Cambria"/>
          <w:sz w:val="24"/>
          <w:szCs w:val="24"/>
        </w:rP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spacing w:after="140" w:line="300"/>
        <w:jc w:val="both"/>
      </w:pPr>
      <w:r>
        <w:rPr>
          <w:rFonts w:ascii="Cambria" w:cs="Cambria" w:eastAsia="Cambria" w:hAnsi="Cambria"/>
          <w:sz w:val="24"/>
          <w:szCs w:val="24"/>
        </w:rPr>
        <w:t xml:space="preserve">The proposed research therefore extends the role of DID and VC technologies from identity representation and credential verification towards their use as trusted inputs to a broader authorisation process. Under this approach,</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spacing w:after="140" w:line="300"/>
        <w:jc w:val="both"/>
      </w:pPr>
      <w:r>
        <w:rPr>
          <w:rFonts w:ascii="Cambria" w:cs="Cambria" w:eastAsia="Cambria" w:hAnsi="Cambria"/>
          <w:sz w:val="24"/>
          <w:szCs w:val="24"/>
        </w:rP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spacing w:after="140" w:line="300"/>
        <w:jc w:val="both"/>
      </w:pPr>
      <w:r>
        <w:rPr>
          <w:rFonts w:ascii="Cambria" w:cs="Cambria" w:eastAsia="Cambria" w:hAnsi="Cambria"/>
          <w:b w:val="false"/>
          <w:bCs w:val="false"/>
          <w:sz w:val="24"/>
          <w:szCs w:val="24"/>
        </w:rPr>
        <w:t xml:space="preserve">Recent reviews of blockchain-based identity management further consolidate this stream, surveying identity management, access control and trust mechanisms for connected environments and </w:t>
      </w:r>
      <w:r>
        <w:rPr>
          <w:rFonts w:ascii="Cambria" w:cs="Cambria" w:eastAsia="Cambria" w:hAnsi="Cambria"/>
          <w:b w:val="false"/>
          <w:bCs w:val="false"/>
          <w:color w:val="007A00"/>
          <w:sz w:val="24"/>
          <w:szCs w:val="24"/>
        </w:rPr>
        <w:t xml:space="preserve">identifying the open challenges that remain for DID- and VC-based designs</w:t>
      </w:r>
      <w:r>
        <w:rPr>
          <w:rFonts w:ascii="Cambria" w:cs="Cambria" w:eastAsia="Cambria" w:hAnsi="Cambria"/>
          <w:b w:val="false"/>
          <w:bCs w:val="false"/>
          <w:sz w:val="24"/>
          <w:szCs w:val="24"/>
        </w:rPr>
        <w:t xml:space="preserve"> [15].</w:t>
      </w:r>
    </w:p>
    <w:p>
      <w:pPr>
        <w:spacing w:after="140" w:line="300"/>
        <w:jc w:val="both"/>
      </w:pPr>
      <w:r>
        <w:rPr>
          <w:rFonts w:ascii="Cambria" w:cs="Cambria" w:eastAsia="Cambria" w:hAnsi="Cambria"/>
          <w:color w:val="0000CC"/>
          <w:sz w:val="24"/>
          <w:szCs w:val="24"/>
        </w:rPr>
        <w:t xml:space="preserve">Table 5 presents a summary of the decentralised identity and verifiable credential studies and their commitment to the key requirements.</w:t>
      </w:r>
    </w:p>
    <w:p>
      <w:pPr>
        <w:keepNext/>
        <w:spacing w:after="80" w:before="160"/>
        <w:jc w:val="center"/>
      </w:pPr>
      <w:r>
        <w:rPr>
          <w:rFonts w:ascii="Cambria" w:cs="Cambria" w:eastAsia="Cambria" w:hAnsi="Cambria"/>
          <w:b/>
          <w:bCs/>
          <w:color w:val="0000CC"/>
          <w:sz w:val="21"/>
          <w:szCs w:val="21"/>
        </w:rPr>
        <w:t xml:space="preserve">Table 5: </w:t>
      </w:r>
      <w:r>
        <w:rPr>
          <w:rFonts w:ascii="Cambria" w:cs="Cambria" w:eastAsia="Cambria" w:hAnsi="Cambria"/>
          <w:color w:val="0000CC"/>
          <w:sz w:val="21"/>
          <w:szCs w:val="21"/>
        </w:rPr>
        <w:t xml:space="preserve">Descriptions, issues and limitations of existing studies on decentralised identity and verifiable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40"/>
        <w:gridCol w:w="2480"/>
        <w:gridCol w:w="620"/>
        <w:gridCol w:w="620"/>
        <w:gridCol w:w="620"/>
        <w:gridCol w:w="620"/>
        <w:gridCol w:w="620"/>
        <w:gridCol w:w="620"/>
      </w:tblGrid>
      <w:tr>
        <w:trPr>
          <w:tblHeader/>
        </w:trPr>
        <w:tc>
          <w:tcPr>
            <w:tcW w:type="dxa" w:w="7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4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 of the Study</w:t>
            </w:r>
          </w:p>
        </w:tc>
        <w:tc>
          <w:tcPr>
            <w:tcW w:type="dxa" w:w="248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study proposes FutureDID, a decentralised identity system in which committees jointly issue credentials using distributed key generation, removing single points of failure, and which supports efficient revocation of DID identities.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Multi-party verification applies to credential issuance rather than to authorising data access, and the system does not represent consent, evaluate purpose or data scope, or target healthcare settings.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authors compare cryptographic mechanisms for selective disclosure of verifiable credential attributes, grouping them into hash-commitment and zero-knowledge-proof approaches, and assess standardisation maturity, cryptographic agility, quantum safety, and credential size and performance.</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study concentrates on privacy-preserving credential presentation; it does not link credentials to consent, access policy, multi-party approval or healthcare authorisation decisions.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narrative review surveys blockchain-based decentralised identity management, smart-contract access control, trust and reputation mechanisms, and privacy-preserving cryptographic tools for large-scale Internet of Things deployments, and outlines open challenges.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review is oriented to device-level IoT identity and trust rather than patient consent; it does not address consent representation, multi-party approval or consent lifecycle, and reports unresolved scalability, regulatory and interoperability issues.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authors examine self-sovereign identity, decentralised identifiers and verifiable credentials, review systems that apply these components to authentication, authorisation and access control in IoT environments, and discuss the associated benefits and challenges.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work addresses identity and credential management for IoT devices and users; it does not model consent, collective approval or context-aware policy evaluation, and lifecycle concerns are limited to credential revocation.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survey provides background on W3C decentralised identifiers and verifiable credentials, analyses available implementations, reviews their use across application domains beyond self-sovereign identity, and discusses regulations, adoption challenges and research directions.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As a general survey of identity technologies, it does not address how identity and credentials combine with consent semantics, collective authorisation or purpose-aware policy enforcement in healthcare.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study proposes a privacy-aware authenticated key exchange protocol for electric vehicle charging in which users hold DIDs and present verifiable credentials, allowing charging providers to authenticate legitimate users while the users remain anonymous.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protocol serves a single-user, single-verifier charging setting outside healthcare. It does not model consent, collective authorisation, purpose-bound policy evaluation or revocation of granted permissions.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study proposes DP-DID, a decentralised identity system based on blockchain, DIDs and verifiable credentials that uses dynamic, proactively refreshed threshold committees for identity services so that it resists mobile adversaries who gradually compromise nodes.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threshold committees protect identity infrastructure such as key management and credential issuance, not authorisation of data access. Consent, purpose-bound access policy and healthcare stakeholders are not considered.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bl>
    <w:p>
      <w:pPr>
        <w:spacing w:after="180"/>
      </w:pPr>
    </w:p>
    <w:p>
      <w:pPr>
        <w:pStyle w:val="Heading3"/>
        <w:spacing w:after="160" w:before="280"/>
      </w:pPr>
      <w:r>
        <w:t xml:space="preserve">2.4.4  Multi-Party Authorisation and Collaborative Consent</w:t>
      </w:r>
    </w:p>
    <w:p>
      <w:pPr>
        <w:spacing w:after="140" w:line="300"/>
        <w:jc w:val="both"/>
      </w:pPr>
      <w:r>
        <w:rPr>
          <w:rFonts w:ascii="Cambria" w:cs="Cambria" w:eastAsia="Cambria" w:hAnsi="Cambria"/>
          <w:sz w:val="24"/>
          <w:szCs w:val="24"/>
        </w:rP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w:t>
      </w:r>
      <w:r>
        <w:rPr>
          <w:rFonts w:ascii="Cambria" w:cs="Cambria" w:eastAsia="Cambria" w:hAnsi="Cambria"/>
          <w:color w:val="007A00"/>
          <w:sz w:val="24"/>
          <w:szCs w:val="24"/>
        </w:rPr>
        <w:t xml:space="preserve">[21, 31]</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spacing w:after="140" w:line="300"/>
        <w:jc w:val="both"/>
      </w:pPr>
      <w:r>
        <w:rPr>
          <w:rFonts w:ascii="Cambria" w:cs="Cambria" w:eastAsia="Cambria" w:hAnsi="Cambria"/>
          <w:sz w:val="24"/>
          <w:szCs w:val="24"/>
        </w:rP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40" w:line="300"/>
        <w:jc w:val="both"/>
      </w:pPr>
      <w:r>
        <w:rPr>
          <w:rFonts w:ascii="Cambria" w:cs="Cambria" w:eastAsia="Cambria" w:hAnsi="Cambria"/>
          <w:sz w:val="24"/>
          <w:szCs w:val="24"/>
        </w:rP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spacing w:after="140" w:line="300"/>
        <w:jc w:val="both"/>
      </w:pPr>
      <w:r>
        <w:rPr>
          <w:rFonts w:ascii="Cambria" w:cs="Cambria" w:eastAsia="Cambria" w:hAnsi="Cambria"/>
          <w:b w:val="false"/>
          <w:bCs w:val="false"/>
          <w:sz w:val="24"/>
          <w:szCs w:val="24"/>
        </w:rPr>
        <w:t xml:space="preserve">Beyond healthcare, decentralised trust mechanisms have also been applied to empower independent stakeholders in cross-organisational data sharing, </w:t>
      </w:r>
      <w:r>
        <w:rPr>
          <w:rFonts w:ascii="Cambria" w:cs="Cambria" w:eastAsia="Cambria" w:hAnsi="Cambria"/>
          <w:b w:val="false"/>
          <w:bCs w:val="false"/>
          <w:color w:val="007A00"/>
          <w:sz w:val="24"/>
          <w:szCs w:val="24"/>
        </w:rPr>
        <w:t xml:space="preserve">illustrating that decentralised trust mechanisms for multi-stakeholder data sharing are not specific to healthcare</w:t>
      </w:r>
      <w:r>
        <w:rPr>
          <w:rFonts w:ascii="Cambria" w:cs="Cambria" w:eastAsia="Cambria" w:hAnsi="Cambria"/>
          <w:b w:val="false"/>
          <w:bCs w:val="false"/>
          <w:sz w:val="24"/>
          <w:szCs w:val="24"/>
        </w:rPr>
        <w:t xml:space="preserve"> [6].</w:t>
      </w:r>
    </w:p>
    <w:p>
      <w:pPr>
        <w:spacing w:after="140" w:line="300"/>
        <w:jc w:val="both"/>
      </w:pPr>
      <w:r>
        <w:rPr>
          <w:rFonts w:ascii="Cambria" w:cs="Cambria" w:eastAsia="Cambria" w:hAnsi="Cambria"/>
          <w:color w:val="000000"/>
          <w:sz w:val="24"/>
          <w:szCs w:val="24"/>
        </w:rPr>
        <w:t xml:space="preserve">Where the reviewed systems support multiple approvers, approval is typically </w:t>
      </w:r>
      <w:r>
        <w:rPr>
          <w:rFonts w:ascii="Cambria" w:cs="Cambria" w:eastAsia="Cambria" w:hAnsi="Cambria"/>
          <w:color w:val="007A00"/>
          <w:sz w:val="24"/>
          <w:szCs w:val="24"/>
        </w:rPr>
        <w:t xml:space="preserve">realised through platform governance or data-subject policies [19]</w:t>
      </w:r>
      <w:r>
        <w:rPr>
          <w:rFonts w:ascii="Cambria" w:cs="Cambria" w:eastAsia="Cambria" w:hAnsi="Cambria"/>
          <w:color w:val="000000"/>
          <w:sz w:val="24"/>
          <w:szCs w:val="24"/>
        </w:rPr>
        <w:t xml:space="preserve"> rather than represented as a verifiable threshold condition bound to the consent object itself. It is this representational absence, rather than the absence of multi-party mechanisms as such, that the proposed framework addresses.</w:t>
      </w:r>
    </w:p>
    <w:p>
      <w:pPr>
        <w:spacing w:after="140" w:line="300"/>
        <w:jc w:val="both"/>
      </w:pPr>
      <w:r>
        <w:rPr>
          <w:rFonts w:ascii="Cambria" w:cs="Cambria" w:eastAsia="Cambria" w:hAnsi="Cambria"/>
          <w:color w:val="0000CC"/>
          <w:sz w:val="24"/>
          <w:szCs w:val="24"/>
        </w:rPr>
        <w:t xml:space="preserve">Table 6 presents a summary of the studies on multi-party authorisation and collaborative governance and their commitment to the key requirements.</w:t>
      </w:r>
    </w:p>
    <w:p>
      <w:pPr>
        <w:keepNext/>
        <w:spacing w:after="80" w:before="160"/>
        <w:jc w:val="center"/>
      </w:pPr>
      <w:r>
        <w:rPr>
          <w:rFonts w:ascii="Cambria" w:cs="Cambria" w:eastAsia="Cambria" w:hAnsi="Cambria"/>
          <w:b/>
          <w:bCs/>
          <w:color w:val="0000CC"/>
          <w:sz w:val="21"/>
          <w:szCs w:val="21"/>
        </w:rPr>
        <w:t xml:space="preserve">Table 6: </w:t>
      </w:r>
      <w:r>
        <w:rPr>
          <w:rFonts w:ascii="Cambria" w:cs="Cambria" w:eastAsia="Cambria" w:hAnsi="Cambria"/>
          <w:color w:val="0000CC"/>
          <w:sz w:val="21"/>
          <w:szCs w:val="21"/>
        </w:rPr>
        <w:t xml:space="preserve">Descriptions, issues and limitations of existing studies on multi-party authorisation and collaborative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40"/>
        <w:gridCol w:w="2480"/>
        <w:gridCol w:w="620"/>
        <w:gridCol w:w="620"/>
        <w:gridCol w:w="620"/>
        <w:gridCol w:w="620"/>
        <w:gridCol w:w="620"/>
        <w:gridCol w:w="620"/>
      </w:tblGrid>
      <w:tr>
        <w:trPr>
          <w:tblHeader/>
        </w:trPr>
        <w:tc>
          <w:tcPr>
            <w:tcW w:type="dxa" w:w="7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4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 of the Study</w:t>
            </w:r>
          </w:p>
        </w:tc>
        <w:tc>
          <w:tcPr>
            <w:tcW w:type="dxa" w:w="248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study presents FLEX, a framework for secure data exchange among livestock supply-chain stakeholders that combines distributed ledger protocols, cryptographic protection and a web-based digital wallet supporting data sovereignty and consent management.</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framework serves agricultural supply chains; although it involves several stakeholders and consent management, it does not define threshold-based approval, purpose-bound policy evaluation or consent revocation for sensitive health data.</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study proposes Data Trusts as a Service, a cloud platform for multi-partner data sharing in which data subjects track where their data are and control who may access them and for what use through policies, with blockchain recording provenance.</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Control rests with the data subject and custodians under policies or contracts; the platform does not provide threshold or collective approval, decentralised identity, or consent expiry and revocation, and relies on a cloud service.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review examines how big data, blockchain and distributed systems together support decentralised decision-making across industries, discussing security, transparency and real-time analysis through case studies including Estonia's healthcare system, IBM Food Trust and the Brooklyn Microgrid.</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review addresses organisational decision-making in general. It does not describe multi-party approval of access requests, threshold authorisation, consent representation or healthcare access policy.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bl>
    <w:p>
      <w:pPr>
        <w:spacing w:after="180"/>
      </w:pPr>
    </w:p>
    <w:p>
      <w:pPr>
        <w:pStyle w:val="Heading3"/>
        <w:spacing w:after="160" w:before="280"/>
      </w:pPr>
      <w:r>
        <w:t xml:space="preserve">2.4.5  Policy-Based and Context-Aware Access Control</w:t>
      </w:r>
    </w:p>
    <w:p>
      <w:pPr>
        <w:spacing w:after="140" w:line="300"/>
        <w:jc w:val="both"/>
      </w:pPr>
      <w:r>
        <w:rPr>
          <w:rFonts w:ascii="Cambria" w:cs="Cambria" w:eastAsia="Cambria" w:hAnsi="Cambria"/>
          <w:sz w:val="24"/>
          <w:szCs w:val="24"/>
        </w:rP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spacing w:after="140" w:line="300"/>
        <w:jc w:val="both"/>
      </w:pPr>
      <w:r>
        <w:rPr>
          <w:rFonts w:ascii="Cambria" w:cs="Cambria" w:eastAsia="Cambria" w:hAnsi="Cambria"/>
          <w:sz w:val="24"/>
          <w:szCs w:val="24"/>
        </w:rP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spacing w:after="140" w:line="300"/>
        <w:jc w:val="both"/>
      </w:pPr>
      <w:r>
        <w:rPr>
          <w:rFonts w:ascii="Cambria" w:cs="Cambria" w:eastAsia="Cambria" w:hAnsi="Cambria"/>
          <w:sz w:val="24"/>
          <w:szCs w:val="24"/>
        </w:rP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spacing w:after="140" w:line="300"/>
        <w:jc w:val="both"/>
      </w:pPr>
      <w:r>
        <w:rPr>
          <w:rFonts w:ascii="Cambria" w:cs="Cambria" w:eastAsia="Cambria" w:hAnsi="Cambria"/>
          <w:sz w:val="24"/>
          <w:szCs w:val="24"/>
        </w:rPr>
        <w:t xml:space="preserve">The proposed framework consequently treats policy compliance as an explicit authorisation condition. Let C represent the consent object and R represent a requested operation. Policy validity can be represented conceptually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For example, if a consent authorises access to observations and medications,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then a request for observations, medications, and procedures,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should be rejected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w:t>
      </w:r>
    </w:p>
    <w:p>
      <w:pPr>
        <w:spacing w:after="140" w:line="300"/>
        <w:jc w:val="both"/>
      </w:pPr>
      <w:r>
        <w:rPr>
          <w:rFonts w:ascii="Cambria" w:cs="Cambria" w:eastAsia="Cambria" w:hAnsi="Cambria"/>
          <w:sz w:val="24"/>
          <w:szCs w:val="24"/>
        </w:rP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spacing w:after="140" w:line="300"/>
        <w:jc w:val="both"/>
      </w:pPr>
      <w:r>
        <w:rPr>
          <w:rFonts w:ascii="Cambria" w:cs="Cambria" w:eastAsia="Cambria" w:hAnsi="Cambria"/>
          <w:color w:val="000000"/>
          <w:sz w:val="24"/>
          <w:szCs w:val="24"/>
        </w:rPr>
        <w:t xml:space="preserve">Across the reviewed access-control approaches </w:t>
      </w:r>
      <w:r>
        <w:rPr>
          <w:rFonts w:ascii="Cambria" w:cs="Cambria" w:eastAsia="Cambria" w:hAnsi="Cambria"/>
          <w:color w:val="007A00"/>
          <w:sz w:val="24"/>
          <w:szCs w:val="24"/>
        </w:rPr>
        <w:t xml:space="preserve">[32, 11, 28], policy evaluation</w:t>
      </w:r>
      <w:r>
        <w:rPr>
          <w:rFonts w:ascii="Cambria" w:cs="Cambria" w:eastAsia="Cambria" w:hAnsi="Cambria"/>
          <w:color w:val="000000"/>
          <w:sz w:val="24"/>
          <w:szCs w:val="24"/>
        </w:rPr>
        <w:t xml:space="preserve"> is bound primarily to the requester's roles, attributes, or risk context rather than to the purpose and data scope authorised by the patient's consent. It is this missing relationship between the evaluated policy and the consent object itself that the proposed framework formalises.</w:t>
      </w:r>
    </w:p>
    <w:p>
      <w:pPr>
        <w:spacing w:after="140" w:line="300"/>
        <w:jc w:val="both"/>
      </w:pPr>
      <w:r>
        <w:rPr>
          <w:rFonts w:ascii="Cambria" w:cs="Cambria" w:eastAsia="Cambria" w:hAnsi="Cambria"/>
          <w:color w:val="0000CC"/>
          <w:sz w:val="24"/>
          <w:szCs w:val="24"/>
        </w:rPr>
        <w:t xml:space="preserve">Table 7 presents a summary of the access-control studies and their commitment to the key requirements.</w:t>
      </w:r>
    </w:p>
    <w:p>
      <w:pPr>
        <w:keepNext/>
        <w:spacing w:after="80" w:before="160"/>
        <w:jc w:val="center"/>
      </w:pPr>
      <w:r>
        <w:rPr>
          <w:rFonts w:ascii="Cambria" w:cs="Cambria" w:eastAsia="Cambria" w:hAnsi="Cambria"/>
          <w:b/>
          <w:bCs/>
          <w:color w:val="0000CC"/>
          <w:sz w:val="21"/>
          <w:szCs w:val="21"/>
        </w:rPr>
        <w:t xml:space="preserve">Table 7: </w:t>
      </w:r>
      <w:r>
        <w:rPr>
          <w:rFonts w:ascii="Cambria" w:cs="Cambria" w:eastAsia="Cambria" w:hAnsi="Cambria"/>
          <w:color w:val="0000CC"/>
          <w:sz w:val="21"/>
          <w:szCs w:val="21"/>
        </w:rPr>
        <w:t xml:space="preserve">Descriptions, issues and limitations of existing studies on policy-based and context-aware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40"/>
        <w:gridCol w:w="2480"/>
        <w:gridCol w:w="620"/>
        <w:gridCol w:w="620"/>
        <w:gridCol w:w="620"/>
        <w:gridCol w:w="620"/>
        <w:gridCol w:w="620"/>
        <w:gridCol w:w="620"/>
      </w:tblGrid>
      <w:tr>
        <w:trPr>
          <w:tblHeader/>
        </w:trPr>
        <w:tc>
          <w:tcPr>
            <w:tcW w:type="dxa" w:w="7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4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 of the Study</w:t>
            </w:r>
          </w:p>
        </w:tc>
        <w:tc>
          <w:tcPr>
            <w:tcW w:type="dxa" w:w="248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study proposes RQ-UCON, a usage-control model for healthcare big data that adds risk quantification based on physicians' access history and uses hierarchical clustering to derive risk intervals applied as access conditions.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Access decisions depend on the requester's risk profile rather than on patient-authorised purpose and data scope, and the model does not include consent, decentralised identity, multi-party approval or verifiable audit evidence.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authors survey access control in healthcare IoT, analysing RBAC, ABAC, capability-based and context-aware models, emergency access and privacy compliance, and discussing blockchain, artificial intelligence, Zero Trust and edge computing for decentralised enforcement.</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survey treats access decisions in terms of roles, attributes, capabilities and context; patient consent as an evaluable object, guardian co-approval and decentralised identity verification are not central to its analysis.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S28</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authors survey blockchain-based access control frameworks for electronic health records, classifying them as permissioned or permissionless and examining how smart contracts and privacy-preserving techniques support authentication, access control, integrity and availability.</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survey centres on access control and privacy of EHRs; consent is not treated as a structured object, and guardian co-approval, decentralised identity and consent lifecycle management receive little attention.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S32</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study proposes a decentralised ciphertext-policy attribute-based searchable encryption scheme for cloud-stored healthcare data, in which the master key is jointly managed by attribute nodes on a blockchain to avoid a single authority.</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Access is governed by cryptographic attribute policies over encrypted data; patient consent, purpose limitation, guardian approval and consent revocation are not modelled, and joint key management is not collective access approval.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bl>
    <w:p>
      <w:pPr>
        <w:spacing w:after="180"/>
      </w:pPr>
    </w:p>
    <w:p>
      <w:pPr>
        <w:pStyle w:val="Heading3"/>
        <w:spacing w:after="160" w:before="280"/>
      </w:pPr>
      <w:r>
        <w:t xml:space="preserve">2.4.6  Trusted Computing, Secure Execution, and Security Assurance</w:t>
      </w:r>
    </w:p>
    <w:p>
      <w:pPr>
        <w:spacing w:after="140" w:line="300"/>
        <w:jc w:val="both"/>
      </w:pPr>
      <w:r>
        <w:rPr>
          <w:rFonts w:ascii="Cambria" w:cs="Cambria" w:eastAsia="Cambria" w:hAnsi="Cambria"/>
          <w:sz w:val="24"/>
          <w:szCs w:val="24"/>
        </w:rP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r>
        <w:rPr>
          <w:rFonts w:ascii="Cambria" w:cs="Cambria" w:eastAsia="Cambria" w:hAnsi="Cambria"/>
          <w:color w:val="000000"/>
          <w:sz w:val="24"/>
          <w:szCs w:val="24"/>
        </w:rPr>
        <w:t xml:space="preserve"> [23]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Recent research has explored the integration of trusted execution and distributed trust mechanisms in different application domains. Trust-aware sensing and consensus mechanisms have demonstrated how TEE-supported sensing can contribute to resilient decision-making in conjunction with blockchain coordination [17]. These studies illustrate the potential of Trusted Computing to provide an additional assurance layer beyond conventional software-based access-control mechanisms.</w:t>
      </w:r>
    </w:p>
    <w:p>
      <w:pPr>
        <w:spacing w:after="140" w:line="300"/>
        <w:jc w:val="both"/>
      </w:pPr>
      <w:r>
        <w:rPr>
          <w:rFonts w:ascii="Cambria" w:cs="Cambria" w:eastAsia="Cambria" w:hAnsi="Cambria"/>
          <w:sz w:val="24"/>
          <w:szCs w:val="24"/>
        </w:rP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spacing w:after="140" w:line="300"/>
        <w:jc w:val="both"/>
      </w:pPr>
      <w:r>
        <w:rPr>
          <w:rFonts w:ascii="Cambria" w:cs="Cambria" w:eastAsia="Cambria" w:hAnsi="Cambria"/>
          <w:sz w:val="24"/>
          <w:szCs w:val="24"/>
        </w:rPr>
        <w:t xml:space="preserve">The reviewed literature therefore suggests an important opportunity for integration. A trust-oriented authorisation framework can define the conditions under which access should be permitted, while Trusted Computing mechanisms can provide stronger assurance that the relevant security-sensitive evaluation is performed within an integrity-protected environment.</w:t>
      </w:r>
    </w:p>
    <w:p>
      <w:pPr>
        <w:spacing w:after="140" w:line="300"/>
        <w:jc w:val="both"/>
      </w:pPr>
      <w:r>
        <w:rPr>
          <w:rFonts w:ascii="Cambria" w:cs="Cambria" w:eastAsia="Cambria" w:hAnsi="Cambria"/>
          <w:color w:val="000000"/>
          <w:sz w:val="24"/>
          <w:szCs w:val="24"/>
        </w:rPr>
        <w:t xml:space="preserve">This research establishes the conceptual foundation for such integration and, moreover, demonstrates it through an implemented and empirically evaluated prototype. Future work can therefore investigate how trusted execution and remote attestation can strengthen the enforcement and verification of decentralised consent decisions.</w:t>
      </w:r>
    </w:p>
    <w:p>
      <w:pPr>
        <w:spacing w:after="140" w:line="300"/>
        <w:jc w:val="both"/>
      </w:pPr>
      <w:r>
        <w:rPr>
          <w:rFonts w:ascii="Cambria" w:cs="Cambria" w:eastAsia="Cambria" w:hAnsi="Cambria"/>
          <w:sz w:val="24"/>
          <w:szCs w:val="24"/>
        </w:rP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w:t>
      </w:r>
    </w:p>
    <w:p>
      <w:pPr>
        <w:spacing w:after="140" w:line="300"/>
        <w:jc w:val="both"/>
      </w:pPr>
      <w:r>
        <w:rPr>
          <w:rFonts w:ascii="Cambria" w:cs="Cambria" w:eastAsia="Cambria" w:hAnsi="Cambria"/>
          <w:color w:val="000000"/>
          <w:sz w:val="24"/>
          <w:szCs w:val="24"/>
        </w:rPr>
        <w:t xml:space="preserve">The present prototype addresses this concern empirically through adversarial and negative testing across each verification dimension. Nevertheless, formal analysis remains necessary in order to demonstrate that these properties hold under defined assumptions.</w:t>
      </w:r>
    </w:p>
    <w:p>
      <w:pPr>
        <w:spacing w:after="140" w:line="300"/>
        <w:jc w:val="both"/>
      </w:pPr>
      <w:r>
        <w:rPr>
          <w:rFonts w:ascii="Cambria" w:cs="Cambria" w:eastAsia="Cambria" w:hAnsi="Cambria"/>
          <w:b w:val="false"/>
          <w:bCs w:val="false"/>
          <w:sz w:val="24"/>
          <w:szCs w:val="24"/>
        </w:rPr>
        <w:t xml:space="preserve">Complementary work in this stream applies entropy-based measurement to quantify blockchain immutability and tamper-resilient trust, providing an analytical basis for treating the ledger itself as part of the trusted computing base [18].</w:t>
      </w:r>
    </w:p>
    <w:p>
      <w:pPr>
        <w:spacing w:after="140" w:line="300"/>
        <w:jc w:val="both"/>
      </w:pPr>
      <w:r>
        <w:rPr>
          <w:rFonts w:ascii="Cambria" w:cs="Cambria" w:eastAsia="Cambria" w:hAnsi="Cambria"/>
          <w:color w:val="000000"/>
          <w:sz w:val="24"/>
          <w:szCs w:val="24"/>
        </w:rPr>
        <w:t xml:space="preserve">Formal security analysis nevertheless remains rare across the reviewed corpus: security arguments are predominantly architectural or empirical, and </w:t>
      </w:r>
      <w:r>
        <w:rPr>
          <w:rFonts w:ascii="Cambria" w:cs="Cambria" w:eastAsia="Cambria" w:hAnsi="Cambria"/>
          <w:color w:val="007A00"/>
          <w:sz w:val="24"/>
          <w:szCs w:val="24"/>
        </w:rPr>
        <w:t xml:space="preserve">analytical or simulation-based reasoning about security properties is found only in a minority of studies [18]</w:t>
      </w:r>
      <w:r>
        <w:rPr>
          <w:rFonts w:ascii="Cambria" w:cs="Cambria" w:eastAsia="Cambria" w:hAnsi="Cambria"/>
          <w:color w:val="000000"/>
          <w:sz w:val="24"/>
          <w:szCs w:val="24"/>
        </w:rPr>
        <w:t xml:space="preserve">. This observation grounds review question 7 and motivates the formal-assurance direction of the research. While Trusted Computing mechanisms could further harden the execution of the proposed authorisation evaluation, hardware-supported execution is treated as an orthogonal assurance layer and lies outside the scope of the present research questions.</w:t>
      </w:r>
    </w:p>
    <w:p>
      <w:pPr>
        <w:spacing w:after="140" w:line="300"/>
        <w:jc w:val="both"/>
      </w:pPr>
      <w:r>
        <w:rPr>
          <w:rFonts w:ascii="Cambria" w:cs="Cambria" w:eastAsia="Cambria" w:hAnsi="Cambria"/>
          <w:color w:val="0000CC"/>
          <w:sz w:val="24"/>
          <w:szCs w:val="24"/>
        </w:rPr>
        <w:t xml:space="preserve">Table 8 presents a summary of the trusted computing and security assurance studies and their commitment to the key requirements.</w:t>
      </w:r>
    </w:p>
    <w:p>
      <w:pPr>
        <w:keepNext/>
        <w:spacing w:after="80" w:before="160"/>
        <w:jc w:val="center"/>
      </w:pPr>
      <w:r>
        <w:rPr>
          <w:rFonts w:ascii="Cambria" w:cs="Cambria" w:eastAsia="Cambria" w:hAnsi="Cambria"/>
          <w:b/>
          <w:bCs/>
          <w:color w:val="0000CC"/>
          <w:sz w:val="21"/>
          <w:szCs w:val="21"/>
        </w:rPr>
        <w:t xml:space="preserve">Table 8: </w:t>
      </w:r>
      <w:r>
        <w:rPr>
          <w:rFonts w:ascii="Cambria" w:cs="Cambria" w:eastAsia="Cambria" w:hAnsi="Cambria"/>
          <w:color w:val="0000CC"/>
          <w:sz w:val="21"/>
          <w:szCs w:val="21"/>
        </w:rPr>
        <w:t xml:space="preserve">Descriptions, issues and limitations of existing studies on trusted computing, secure execution and security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40"/>
        <w:gridCol w:w="2480"/>
        <w:gridCol w:w="620"/>
        <w:gridCol w:w="620"/>
        <w:gridCol w:w="620"/>
        <w:gridCol w:w="620"/>
        <w:gridCol w:w="620"/>
        <w:gridCol w:w="620"/>
      </w:tblGrid>
      <w:tr>
        <w:trPr>
          <w:tblHeader/>
        </w:trPr>
        <w:tc>
          <w:tcPr>
            <w:tcW w:type="dxa" w:w="7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4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 of the Study</w:t>
            </w:r>
          </w:p>
        </w:tc>
        <w:tc>
          <w:tcPr>
            <w:tcW w:type="dxa" w:w="248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study proposes a smart-agriculture framework in which TEE-enabled sensors provide authenticated readings, Byzantine-resilient aggregation estimates a consistent environmental state, and a lightweight permissioned blockchain commits validated states, evaluated on a greenhouse IoT platform.</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work concerns sensor-data integrity in agriculture; it does not involve consent, identity credentials, authorisation or access policies, and its security evidence is experimental rather than formal.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authors develop an entropy-based framework that models blockchain states as probability distributions to quantify on-chain immutability, off-chain data integrity and computation in blockchain virtual machines, supported by simulations under varying adversarial fractions.</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study provides a general analytical measure of ledger immutability and tamper evidence but does not address consent, identity, authorisation or access policy, nor healthcare data.</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r>
        <w:trPr>
          <w:cantSplit/>
        </w:trPr>
        <w:tc>
          <w:tcPr>
            <w:tcW w:type="dxa" w:w="7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w:t>
            </w:r>
          </w:p>
        </w:tc>
        <w:tc>
          <w:tcPr>
            <w:tcW w:type="dxa" w:w="2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This study reviews the principles of remote attestation and explains how Intel SGX, Arm TrustZone, AMD SEV and emerging RISC-V trusted execution environments apply these mechanisms to establish trust in the code they execute.</w:t>
            </w:r>
          </w:p>
        </w:tc>
        <w:tc>
          <w:tcPr>
            <w:tcW w:type="dxa" w:w="248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The work concerns hardware-level execution integrity only. It does not consider consent, identity, multi-party authorisation or access policy, and it is not situated in healthcare data sharing.</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7"/>
                <w:szCs w:val="17"/>
              </w:rPr>
              <w:t xml:space="preserve">√</w:t>
            </w:r>
          </w:p>
        </w:tc>
      </w:tr>
    </w:tbl>
    <w:p>
      <w:pPr>
        <w:spacing w:after="180"/>
      </w:pPr>
    </w:p>
    <w:p>
      <w:pPr>
        <w:pStyle w:val="Heading3"/>
        <w:spacing w:after="160" w:before="280"/>
      </w:pPr>
      <w:r>
        <w:t xml:space="preserve">2.4.7  Comparative Analysis of Existing Approaches</w:t>
      </w:r>
    </w:p>
    <w:p>
      <w:pPr>
        <w:spacing w:after="140" w:line="300"/>
        <w:jc w:val="both"/>
      </w:pPr>
      <w:r>
        <w:rPr>
          <w:rFonts w:ascii="Cambria" w:cs="Cambria" w:eastAsia="Cambria" w:hAnsi="Cambria"/>
          <w:sz w:val="24"/>
          <w:szCs w:val="24"/>
        </w:rPr>
        <w:t xml:space="preserve">The reviewed literature demonstrates that existing approaches provide strong solutions for individual dimensions of trustworthy data sharing. Blockchain-based systems provide tamper-resistant recording and auditability</w:t>
      </w:r>
      <w:r>
        <w:rPr>
          <w:rFonts w:ascii="Cambria" w:cs="Cambria" w:eastAsia="Cambria" w:hAnsi="Cambria"/>
          <w:color w:val="000000"/>
          <w:sz w:val="24"/>
          <w:szCs w:val="24"/>
        </w:rPr>
        <w:t xml:space="preserve"> [2, 7, 28]</w:t>
      </w:r>
      <w:r>
        <w:rPr>
          <w:rFonts w:ascii="Cambria" w:cs="Cambria" w:eastAsia="Cambria" w:hAnsi="Cambria"/>
          <w:sz w:val="24"/>
          <w:szCs w:val="24"/>
        </w:rPr>
        <w:t xml:space="preserve">; DID and VC mechanisms provide decentralised identity and verifiable attributes</w:t>
      </w:r>
      <w:r>
        <w:rPr>
          <w:rFonts w:ascii="Cambria" w:cs="Cambria" w:eastAsia="Cambria" w:hAnsi="Cambria"/>
          <w:color w:val="000000"/>
          <w:sz w:val="24"/>
          <w:szCs w:val="24"/>
        </w:rPr>
        <w:t xml:space="preserve"> [20, 4, 5]</w:t>
      </w:r>
      <w:r>
        <w:rPr>
          <w:rFonts w:ascii="Cambria" w:cs="Cambria" w:eastAsia="Cambria" w:hAnsi="Cambria"/>
          <w:sz w:val="24"/>
          <w:szCs w:val="24"/>
        </w:rPr>
        <w:t xml:space="preserve">; policy-based and cryptographic access-control mechanisms provide fine-grained data protection</w:t>
      </w:r>
      <w:r>
        <w:rPr>
          <w:rFonts w:ascii="Cambria" w:cs="Cambria" w:eastAsia="Cambria" w:hAnsi="Cambria"/>
          <w:color w:val="000000"/>
          <w:sz w:val="24"/>
          <w:szCs w:val="24"/>
        </w:rPr>
        <w:t xml:space="preserve"> [32, 11, 25]</w:t>
      </w:r>
      <w:r>
        <w:rPr>
          <w:rFonts w:ascii="Cambria" w:cs="Cambria" w:eastAsia="Cambria" w:hAnsi="Cambria"/>
          <w:sz w:val="24"/>
          <w:szCs w:val="24"/>
        </w:rPr>
        <w:t xml:space="preserve">; collaborative governance mechanisms support distributed participation</w:t>
      </w:r>
      <w:r>
        <w:rPr>
          <w:rFonts w:ascii="Cambria" w:cs="Cambria" w:eastAsia="Cambria" w:hAnsi="Cambria"/>
          <w:color w:val="000000"/>
          <w:sz w:val="24"/>
          <w:szCs w:val="24"/>
        </w:rPr>
        <w:t xml:space="preserve"> [19, 29, 6]</w:t>
      </w:r>
      <w:r>
        <w:rPr>
          <w:rFonts w:ascii="Cambria" w:cs="Cambria" w:eastAsia="Cambria" w:hAnsi="Cambria"/>
          <w:sz w:val="24"/>
          <w:szCs w:val="24"/>
        </w:rPr>
        <w:t xml:space="preserve">; and Trusted Computing provides secure execution and attestation capabilities</w:t>
      </w:r>
      <w:r>
        <w:rPr>
          <w:rFonts w:ascii="Cambria" w:cs="Cambria" w:eastAsia="Cambria" w:hAnsi="Cambria"/>
          <w:color w:val="000000"/>
          <w:sz w:val="24"/>
          <w:szCs w:val="24"/>
        </w:rPr>
        <w:t xml:space="preserve"> [23, 17]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spacing w:after="140" w:line="300"/>
        <w:jc w:val="both"/>
      </w:pPr>
      <w:r>
        <w:rPr>
          <w:rFonts w:ascii="Cambria" w:cs="Cambria" w:eastAsia="Cambria" w:hAnsi="Cambria"/>
          <w:sz w:val="24"/>
          <w:szCs w:val="24"/>
        </w:rPr>
        <w:t xml:space="preserve">Table 9 summarises the principal focus and limitations of the major research streams and positions the proposed framework relative to the existing literature.</w:t>
      </w:r>
    </w:p>
    <w:p>
      <w:pPr>
        <w:keepNext/>
        <w:spacing w:after="80" w:before="160"/>
        <w:jc w:val="center"/>
      </w:pPr>
      <w:r>
        <w:rPr>
          <w:rFonts w:ascii="Cambria" w:cs="Cambria" w:eastAsia="Cambria" w:hAnsi="Cambria"/>
          <w:b/>
          <w:bCs/>
          <w:color w:val="000000"/>
          <w:sz w:val="21"/>
          <w:szCs w:val="21"/>
        </w:rPr>
        <w:t xml:space="preserve">Table 9: </w:t>
      </w:r>
      <w:r>
        <w:rPr>
          <w:rFonts w:ascii="Cambria" w:cs="Cambria" w:eastAsia="Cambria" w:hAnsi="Cambria"/>
          <w:color w:val="000000"/>
          <w:sz w:val="21"/>
          <w:szCs w:val="21"/>
        </w:rPr>
        <w:t xml:space="preserve">Comparison of Existing Research Approaches and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Stream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Contribution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Main Limitation for Authorisation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Representative References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Healthcare consent and privacy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Patient autonomy, informed consent, and controlled data sharing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Consent is treated as permission rather than an evaluable authorisation object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[31, 22, 14, 24, 12, 13, 10]</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Blockchain-based data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Tamper-resistant records, distributed auditability, and transparency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Immutable records do not establish participant legitimacy, authority, or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 2, 7, 3, 30, 26, 8, 29]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Decentralised identity and verifiable credentials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Self-controlled identity, verifiable attributes, and authentication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 and credential validity do not independently determine if access is authorised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[20, 33, 4, 16, 27,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and decentralised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Collaborative participation and distributed verification or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Limited integration between collective approval thresholds, consent, and access decisions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[19, 4, 21, 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Policy-based and healthcare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Fine-grained restriction based on attributes, risk, context, and constraints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enforcement is separated from decentralised identity and multi-party consent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[32, 11, 28, 25]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Trusted Computing and secure execution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Hardware-supported isolation, execution integrity, and attestation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Secure execution does not determine whether underlying authorisation conditions are sufficient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[23, 17, 18]</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Proposed Framework</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evaluation of consent, identity, authority, multi-party approval, and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Lifecycle trust and empirical validation realised in the implemented prototype; formal security assurance requires further extension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This research</w:t>
            </w:r>
          </w:p>
        </w:tc>
      </w:tr>
    </w:tbl>
    <w:p>
      <w:pPr>
        <w:spacing w:after="180"/>
      </w:pPr>
    </w:p>
    <w:p>
      <w:pPr>
        <w:spacing w:after="140" w:line="300"/>
        <w:jc w:val="both"/>
      </w:pPr>
      <w:r>
        <w:rPr>
          <w:rFonts w:ascii="Cambria" w:cs="Cambria" w:eastAsia="Cambria" w:hAnsi="Cambria"/>
          <w:sz w:val="24"/>
          <w:szCs w:val="24"/>
        </w:rP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p>
      <w:pPr>
        <w:pStyle w:val="Heading2"/>
        <w:spacing w:after="160" w:before="280"/>
      </w:pPr>
      <w:r>
        <w:t xml:space="preserve">2.5  Synthesis and Research Gap</w:t>
      </w:r>
    </w:p>
    <w:p>
      <w:pPr>
        <w:spacing w:after="140" w:line="300"/>
        <w:jc w:val="both"/>
      </w:pPr>
      <w:r>
        <w:rPr>
          <w:rFonts w:ascii="Cambria" w:cs="Cambria" w:eastAsia="Cambria" w:hAnsi="Cambria"/>
          <w:sz w:val="24"/>
          <w:szCs w:val="24"/>
        </w:rPr>
        <w:t xml:space="preserve">The literature review identifies a consistent pattern of fragmentation across existing research. Blockchain-based approaches primarily address the integrity and traceability of recorded events</w:t>
      </w:r>
      <w:r>
        <w:rPr>
          <w:rFonts w:ascii="Cambria" w:cs="Cambria" w:eastAsia="Cambria" w:hAnsi="Cambria"/>
          <w:color w:val="000000"/>
          <w:sz w:val="24"/>
          <w:szCs w:val="24"/>
        </w:rPr>
        <w:t xml:space="preserve"> [2, 7, 28]</w:t>
      </w:r>
      <w:r>
        <w:rPr>
          <w:rFonts w:ascii="Cambria" w:cs="Cambria" w:eastAsia="Cambria" w:hAnsi="Cambria"/>
          <w:sz w:val="24"/>
          <w:szCs w:val="24"/>
        </w:rPr>
        <w:t xml:space="preserve">. Decentralised identity and verifiable credential systems address the identification and attribute verification of participating entities</w:t>
      </w:r>
      <w:r>
        <w:rPr>
          <w:rFonts w:ascii="Cambria" w:cs="Cambria" w:eastAsia="Cambria" w:hAnsi="Cambria"/>
          <w:color w:val="000000"/>
          <w:sz w:val="24"/>
          <w:szCs w:val="24"/>
        </w:rPr>
        <w:t xml:space="preserve"> [20, 33, 4]</w:t>
      </w:r>
      <w:r>
        <w:rPr>
          <w:rFonts w:ascii="Cambria" w:cs="Cambria" w:eastAsia="Cambria" w:hAnsi="Cambria"/>
          <w:sz w:val="24"/>
          <w:szCs w:val="24"/>
        </w:rPr>
        <w:t xml:space="preserve">. Multi-party governance mechanisms address distributed participation and collective decision-making</w:t>
      </w:r>
      <w:r>
        <w:rPr>
          <w:rFonts w:ascii="Cambria" w:cs="Cambria" w:eastAsia="Cambria" w:hAnsi="Cambria"/>
          <w:color w:val="000000"/>
          <w:sz w:val="24"/>
          <w:szCs w:val="24"/>
        </w:rPr>
        <w:t xml:space="preserve"> [19, 29]</w:t>
      </w:r>
      <w:r>
        <w:rPr>
          <w:rFonts w:ascii="Cambria" w:cs="Cambria" w:eastAsia="Cambria" w:hAnsi="Cambria"/>
          <w:sz w:val="24"/>
          <w:szCs w:val="24"/>
        </w:rPr>
        <w:t xml:space="preserve">. Policy-based access-control approaches determine whether requested operations comply with predefined constraints</w:t>
      </w:r>
      <w:r>
        <w:rPr>
          <w:rFonts w:ascii="Cambria" w:cs="Cambria" w:eastAsia="Cambria" w:hAnsi="Cambria"/>
          <w:color w:val="000000"/>
          <w:sz w:val="24"/>
          <w:szCs w:val="24"/>
        </w:rPr>
        <w:t xml:space="preserve"> [32, 11, 25]</w:t>
      </w:r>
      <w:r>
        <w:rPr>
          <w:rFonts w:ascii="Cambria" w:cs="Cambria" w:eastAsia="Cambria" w:hAnsi="Cambria"/>
          <w:sz w:val="24"/>
          <w:szCs w:val="24"/>
        </w:rPr>
        <w:t xml:space="preserve">. Trusted Computing technologies protect the execution of security-sensitive computation</w:t>
      </w:r>
      <w:r>
        <w:rPr>
          <w:rFonts w:ascii="Cambria" w:cs="Cambria" w:eastAsia="Cambria" w:hAnsi="Cambria"/>
          <w:color w:val="000000"/>
          <w:sz w:val="24"/>
          <w:szCs w:val="24"/>
        </w:rPr>
        <w:t xml:space="preserve"> [23, 17]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Heading3"/>
        <w:spacing w:after="160" w:before="280"/>
      </w:pPr>
      <w:r>
        <w:rPr>
          <w:color w:val="0000CC"/>
        </w:rPr>
        <w:t xml:space="preserve">2.5.1  Research Gaps in the Existing Studies from the Requirement Perspective</w:t>
      </w:r>
    </w:p>
    <w:p>
      <w:pPr>
        <w:spacing w:after="140" w:line="300"/>
        <w:jc w:val="both"/>
      </w:pPr>
      <w:r>
        <w:rPr>
          <w:rFonts w:ascii="Cambria" w:cs="Cambria" w:eastAsia="Cambria" w:hAnsi="Cambria"/>
          <w:color w:val="0000CC"/>
          <w:sz w:val="24"/>
          <w:szCs w:val="24"/>
        </w:rPr>
        <w:t xml:space="preserve">As presented in Tables 3 to 8, the reviewed studies have concentrated on recording consent, verifying identities and enforcing access policies as separate concerns. From the perspective of the six key requirements defined in Section 2.2, the existing work has the following drawbacks:</w:t>
      </w:r>
    </w:p>
    <w:p>
      <w:pPr>
        <w:spacing w:after="140" w:line="300"/>
        <w:jc w:val="both"/>
      </w:pPr>
      <w:r>
        <w:rPr>
          <w:rFonts w:ascii="Cambria" w:cs="Cambria" w:eastAsia="Cambria" w:hAnsi="Cambria"/>
          <w:b/>
          <w:bCs/>
          <w:color w:val="0000CC"/>
          <w:sz w:val="24"/>
          <w:szCs w:val="24"/>
        </w:rPr>
        <w:t xml:space="preserve">Representation of consent as an evaluable authorisation object (Req 1):</w:t>
      </w:r>
      <w:r>
        <w:rPr>
          <w:rFonts w:ascii="Cambria" w:cs="Cambria" w:eastAsia="Cambria" w:hAnsi="Cambria"/>
          <w:color w:val="0000CC"/>
          <w:sz w:val="24"/>
          <w:szCs w:val="24"/>
        </w:rPr>
        <w:t xml:space="preserve"> none of the 33 reviewed studies satisfies this requirement. The studies that come closest treat consent as a receipt (S10), as a dynamic preference that can be updated (S13, S24) or as a record tracked by a conceptual framework (S21), while the blockchain studies (S1, S2, S3, S7) store consent as a transaction on a ledger. In each case the consent establishes that a decision occurred; it does not carry the identity, authority, purpose, temporal and jurisdictional conditions in a form that can be evaluated at the time of a request. This is important because, without such a representation, the trustworthiness of an access decision cannot be traced back to the consent itself.</w:t>
      </w:r>
    </w:p>
    <w:p>
      <w:pPr>
        <w:spacing w:after="140" w:line="300"/>
        <w:jc w:val="both"/>
      </w:pPr>
      <w:r>
        <w:rPr>
          <w:rFonts w:ascii="Cambria" w:cs="Cambria" w:eastAsia="Cambria" w:hAnsi="Cambria"/>
          <w:b/>
          <w:bCs/>
          <w:color w:val="0000CC"/>
          <w:sz w:val="24"/>
          <w:szCs w:val="24"/>
        </w:rPr>
        <w:t xml:space="preserve">Decentralised verification of identity and authority (Req 2):</w:t>
      </w:r>
      <w:r>
        <w:rPr>
          <w:rFonts w:ascii="Cambria" w:cs="Cambria" w:eastAsia="Cambria" w:hAnsi="Cambria"/>
          <w:color w:val="0000CC"/>
          <w:sz w:val="24"/>
          <w:szCs w:val="24"/>
        </w:rPr>
        <w:t xml:space="preserve"> this requirement is addressed by S4, S5, S15, S16, S20, S21, S27, S33. These studies provide mature mechanisms for decentralised identifiers, verifiable credentials and privacy-preserving authentication. However, they establish who a participant is rather than what that participant is authorised to do with a particular patient's data. Consequently, the separation between identity verification and authority verification, and the binding of both to the consent object, remains unaddressed.</w:t>
      </w:r>
    </w:p>
    <w:p>
      <w:pPr>
        <w:spacing w:after="140" w:line="300"/>
        <w:jc w:val="both"/>
      </w:pPr>
      <w:r>
        <w:rPr>
          <w:rFonts w:ascii="Cambria" w:cs="Cambria" w:eastAsia="Cambria" w:hAnsi="Cambria"/>
          <w:b/>
          <w:bCs/>
          <w:color w:val="0000CC"/>
          <w:sz w:val="24"/>
          <w:szCs w:val="24"/>
        </w:rPr>
        <w:t xml:space="preserve">Multi-party authorisation through a verifiable threshold (Req 3):</w:t>
      </w:r>
      <w:r>
        <w:rPr>
          <w:rFonts w:ascii="Cambria" w:cs="Cambria" w:eastAsia="Cambria" w:hAnsi="Cambria"/>
          <w:color w:val="0000CC"/>
          <w:sz w:val="24"/>
          <w:szCs w:val="24"/>
        </w:rPr>
        <w:t xml:space="preserve"> no reviewed study satisfies this requirement. S6, S19 and S29 investigate data sharing among several stakeholders, but approval is realised through platform governance or the policies of the data subject rather than as a threshold condition that is checkable by any party. The threshold committees of S33 protect the identity infrastructure, and the committee approval of S4 concerns the issuance of credentials; neither applies to the authorisation of a data-access request. The literature therefore provides multi-party mechanisms, but not multi-party authorisation of consent.</w:t>
      </w:r>
    </w:p>
    <w:p>
      <w:pPr>
        <w:spacing w:after="140" w:line="300"/>
        <w:jc w:val="both"/>
      </w:pPr>
      <w:r>
        <w:rPr>
          <w:rFonts w:ascii="Cambria" w:cs="Cambria" w:eastAsia="Cambria" w:hAnsi="Cambria"/>
          <w:b/>
          <w:bCs/>
          <w:color w:val="0000CC"/>
          <w:sz w:val="24"/>
          <w:szCs w:val="24"/>
        </w:rPr>
        <w:t xml:space="preserve">Policy- and context-aware enforcement at the time of access (Req 4):</w:t>
      </w:r>
      <w:r>
        <w:rPr>
          <w:rFonts w:ascii="Cambria" w:cs="Cambria" w:eastAsia="Cambria" w:hAnsi="Cambria"/>
          <w:color w:val="0000CC"/>
          <w:sz w:val="24"/>
          <w:szCs w:val="24"/>
        </w:rPr>
        <w:t xml:space="preserve"> this requirement is addressed by S11, S15, S19, S25, S28, S32. These studies evaluate requests against roles, attributes, risk levels or usage conditions. However, the policies are bound to the requester rather than to the purpose and the data scope that the patient authorised, and none of them evaluates the jurisdiction in which the data may be used. As a result, a legitimate requester can exceed the scope of the consent without being refused.</w:t>
      </w:r>
    </w:p>
    <w:p>
      <w:pPr>
        <w:spacing w:after="140" w:line="300"/>
        <w:jc w:val="both"/>
      </w:pPr>
      <w:r>
        <w:rPr>
          <w:rFonts w:ascii="Cambria" w:cs="Cambria" w:eastAsia="Cambria" w:hAnsi="Cambria"/>
          <w:b/>
          <w:bCs/>
          <w:color w:val="0000CC"/>
          <w:sz w:val="24"/>
          <w:szCs w:val="24"/>
        </w:rPr>
        <w:t xml:space="preserve">Temporal validity and lifecycle control of consent (Req 5):</w:t>
      </w:r>
      <w:r>
        <w:rPr>
          <w:rFonts w:ascii="Cambria" w:cs="Cambria" w:eastAsia="Cambria" w:hAnsi="Cambria"/>
          <w:color w:val="0000CC"/>
          <w:sz w:val="24"/>
          <w:szCs w:val="24"/>
        </w:rPr>
        <w:t xml:space="preserve"> only S4, S13, S24 address this requirement, and only in part. S4 revokes identities rather than consents, S13 allows consent preferences to evolve, and S24 reviews dynamic consent without enforcing it. None of the studies enforces the validity interval of a consent at every request, makes revocation verifiable at the ledger level, or restricts the transitions between consent states. This is the least developed of the six requirements in the reviewed literature.</w:t>
      </w:r>
    </w:p>
    <w:p>
      <w:pPr>
        <w:spacing w:after="140" w:line="300"/>
        <w:jc w:val="both"/>
      </w:pPr>
      <w:r>
        <w:rPr>
          <w:rFonts w:ascii="Cambria" w:cs="Cambria" w:eastAsia="Cambria" w:hAnsi="Cambria"/>
          <w:b/>
          <w:bCs/>
          <w:color w:val="0000CC"/>
          <w:sz w:val="24"/>
          <w:szCs w:val="24"/>
        </w:rPr>
        <w:t xml:space="preserve">Verifiable auditability and security assurance (Req 6):</w:t>
      </w:r>
      <w:r>
        <w:rPr>
          <w:rFonts w:ascii="Cambria" w:cs="Cambria" w:eastAsia="Cambria" w:hAnsi="Cambria"/>
          <w:color w:val="0000CC"/>
          <w:sz w:val="24"/>
          <w:szCs w:val="24"/>
        </w:rPr>
        <w:t xml:space="preserve"> this is the most frequently addressed requirement (18 of the 33 studies), because a blockchain ledger provides tamper-evident evidence of the recorded events by construction. However, the assurance offered by these studies is functional: they demonstrate that valid operations are recorded correctly. Analytical or adversarial validation of the authorisation properties, such as the impossibility of access after revocation or without sufficient approvals, is found only in S18 and, at the level of the execution environment, in S23. None of the studies validates the negative cases of a consent decision.</w:t>
      </w:r>
    </w:p>
    <w:p>
      <w:pPr>
        <w:spacing w:after="140" w:line="300"/>
        <w:jc w:val="both"/>
      </w:pPr>
      <w:r>
        <w:rPr>
          <w:rFonts w:ascii="Cambria" w:cs="Cambria" w:eastAsia="Cambria" w:hAnsi="Cambria"/>
          <w:color w:val="0000CC"/>
          <w:sz w:val="24"/>
          <w:szCs w:val="24"/>
        </w:rPr>
        <w:t xml:space="preserve">Taken together, these drawbacks show that the existing literature supplies the individual building blocks of trustworthy consent authorisation but does not connect them. The identification of this gap is developed in the remainder of this section, and the next chapter restates it as a set of research questions and objectives.</w:t>
      </w:r>
    </w:p>
    <w:p>
      <w:pPr>
        <w:spacing w:after="140" w:line="300"/>
        <w:jc w:val="both"/>
      </w:pPr>
      <w:r>
        <w:rPr>
          <w:rFonts w:ascii="Cambria" w:cs="Cambria" w:eastAsia="Cambria" w:hAnsi="Cambria"/>
          <w:sz w:val="24"/>
          <w:szCs w:val="24"/>
        </w:rPr>
        <w:t xml:space="preserve">The central research gap therefore concerns the absence of a sufficiently integrated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spacing w:after="140" w:line="300"/>
        <w:jc w:val="both"/>
      </w:pPr>
      <w:r>
        <w:rPr>
          <w:rFonts w:ascii="Cambria" w:cs="Cambria" w:eastAsia="Cambria" w:hAnsi="Cambria"/>
          <w:color w:val="000000"/>
          <w:sz w:val="24"/>
          <w:szCs w:val="24"/>
        </w:rPr>
        <w:t xml:space="preserve">The reviewed literature also identifies persistent challenges of privacy preservation, scalability, and interoperability in blockchain-based healthcare systems [2, 7, 3, 28]; while these concerns inform the design constraints of the proposed framework, they are treated as engineering constraints rather than as the conceptual gap pursued by this research.</w:t>
      </w:r>
    </w:p>
    <w:p>
      <w:pPr>
        <w:spacing w:after="140" w:line="300"/>
        <w:jc w:val="both"/>
      </w:pPr>
      <w:r>
        <w:rPr>
          <w:rFonts w:ascii="Cambria" w:cs="Cambria" w:eastAsia="Cambria" w:hAnsi="Cambria"/>
          <w:color w:val="000000"/>
          <w:sz w:val="24"/>
          <w:szCs w:val="24"/>
        </w:rPr>
        <w:t xml:space="preserve">In the same way, the consent-lifecycle limitation identified in Section 2.4.1 and the scarcity of formal security analysis identified in Section 2.4.6 define the temporal-lifecycle and formal-assurance dimensions that the next stage of this research addresses.</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p>
    <w:p>
      <w:pPr>
        <w:spacing w:after="140" w:line="300"/>
        <w:jc w:val="both"/>
      </w:pPr>
      <w:r>
        <w:rPr>
          <w:rFonts w:ascii="Cambria" w:cs="Cambria" w:eastAsia="Cambria" w:hAnsi="Cambria"/>
          <w:color w:val="000000"/>
          <w:sz w:val="24"/>
          <w:szCs w:val="24"/>
        </w:rPr>
        <w:t xml:space="preserve">This is the rule enforced by the implemented Consent Engine: every access request is evaluated over the complete tuple, where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(C, t) additionally represents the temporal validity of the request instant and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the jurisdictional constraint; the temporal and jurisdictional predicates are already operational rather than deferred to subsequent research.</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sz w:val="24"/>
          <w:szCs w:val="24"/>
        </w:rPr>
        <w:t xml:space="preserve">The current research therefore concentrates on establishing the foundational relationship between trust-centric consent modelling, decentralised identity and authority verification, multi-party authorisation, and policy-aware access control.</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p>
      <w:pPr>
        <w:pStyle w:val="Heading2"/>
        <w:spacing w:after="160" w:before="280"/>
      </w:pPr>
      <w:r>
        <w:rPr>
          <w:color w:val="0000CC"/>
        </w:rPr>
        <w:t xml:space="preserve">2.6  Conclusion</w:t>
      </w:r>
    </w:p>
    <w:p>
      <w:pPr>
        <w:spacing w:after="140" w:line="300"/>
        <w:jc w:val="both"/>
      </w:pPr>
      <w:r>
        <w:rPr>
          <w:rFonts w:ascii="Cambria" w:cs="Cambria" w:eastAsia="Cambria" w:hAnsi="Cambria"/>
          <w:color w:val="0000CC"/>
          <w:sz w:val="24"/>
          <w:szCs w:val="24"/>
        </w:rPr>
        <w:t xml:space="preserve">This systematic literature review defined six key requirements that a trustworthy authorisation framework for multi-party patient consent should satisfy: the representation of consent as an evaluable authorisation object, the decentralised verification of identity and authority, multi-party authorisation through a verifiable threshold, policy- and context-aware enforcement at the time of access, temporal validity and lifecycle control, and verifiable auditability and security assurance. Following a PRISMA-based process, 33 studies were shortlisted from 125 records and were reviewed in six thematic streams. Each study was assessed against the six requirements, and the results are summarised in Tables 3 to 8.</w:t>
      </w:r>
    </w:p>
    <w:p>
      <w:pPr>
        <w:spacing w:after="140" w:line="300"/>
        <w:jc w:val="both"/>
      </w:pPr>
      <w:r>
        <w:rPr>
          <w:rFonts w:ascii="Cambria" w:cs="Cambria" w:eastAsia="Cambria" w:hAnsi="Cambria"/>
          <w:color w:val="0000CC"/>
          <w:sz w:val="24"/>
          <w:szCs w:val="24"/>
        </w:rPr>
        <w:t xml:space="preserve">The review shows that the existing studies provide strong solutions for individual requirements. Blockchain-based systems satisfy the auditability requirement, decentralised identity studies satisfy the identity requirement, and access-control studies satisfy the policy requirement. However, no reviewed study satisfies all six requirements together, and only a small number address the temporal and lifecycle requirement or provide security assurance beyond a functional demonstration. Consequently, the research gap identified in this chapter is not the absence of individual mechanisms but the absence of a framework that connects them into a single, verifiable authorisation decision.</w:t>
      </w:r>
    </w:p>
    <w:p>
      <w:pPr>
        <w:spacing w:after="140" w:line="300"/>
        <w:jc w:val="both"/>
      </w:pPr>
      <w:r>
        <w:rPr>
          <w:rFonts w:ascii="Cambria" w:cs="Cambria" w:eastAsia="Cambria" w:hAnsi="Cambria"/>
          <w:color w:val="0000CC"/>
          <w:sz w:val="24"/>
          <w:szCs w:val="24"/>
        </w:rPr>
        <w:t xml:space="preserve">The next chapter builds on this gap. It restates the gap in terms of a trust-oriented authorisation problem, defines the key terms used in this study, and presents the main research question, the six sub-research questions and the corresponding research objectives.</w:t>
      </w:r>
    </w:p>
    <w:p>
      <w:pPr>
        <w:keepNext/>
        <w:spacing w:after="60" w:before="140"/>
        <w:jc w:val="center"/>
      </w:pPr>
      <w:r>
        <w:drawing>
          <wp:inline distT="0" distB="0" distL="0" distR="0">
            <wp:extent cx="5715000" cy="2676525"/>
            <wp:effectExtent t="0" r="0" b="0" l="0"/>
            <wp:docPr id="1" name="gfig2c.png" descr="Figure 5: Synthesis of the review: the five research streams provide strong but fragmented mechanisms; their lack of integration constitutes the research gap, which the proposed framework addresses by treating consent as an evaluable authorisation object." title="Figure 5: Synthesis of the review: the five research streams provide strong but fragmented mechanisms; their lack of integration constitutes the research gap, which the proposed framework addresses by treating consent as an evaluable authorisatio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5: Synthesis of the review: the five research streams provide strong but fragmented mechanisms; their lack of integration constitutes the research gap, which the proposed framework addresses by treating consent as an evaluable authorisation object.</w:t>
      </w:r>
    </w:p>
    <w:p>
      <w:pPr>
        <w:pStyle w:val="Heading1"/>
        <w:pageBreakBefore/>
        <w:spacing w:after="160" w:before="400"/>
      </w:pPr>
      <w:r>
        <w:t xml:space="preserve">3  Research Gaps and Questions</w:t>
      </w:r>
    </w:p>
    <w:p>
      <w:pPr>
        <w:pStyle w:val="Heading2"/>
        <w:spacing w:after="160" w:before="280"/>
      </w:pPr>
      <w:r>
        <w:t xml:space="preserve">3.1  Research Gap</w:t>
      </w:r>
    </w:p>
    <w:p>
      <w:pPr>
        <w:spacing w:after="140" w:line="300"/>
        <w:jc w:val="both"/>
      </w:pPr>
      <w:r>
        <w:rPr>
          <w:rFonts w:ascii="Cambria" w:cs="Cambria" w:eastAsia="Cambria" w:hAnsi="Cambria"/>
          <w:sz w:val="24"/>
          <w:szCs w:val="24"/>
        </w:rP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there remains a need for an integrated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pStyle w:val="Heading2"/>
        <w:spacing w:after="160" w:before="280"/>
      </w:pPr>
      <w:r>
        <w:t xml:space="preserve">3.2  Main Research Question</w:t>
      </w:r>
    </w:p>
    <w:p>
      <w:pPr>
        <w:spacing w:after="140" w:line="300"/>
        <w:jc w:val="both"/>
      </w:pPr>
      <w:r>
        <w:rPr>
          <w:rFonts w:ascii="Cambria" w:cs="Cambria" w:eastAsia="Cambria" w:hAnsi="Cambria"/>
          <w:color w:val="000000"/>
          <w:sz w:val="24"/>
          <w:szCs w:val="24"/>
        </w:rPr>
        <w:t xml:space="preserve">Temporal and lifecycle trust has been operationalised in the current prototype, and empirical validation has been partially completed through automated and live negative testing. Consequently, formal security assurance forms the subsequent research scope and will be developed further in CA3.</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the investigation is deliberately focused on the foundational conditions required to establish trustworthy authorisation. These conditions are represented through </w:t>
      </w:r>
      <w:r>
        <w:rPr>
          <w:rFonts w:ascii="Cambria" w:cs="Cambria" w:eastAsia="Cambria" w:hAnsi="Cambria"/>
          <w:color w:val="000000"/>
          <w:sz w:val="24"/>
          <w:szCs w:val="24"/>
        </w:rPr>
        <w:t xml:space="preserve">the first four of the six interconnected sub-research questions presented in Section 3.3, concerning</w:t>
      </w:r>
      <w:r>
        <w:rPr>
          <w:rFonts w:ascii="Cambria" w:cs="Cambria" w:eastAsia="Cambria" w:hAnsi="Cambria"/>
          <w:sz w:val="24"/>
          <w:szCs w:val="24"/>
        </w:rPr>
        <w:t xml:space="preserve"> consent modelling, identity and authority trust, multi-party authorisation, and policy-aware access control. </w:t>
      </w:r>
      <w:r>
        <w:rPr>
          <w:rFonts w:ascii="Cambria" w:cs="Cambria" w:eastAsia="Cambria" w:hAnsi="Cambria"/>
          <w:color w:val="000000"/>
          <w:sz w:val="24"/>
          <w:szCs w:val="24"/>
        </w:rPr>
        <w:t xml:space="preserve">The remaining two sub-questions, addressing temporal and lifecycle trust and formal security assurance, complete the six-question structure; the fifth is operationalised in the current prototype, and the formal component of the sixth is carried into the next stage of the research.</w:t>
      </w:r>
    </w:p>
    <w:p>
      <w:pPr>
        <w:pStyle w:val="Heading2"/>
        <w:spacing w:after="160" w:before="280"/>
      </w:pPr>
      <w: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pStyle w:val="Heading3"/>
        <w:spacing w:after="160" w:before="280"/>
      </w:pPr>
      <w: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(7)</w:t>
      </w:r>
    </w:p>
    <w:p>
      <w:pPr>
        <w:spacing w:after="140" w:line="300"/>
        <w:jc w:val="both"/>
      </w:pPr>
      <w:r>
        <w:rPr>
          <w:rFonts w:ascii="Cambria" w:cs="Cambria" w:eastAsia="Cambria" w:hAnsi="Cambria"/>
          <w:color w:val="000000"/>
          <w:sz w:val="24"/>
          <w:szCs w:val="24"/>
        </w:rPr>
        <w:t xml:space="preserve">where I represents the participating identities, A represents the authority and multi-party authorisation evidence, P represents the purpose and data-scope constraints, T represents the temporal validity window, L represents the jurisdictional constraint, and </w:t>
      </w:r>
      <w:r>
        <w:rPr>
          <w:rFonts w:ascii="Cambria" w:cs="Cambria" w:eastAsia="Cambria" w:hAnsi="Cambria"/>
          <w:color w:val="007A00"/>
          <w:sz w:val="24"/>
          <w:szCs w:val="24"/>
        </w:rPr>
        <w:t xml:space="preserve">E represents the authorisation evidence, including the record of whether the consent remains active or has been revoked</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w:t>
      </w:r>
      <w:r>
        <w:rPr>
          <w:rFonts w:ascii="Cambria" w:cs="Cambria" w:eastAsia="Cambria" w:hAnsi="Cambria"/>
          <w:color w:val="0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color w:val="000000"/>
          <w:sz w:val="22"/>
          <w:szCs w:val="22"/>
        </w:rPr>
        <w:t xml:space="preserve">|A</w:t>
      </w:r>
      <w:r>
        <w:rPr>
          <w:rFonts w:ascii="Cambria Math" w:cs="Cambria Math" w:eastAsia="Cambria Math" w:hAnsi="Cambria Math"/>
          <w:i/>
          <w:iCs/>
          <w:color w:val="000000"/>
          <w:sz w:val="22"/>
          <w:szCs w:val="22"/>
          <w:vertAlign w:val="subscript"/>
        </w:rPr>
        <w:t xml:space="preserve">v</w:t>
      </w:r>
      <w:r>
        <w:rPr>
          <w:rFonts w:ascii="Cambria Math" w:cs="Cambria Math" w:eastAsia="Cambria Math" w:hAnsi="Cambria Math"/>
          <w:i/>
          <w:iCs/>
          <w:color w:val="000000"/>
          <w:sz w:val="22"/>
          <w:szCs w:val="22"/>
        </w:rPr>
        <w:t xml:space="preserve">| &lt; N ⟹ Decision(C, R) = DENY.</w:t>
      </w:r>
      <w:r>
        <w:rPr>
          <w:rFonts w:ascii="Cambria" w:cs="Cambria" w:eastAsia="Cambria" w:hAnsi="Cambria"/>
          <w:color w:val="000000"/>
          <w:sz w:val="22"/>
          <w:szCs w:val="22"/>
        </w:rPr>
        <w:t xml:space="preserve">	(10)</w:t>
      </w:r>
    </w:p>
    <w:p>
      <w:pPr>
        <w:spacing w:after="140" w:line="300"/>
        <w:jc w:val="both"/>
      </w:pPr>
      <w:r>
        <w:rPr>
          <w:rFonts w:ascii="Cambria" w:cs="Cambria" w:eastAsia="Cambria" w:hAnsi="Cambria"/>
          <w:color w:val="000000"/>
          <w:sz w:val="24"/>
          <w:szCs w:val="24"/>
        </w:rPr>
        <w:t xml:space="preserve">Consequently, in the implemented framework N is instantiated as |G|, the number of designated guardians, so that activation requires the approval of every listed guardian; configurable k-of-n thresholds are identified as future work.</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while the request contains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cannot necessarily be assumed to remain valid indefinitely.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The lifecycle validity predicate </w:t>
      </w:r>
      <w:r>
        <w:rPr>
          <w:rFonts w:ascii="Cambria" w:cs="Cambria" w:eastAsia="Cambria" w:hAnsi="Cambria"/>
          <w:color w:val="007A00"/>
          <w:sz w:val="24"/>
          <w:szCs w:val="24"/>
        </w:rPr>
        <w:t xml:space="preserve">V</w:t>
      </w:r>
      <w:r>
        <w:rPr>
          <w:rFonts w:ascii="Cambria" w:cs="Cambria" w:eastAsia="Cambria" w:hAnsi="Cambria"/>
          <w:color w:val="007A00"/>
          <w:sz w:val="24"/>
          <w:szCs w:val="24"/>
          <w:vertAlign w:val="subscript"/>
        </w:rPr>
        <w:t xml:space="preserve">S</w:t>
      </w:r>
      <w:r>
        <w:rPr>
          <w:rFonts w:ascii="Cambria" w:cs="Cambria" w:eastAsia="Cambria" w:hAnsi="Cambria"/>
          <w:sz w:val="24"/>
          <w:szCs w:val="24"/>
        </w:rPr>
        <w:t xml:space="preserve"> can therefore be represented as</w:t>
      </w:r>
    </w:p>
    <w:p>
      <w:pPr>
        <w:tabs>
          <w:tab w:val="right" w:pos="9360"/>
        </w:tabs>
        <w:spacing w:after="160" w:before="60"/>
        <w:jc w:val="center"/>
      </w:pPr>
      <w:r>
        <w:rPr>
          <w:rFonts w:ascii="Cambria Math" w:cs="Cambria Math" w:eastAsia="Cambria Math" w:hAnsi="Cambria Math"/>
          <w:i/>
          <w:iCs/>
          <w:color w:val="007A00"/>
          <w:sz w:val="22"/>
          <w:szCs w:val="22"/>
        </w:rPr>
        <w:t xml:space="preserve">V</w:t>
      </w:r>
      <w:r>
        <w:rPr>
          <w:rFonts w:ascii="Cambria Math" w:cs="Cambria Math" w:eastAsia="Cambria Math" w:hAnsi="Cambria Math"/>
          <w:i/>
          <w:iCs/>
          <w:color w:val="007A00"/>
          <w:sz w:val="22"/>
          <w:szCs w:val="22"/>
          <w:vertAlign w:val="subscript"/>
        </w:rPr>
        <w:t xml:space="preserve">S</w:t>
      </w:r>
      <w:r>
        <w:rPr>
          <w:rFonts w:ascii="Cambria Math" w:cs="Cambria Math" w:eastAsia="Cambria Math" w:hAnsi="Cambria Math"/>
          <w:i/>
          <w:iCs/>
          <w:color w:val="007A00"/>
          <w:sz w:val="22"/>
          <w:szCs w:val="22"/>
        </w:rPr>
        <w:t xml:space="preserve">(C)</w:t>
      </w:r>
      <w:r>
        <w:rPr>
          <w:rFonts w:ascii="Cambria Math" w:cs="Cambria Math" w:eastAsia="Cambria Math" w:hAnsi="Cambria Math"/>
          <w:i/>
          <w:iCs/>
          <w:sz w:val="22"/>
          <w:szCs w:val="22"/>
        </w:rPr>
        <w:t xml:space="preserve"> = ValidState(C) ∧ ValidTransition(C).</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w:t>
      </w:r>
      <w:r>
        <w:rPr>
          <w:rFonts w:ascii="Cambria" w:cs="Cambria" w:eastAsia="Cambria" w:hAnsi="Cambria"/>
          <w:color w:val="007A00"/>
          <w:sz w:val="24"/>
          <w:szCs w:val="24"/>
        </w:rPr>
        <w:t xml:space="preserve">In the implemented framework, the lifecycle validity predicate V</w:t>
      </w:r>
      <w:r>
        <w:rPr>
          <w:rFonts w:ascii="Cambria" w:cs="Cambria" w:eastAsia="Cambria" w:hAnsi="Cambria"/>
          <w:color w:val="007A00"/>
          <w:sz w:val="24"/>
          <w:szCs w:val="24"/>
          <w:vertAlign w:val="subscript"/>
        </w:rPr>
        <w:t xml:space="preserve">S</w:t>
      </w:r>
      <w:r>
        <w:rPr>
          <w:rFonts w:ascii="Cambria" w:cs="Cambria" w:eastAsia="Cambria" w:hAnsi="Cambria"/>
          <w:color w:val="007A00"/>
          <w:sz w:val="24"/>
          <w:szCs w:val="24"/>
        </w:rPr>
        <w:t xml:space="preserve"> is evaluated as part of the collective authorisation predicate V</w:t>
      </w:r>
      <w:r>
        <w:rPr>
          <w:rFonts w:ascii="Cambria" w:cs="Cambria" w:eastAsia="Cambria" w:hAnsi="Cambria"/>
          <w:color w:val="007A00"/>
          <w:sz w:val="24"/>
          <w:szCs w:val="24"/>
          <w:vertAlign w:val="subscript"/>
        </w:rPr>
        <w:t xml:space="preserve">A</w:t>
      </w:r>
      <w:r>
        <w:rPr>
          <w:rFonts w:ascii="Cambria" w:cs="Cambria" w:eastAsia="Cambria" w:hAnsi="Cambria"/>
          <w:color w:val="007A00"/>
          <w:sz w:val="24"/>
          <w:szCs w:val="24"/>
        </w:rPr>
        <w:t xml:space="preserve">. This is important because only a consent in the ACTIVE state can satisfy the authorisation condition. Consequently, the symbol V</w:t>
      </w:r>
      <w:r>
        <w:rPr>
          <w:rFonts w:ascii="Cambria" w:cs="Cambria" w:eastAsia="Cambria" w:hAnsi="Cambria"/>
          <w:color w:val="007A00"/>
          <w:sz w:val="24"/>
          <w:szCs w:val="24"/>
          <w:vertAlign w:val="subscript"/>
        </w:rPr>
        <w:t xml:space="preserve">L</w:t>
      </w:r>
      <w:r>
        <w:rPr>
          <w:rFonts w:ascii="Cambria" w:cs="Cambria" w:eastAsia="Cambria" w:hAnsi="Cambria"/>
          <w:color w:val="007A00"/>
          <w:sz w:val="24"/>
          <w:szCs w:val="24"/>
        </w:rPr>
        <w:t xml:space="preserve"> is reserved for the jurisdictional predicate, which corresponds to the component L of the consent object.</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sz w:val="22"/>
          <w:szCs w:val="22"/>
        </w:rPr>
        <w:t xml:space="preserve">Decision(C, R) =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DENY, otherwise. }</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0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(25)</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(27)</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w:t>
      </w:r>
      <w:r>
        <w:rPr>
          <w:rFonts w:ascii="Cambria" w:cs="Cambria" w:eastAsia="Cambria" w:hAnsi="Cambria"/>
          <w:color w:val="007A00"/>
          <w:sz w:val="24"/>
          <w:szCs w:val="24"/>
        </w:rPr>
        <w:t xml:space="preserve">jurisdictional compliance, while lifecycle validity V</w:t>
      </w:r>
      <w:r>
        <w:rPr>
          <w:rFonts w:ascii="Cambria" w:cs="Cambria" w:eastAsia="Cambria" w:hAnsi="Cambria"/>
          <w:color w:val="007A00"/>
          <w:sz w:val="24"/>
          <w:szCs w:val="24"/>
          <w:vertAlign w:val="subscript"/>
        </w:rPr>
        <w:t xml:space="preserve">S</w:t>
      </w:r>
      <w:r>
        <w:rPr>
          <w:rFonts w:ascii="Cambria" w:cs="Cambria" w:eastAsia="Cambria" w:hAnsi="Cambria"/>
          <w:color w:val="007A00"/>
          <w:sz w:val="24"/>
          <w:szCs w:val="24"/>
        </w:rPr>
        <w:t xml:space="preserve"> is evaluated within V</w:t>
      </w:r>
      <w:r>
        <w:rPr>
          <w:rFonts w:ascii="Cambria" w:cs="Cambria" w:eastAsia="Cambria" w:hAnsi="Cambria"/>
          <w:color w:val="007A00"/>
          <w:sz w:val="24"/>
          <w:szCs w:val="24"/>
          <w:vertAlign w:val="subscript"/>
        </w:rPr>
        <w:t xml:space="preserve">A</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w:t>
      </w:r>
      <w:r>
        <w:rPr>
          <w:rFonts w:ascii="Cambria" w:cs="Cambria" w:eastAsia="Cambria" w:hAnsi="Cambria"/>
          <w:color w:val="000000"/>
          <w:sz w:val="24"/>
          <w:szCs w:val="24"/>
        </w:rPr>
        <w:t xml:space="preserve">links the user-facing interaction directly to the underlying authorisation checks</w:t>
      </w:r>
      <w:r>
        <w:rPr>
          <w:rFonts w:ascii="Cambria" w:cs="Cambria" w:eastAsia="Cambria" w:hAnsi="Cambria"/>
          <w:sz w:val="24"/>
          <w:szCs w:val="24"/>
        </w:rPr>
        <w:t xml:space="preserve">.</w:t>
      </w:r>
    </w:p>
    <w:p>
      <w:pPr>
        <w:spacing w:after="140" w:line="300"/>
        <w:jc w:val="both"/>
      </w:pPr>
      <w:r>
        <w:rPr>
          <w:rFonts w:ascii="Cambria" w:cs="Cambria" w:eastAsia="Cambria" w:hAnsi="Cambria"/>
          <w:color w:val="000000"/>
          <w:sz w:val="24"/>
          <w:szCs w:val="24"/>
        </w:rPr>
        <w:t xml:space="preserve">The first four objectives are realised in full, 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The first four objectives establish the foundational trust-oriented authorisation mechanisms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w:t>
      </w:r>
      <w:r>
        <w:rPr>
          <w:rFonts w:ascii="Cambria" w:cs="Cambria" w:eastAsia="Cambria" w:hAnsi="Cambria"/>
          <w:color w:val="000000"/>
          <w:sz w:val="24"/>
          <w:szCs w:val="24"/>
        </w:rPr>
        <w:t xml:space="preserve">.</w:t>
      </w:r>
    </w:p>
    <w:p>
      <w:pPr>
        <w:pStyle w:val="Heading2"/>
        <w:spacing w:after="160" w:before="280"/>
      </w:pPr>
      <w: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t xml:space="preserve">4.3  RO3 - Trustworthy Multi-Party Authorisation</w:t>
      </w:r>
    </w:p>
    <w:p>
      <w:pPr>
        <w:spacing w:after="140" w:line="300"/>
        <w:jc w:val="both"/>
      </w:pPr>
      <w:r>
        <w:rPr>
          <w:rFonts w:ascii="Cambria" w:cs="Cambria" w:eastAsia="Cambria" w:hAnsi="Cambria"/>
          <w:color w:val="000000"/>
          <w:sz w:val="24"/>
          <w:szCs w:val="24"/>
        </w:rPr>
        <w:t xml:space="preserve">The implemented mechanism defines the designated guardians at consent creation, verifies each EIP-712 approval through signature recovery,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t xml:space="preserve">4.4  RO4 - Policy- and Context-Aware Access Control</w:t>
      </w:r>
    </w:p>
    <w:p>
      <w:pPr>
        <w:spacing w:after="140" w:line="300"/>
        <w:jc w:val="both"/>
      </w:pPr>
      <w:r>
        <w:rPr>
          <w:rFonts w:ascii="Cambria" w:cs="Cambria" w:eastAsia="Cambria" w:hAnsi="Cambria"/>
          <w:color w:val="000000"/>
          <w:sz w:val="24"/>
          <w:szCs w:val="24"/>
        </w:rPr>
        <w:t xml:space="preserve">Accordingly, the implemented mechanism evaluates whether the requested purpose is consistent with the consent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Together, RO1–RO4 establish the representation, verification, collective authorisation, and policy-enforcement mechanisms required for a trust-oriented healthcare data-sharing decision.</w:t>
      </w:r>
    </w:p>
    <w:p>
      <w:pPr>
        <w:pStyle w:val="Heading2"/>
        <w:spacing w:after="160" w:before="280"/>
      </w:pPr>
      <w:r>
        <w:t xml:space="preserve">4.5  RO5 - Temporal and Lifecycle Trust</w:t>
      </w:r>
    </w:p>
    <w:p>
      <w:pPr>
        <w:spacing w:after="140" w:line="300"/>
        <w:jc w:val="both"/>
      </w:pPr>
      <w:r>
        <w:rPr>
          <w:rFonts w:ascii="Cambria" w:cs="Cambria" w:eastAsia="Cambria" w:hAnsi="Cambria"/>
          <w:color w:val="000000"/>
          <w:sz w:val="24"/>
          <w:szCs w:val="24"/>
        </w:rPr>
        <w:t xml:space="preserve">This objective has been substantially realised in the current implementation. In particular, the prototype enforces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work therefore concerns hardening these controls rather than introducing them.</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pStyle w:val="Heading2"/>
        <w:spacing w:after="160" w:before="280"/>
      </w:pPr>
      <w:r>
        <w:t xml:space="preserve">4.6  RO6 - Formal Security Assurance and Empirical Validation</w:t>
      </w:r>
    </w:p>
    <w:p>
      <w:pPr>
        <w:spacing w:after="140" w:line="300"/>
        <w:jc w:val="both"/>
      </w:pPr>
      <w:r>
        <w:rPr>
          <w:rFonts w:ascii="Cambria" w:cs="Cambria" w:eastAsia="Cambria" w:hAnsi="Cambria"/>
          <w:color w:val="0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color w:val="000000"/>
          <w:sz w:val="24"/>
          <w:szCs w:val="24"/>
        </w:rPr>
        <w:t xml:space="preserve">The empirical component has been executed against the demonstrated prototype. In particular,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t xml:space="preserve">4.7  Relationship Between Research Questions and Objectives</w:t>
      </w:r>
    </w:p>
    <w:p>
      <w:pPr>
        <w:spacing w:after="140" w:line="300"/>
        <w:jc w:val="both"/>
      </w:pPr>
      <w:r>
        <w:rPr>
          <w:rFonts w:ascii="Cambria" w:cs="Cambria" w:eastAsia="Cambria" w:hAnsi="Cambria"/>
          <w:color w:val="000000"/>
          <w:sz w:val="24"/>
          <w:szCs w:val="24"/>
        </w:rPr>
        <w:t xml:space="preserve">The relationship between the six research questions and the six research objectives is summarised in Table 10 and Table 11.</w:t>
      </w:r>
    </w:p>
    <w:p>
      <w:pPr>
        <w:spacing w:after="140" w:line="300"/>
        <w:jc w:val="both"/>
      </w:pPr>
      <w:r>
        <w:rPr>
          <w:rFonts w:ascii="Cambria" w:cs="Cambria" w:eastAsia="Cambria" w:hAnsi="Cambria"/>
          <w:sz w:val="24"/>
          <w:szCs w:val="24"/>
        </w:rPr>
        <w:t xml:space="preserve">The relationship between the six research questions and the six research objectives is</w:t>
      </w:r>
    </w:p>
    <w:p>
      <w:pPr>
        <w:spacing w:after="140" w:line="300"/>
        <w:jc w:val="both"/>
      </w:pPr>
      <w:r>
        <w:rPr>
          <w:rFonts w:ascii="Cambria" w:cs="Cambria" w:eastAsia="Cambria" w:hAnsi="Cambria"/>
          <w:sz w:val="24"/>
          <w:szCs w:val="24"/>
        </w:rPr>
        <w:t xml:space="preserve">RO5 and RO6 constitute the principal research agenda for CA3. RO5 extends the authorisation model with temporal and lifecycle trust, while RO6 provides formal security assurance and comprehensive empirical validation. The distinction between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is therefore based on research scope and maturity rather than on a different set of research questions or objectives. Current stage establishes the foundational mechanisms and their conceptual relationships, whereas next stage investigates whether these mechanisms remain</w:t>
      </w:r>
    </w:p>
    <w:p>
      <w:pPr>
        <w:spacing w:after="140" w:line="300"/>
        <w:jc w:val="both"/>
      </w:pPr>
      <w:r>
        <w:rPr>
          <w:rFonts w:ascii="Cambria" w:cs="Cambria" w:eastAsia="Cambria" w:hAnsi="Cambria"/>
          <w:color w:val="0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together with the identified prototype hardening.</w:t>
      </w:r>
    </w:p>
    <w:p>
      <w:pPr>
        <w:keepNext/>
        <w:spacing w:after="80" w:before="160"/>
        <w:jc w:val="center"/>
      </w:pPr>
      <w:r>
        <w:rPr>
          <w:rFonts w:ascii="Cambria" w:cs="Cambria" w:eastAsia="Cambria" w:hAnsi="Cambria"/>
          <w:b/>
          <w:bCs/>
          <w:color w:val="000000"/>
          <w:sz w:val="21"/>
          <w:szCs w:val="21"/>
        </w:rPr>
        <w:t xml:space="preserve">Table 10: </w:t>
      </w:r>
      <w:r>
        <w:rPr>
          <w:rFonts w:ascii="Cambria" w:cs="Cambria" w:eastAsia="Cambria" w:hAnsi="Cambria"/>
          <w:color w:val="000000"/>
          <w:sz w:val="21"/>
          <w:szCs w:val="21"/>
        </w:rPr>
        <w:t xml:space="preserve">Research Questions, Research Objectives, and Thesis Chapters for Current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bl>
    <w:p>
      <w:pPr>
        <w:spacing w:after="180"/>
      </w:pPr>
    </w:p>
    <w:p>
      <w:pPr>
        <w:keepNext/>
        <w:spacing w:after="80" w:before="160"/>
        <w:jc w:val="center"/>
      </w:pPr>
      <w:r>
        <w:rPr>
          <w:rFonts w:ascii="Cambria" w:cs="Cambria" w:eastAsia="Cambria" w:hAnsi="Cambria"/>
          <w:b/>
          <w:bCs/>
          <w:color w:val="000000"/>
          <w:sz w:val="21"/>
          <w:szCs w:val="21"/>
        </w:rPr>
        <w:t xml:space="preserve">Table 11: </w:t>
      </w:r>
      <w:r>
        <w:rPr>
          <w:rFonts w:ascii="Cambria" w:cs="Cambria" w:eastAsia="Cambria" w:hAnsi="Cambria"/>
          <w:color w:val="000000"/>
          <w:sz w:val="21"/>
          <w:szCs w:val="21"/>
        </w:rPr>
        <w:t xml:space="preserve">Research Questions, Research Objectives, and Thesis Chapters for CA3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Temporal validity, expiration, revocation and controlled state transitions, enforced in the current prototype and anchored on-chain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Formal analysis of the security properties (next stage), building upon the empirical negative and adversarial testing already performed with the HALAH prototype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bl>
    <w:p>
      <w:pPr>
        <w:spacing w:after="180"/>
      </w:pPr>
    </w:p>
    <w:p>
      <w:pPr>
        <w:spacing w:after="140" w:line="300"/>
        <w:jc w:val="both"/>
      </w:pPr>
      <w:r>
        <w:rPr>
          <w:rFonts w:ascii="Cambria" w:cs="Cambria" w:eastAsia="Cambria" w:hAnsi="Cambria"/>
          <w:sz w:val="24"/>
          <w:szCs w:val="24"/>
        </w:rPr>
        <w:t xml:space="preserve">reliable under dynamic lifecycle conditions and whether their security and practical effectiveness can be formally and empirically demonstrated. 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(29)</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VI ∧ VA ∧ VP ∧ VT ∧ VL</w:t>
      </w:r>
    </w:p>
    <w:p>
      <w:pPr>
        <w:spacing w:after="140" w:line="300"/>
        <w:jc w:val="both"/>
      </w:pPr>
      <w:r>
        <w:rPr>
          <w:rFonts w:ascii="Cambria" w:cs="Cambria" w:eastAsia="Cambria" w:hAnsi="Cambria"/>
          <w:color w:val="000000"/>
          <w:sz w:val="24"/>
          <w:szCs w:val="24"/>
        </w:rPr>
        <w:t xml:space="preserve">This five-predicate conjunction constitutes the decision rule of the implemented Consent Engine and is applied consistently throughout this chapter; the earlier three-predicate formulation represents an initial design iteration that has since been superseded by the implementation.</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The next stage research will extend this decision model by incorporating temporal and lifecycle conditions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VT (C, t) represents temporal validity and VL (C) represents the validity of the consent lifecycle state and its transitions. This extension provides a consistent connection between the foundational current stage objectives and the planned next research on dynamic trust, formal assurance, and comprehensive validation.</w:t>
      </w:r>
    </w:p>
    <w:p>
      <w:pPr>
        <w:pStyle w:val="Heading1"/>
        <w:pageBreakBefore/>
        <w:spacing w:after="160" w:before="400"/>
      </w:pPr>
      <w: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6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This distinction is important because healthcare data should not be</w:t>
      </w:r>
    </w:p>
    <w:p>
      <w:pPr>
        <w:keepNext/>
        <w:spacing w:after="60" w:before="140"/>
        <w:jc w:val="center"/>
      </w:pPr>
      <w:r>
        <w:drawing>
          <wp:inline distT="0" distB="0" distL="0" distR="0">
            <wp:extent cx="5715000" cy="3543300"/>
            <wp:effectExtent t="0" r="0" b="0" l="0"/>
            <wp:docPr id="1" name="fig3.png" descr="Figure 6: Layered MVC Architecture and Component Decomposition of the HALAH Framework" title="Figure 6: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Layered MVC Architecture and Component Decomposition of the HALAH Framework</w:t>
      </w:r>
    </w:p>
    <w:p>
      <w:pPr>
        <w:jc w:val="center"/>
      </w:pPr>
      <w:r>
        <w:rPr>
          <w:rFonts w:ascii="Cambria" w:cs="Cambria" w:eastAsia="Cambria" w:hAnsi="Cambria"/>
          <w:i/>
          <w:iCs/>
          <w:sz w:val="20"/>
          <w:szCs w:val="20"/>
        </w:rPr>
        <w:t xml:space="preserve">[Figure 6: Layered MVC Architecture and Component Decomposition of the HALAH Framework]</w:t>
      </w:r>
    </w:p>
    <w:p>
      <w:pPr>
        <w:spacing w:after="140" w:line="300"/>
        <w:jc w:val="both"/>
      </w:pPr>
      <w:r>
        <w:rPr>
          <w:rFonts w:ascii="Cambria" w:cs="Cambria" w:eastAsia="Cambria" w:hAnsi="Cambria"/>
          <w:color w:val="000000"/>
          <w:sz w:val="24"/>
          <w:szCs w:val="24"/>
        </w:rPr>
        <w:t xml:space="preserve">The Controller layer additionally incorporates a ZK Proof Service, responsible for Groth16 proof generation and verification and feeding directly into the Authorisation Decision, together with an On-chain Anchor Service that performs asynchronous minting and revocation; correspondingly, the Model layer contains the ConsentSBTv3 contract deployed on Sepolia alongside the SQLite Audit Ledger, a revocation path flows from the Patient interface through the Controller to both the ledger and the contract, and an external independent verifier, verify_poc, reads from both the audit ledger and the Sepolia chain.</w:t>
      </w:r>
    </w:p>
    <w:p>
      <w:pPr>
        <w:spacing w:after="140" w:line="300"/>
        <w:jc w:val="both"/>
      </w:pPr>
      <w:r>
        <w:rPr>
          <w:rFonts w:ascii="Cambria" w:cs="Cambria" w:eastAsia="Cambria" w:hAnsi="Cambria"/>
          <w:color w:val="000000"/>
          <w:sz w:val="24"/>
          <w:szCs w:val="24"/>
        </w:rPr>
        <w:t xml:space="preserve">It should be acknowledged that, in the present prototype, credential verification consists of a structural well-formedness check on each DID, and the requester's role and jurisdiction are self-declared. This is important because wallet-held signing keys and authenticated verifiable credentials are deferred to the production design and are therefore identified as future work.</w:t>
      </w:r>
    </w:p>
    <w:p>
      <w:pPr>
        <w:spacing w:after="140" w:line="300"/>
        <w:jc w:val="both"/>
      </w:pPr>
      <w:r>
        <w:rPr>
          <w:rFonts w:ascii="Cambria" w:cs="Cambria" w:eastAsia="Cambria" w:hAnsi="Cambria"/>
          <w:sz w:val="24"/>
          <w:szCs w:val="24"/>
        </w:rPr>
        <w:t xml:space="preserve">treated as ordinary application state that can be directly manipulated by the View. Instead, access to the protected resource is mediated by the Controller after the relevant trust conditions have been evaluated.</w:t>
      </w:r>
    </w:p>
    <w:p>
      <w:pPr>
        <w:pStyle w:val="Heading3"/>
        <w:spacing w:after="160" w:before="280"/>
      </w:pPr>
      <w:r>
        <w:t xml:space="preserve">5.1.1  MVC Component Decomposition</w:t>
      </w:r>
    </w:p>
    <w:p>
      <w:pPr>
        <w:spacing w:after="140" w:line="300"/>
        <w:jc w:val="both"/>
      </w:pPr>
      <w:r>
        <w:rPr>
          <w:rFonts w:ascii="Cambria" w:cs="Cambria" w:eastAsia="Cambria" w:hAnsi="Cambria"/>
          <w:color w:val="000000"/>
          <w:sz w:val="24"/>
          <w:szCs w:val="24"/>
        </w:rPr>
        <w:t xml:space="preserve">The Controller layer therefore comprises eight principal functions, the two additional functions being Cryptographic Proof Generation and Verification, realised through the Groth16 proving system, and On-chain Anchoring and State Synchronisation, which performs the Sepolia mint and revoke operations as a background process; the Controller row of Figure 7 reflects these eight functions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7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7: Functional Decomposition of the MVC Components" title="Figure 7: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Functional Decomposition of the MVC Components</w:t>
      </w:r>
    </w:p>
    <w:p>
      <w:pPr>
        <w:jc w:val="center"/>
      </w:pPr>
      <w:r>
        <w:rPr>
          <w:rFonts w:ascii="Cambria" w:cs="Cambria" w:eastAsia="Cambria" w:hAnsi="Cambria"/>
          <w:i/>
          <w:iCs/>
          <w:sz w:val="20"/>
          <w:szCs w:val="20"/>
        </w:rPr>
        <w:t xml:space="preserve">[Figure 7: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introduced by SRQ1–SRQ5 is illustrated in Figure 8. Figure 8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determines whether the jurisdictional constraint recorded in the consent is satisfied; lifecycle validity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The integrated decision can therefore be expressed as</w:t>
      </w:r>
    </w:p>
    <w:p>
      <w:pPr>
        <w:spacing w:after="140" w:line="300"/>
        <w:jc w:val="both"/>
      </w:pP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verifies that the jurisdiction j declared by the requester matches the jurisdiction L recorded within the consent object. This distinction is important because revocation and lifecycle state are not enforced by this function but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Consequently, the corresponding component in Figure 8 is depicted as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the jurisdiction verification function, rather than as a lifecycle check.</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(31)</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(32)</w:t>
      </w:r>
    </w:p>
    <w:p>
      <w:pPr>
        <w:keepNext/>
        <w:spacing w:after="60" w:before="140"/>
        <w:jc w:val="center"/>
      </w:pPr>
      <w:r>
        <w:drawing>
          <wp:inline distT="0" distB="0" distL="0" distR="0">
            <wp:extent cx="3619500" cy="5114925"/>
            <wp:effectExtent t="0" r="0" b="0" l="0"/>
            <wp:docPr id="1" name="fig5.png" descr="Figure 8: Trust Predicate Evaluation and Authorisation Decision Flow" title="Figure 8: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Trust Predicate Evaluation and Authorisation Decision Flow</w:t>
      </w:r>
    </w:p>
    <w:p>
      <w:pPr>
        <w:jc w:val="center"/>
      </w:pPr>
      <w:r>
        <w:rPr>
          <w:rFonts w:ascii="Cambria" w:cs="Cambria" w:eastAsia="Cambria" w:hAnsi="Cambria"/>
          <w:i/>
          <w:iCs/>
          <w:sz w:val="20"/>
          <w:szCs w:val="20"/>
        </w:rPr>
        <w:t xml:space="preserve">[Figure 8: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w:t>
      </w:r>
      <w:r>
        <w:rPr>
          <w:rFonts w:ascii="Cambria" w:cs="Cambria" w:eastAsia="Cambria" w:hAnsi="Cambria"/>
          <w:color w:val="000000"/>
          <w:sz w:val="24"/>
          <w:szCs w:val="24"/>
        </w:rPr>
        <w:t xml:space="preserve">follows</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pStyle w:val="Heading2"/>
        <w:spacing w:after="160" w:before="280"/>
      </w:pPr>
      <w:r>
        <w:t xml:space="preserve">5.2  Trust-Oriented Consent Authorisation Workflow</w:t>
      </w:r>
    </w:p>
    <w:p>
      <w:pPr>
        <w:spacing w:after="140" w:line="300"/>
        <w:jc w:val="both"/>
      </w:pPr>
      <w:r>
        <w:rPr>
          <w:rFonts w:ascii="Cambria" w:cs="Cambria" w:eastAsia="Cambria" w:hAnsi="Cambria"/>
          <w:sz w:val="24"/>
          <w:szCs w:val="24"/>
        </w:rPr>
        <w:t xml:space="preserve">Figure 9 presents the end-to-end workflow of the proposed trust-oriented patient consent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The workflow operationalizes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Accordingly, the proposed workflow transforms a patient’s consent from a static permission record into an evaluable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conditions. This step establishes what the patient intends to authorize and provides the policy context against which subsequent access requests can be evaluated. Therefore, consent is not represented merely as an approval flag, but as a structured object containing the information required for subsequent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decisions. The next stage performs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authority verification using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Identifiers (DIDs) and Verifiable Credentials (VCs). The purpose of this stage is to establish both the identity of the participant and the evidence supporting the participant’s claimed role or authority. Importantly, the framework explicitly separates identity authentication from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authorized participant. After identity and authority verification, the framework identifies the participants required to establish the consent decision.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requirement may involve multiple independent participants, such as a patient together with one or more guardians or other authorized parties. The framework then collects their independent approvals and evaluates whether the predefined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has been satisfied. Let Av denote the set of successfully verified approvals and let N denote the required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is satisfied when</w:t>
      </w:r>
    </w:p>
    <w:p>
      <w:pPr>
        <w:keepNext/>
        <w:spacing w:after="60" w:before="140"/>
        <w:jc w:val="center"/>
      </w:pPr>
      <w:r>
        <w:drawing>
          <wp:inline distT="0" distB="0" distL="0" distR="0">
            <wp:extent cx="4000500" cy="6181725"/>
            <wp:effectExtent t="0" r="0" b="0" l="0"/>
            <wp:docPr id="1" name="fig6.png" descr="Figure 9: End-to-End Workflow of Trust-Oriented Consent Authorisation Framework" title="Figure 9: End-to-End Workflow of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End-to-End Workflow of Trust-Oriented Consent Authorisation Framework</w:t>
      </w:r>
    </w:p>
    <w:p>
      <w:pPr>
        <w:jc w:val="center"/>
      </w:pPr>
      <w:r>
        <w:rPr>
          <w:rFonts w:ascii="Cambria" w:cs="Cambria" w:eastAsia="Cambria" w:hAnsi="Cambria"/>
          <w:i/>
          <w:iCs/>
          <w:sz w:val="20"/>
          <w:szCs w:val="20"/>
        </w:rPr>
        <w:t xml:space="preserve">[Figure 9: End-to-End Workflow of Trust-Oriented Consent Authorisation Framework]</w:t>
      </w:r>
    </w:p>
    <w:p>
      <w:pPr>
        <w:spacing w:after="140" w:line="300"/>
        <w:jc w:val="both"/>
      </w:pPr>
      <w:r>
        <w:rPr>
          <w:rFonts w:ascii="Cambria" w:cs="Cambria" w:eastAsia="Cambria" w:hAnsi="Cambria"/>
          <w:color w:val="000000"/>
          <w:sz w:val="24"/>
          <w:szCs w:val="24"/>
        </w:rPr>
        <w:t xml:space="preserve">Once all |G| guardians have signed, satisfying the N-of-N condition, the consent token is minted in the local ledger while a background job anchors the mint on Sepolia asynchronously; the temporal check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and the jurisdictional check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are then evaluated before the Authorisation Decision, a Groth16 proof is generated and verified on the ALLOW branch, and after the audit evidence is recorded the flow continues through patient-initiated revocation, the corresponding on-chain revoke transaction, and finally auditor review together with independent verification through verify_poc.</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(33)</w:t>
      </w:r>
    </w:p>
    <w:p>
      <w:pPr>
        <w:spacing w:after="140" w:line="300"/>
        <w:jc w:val="both"/>
      </w:pPr>
      <w:r>
        <w:rPr>
          <w:rFonts w:ascii="Cambria" w:cs="Cambria" w:eastAsia="Cambria" w:hAnsi="Cambria"/>
          <w:color w:val="000000"/>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sz w:val="24"/>
          <w:szCs w:val="24"/>
        </w:rPr>
        <w:t xml:space="preserve">If the required threshold is not satisfied,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process terminates with a denial decision. This prevents a single participant from unilaterally establishing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when the consent policy requires collective approval. When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authorized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SR represents the requested data scope and SC represents the consent-authorized scope. Similarly, the requested purpose must be consistent with the purpose specified in the consent. Consequently, a valid identity and sufficient multi-party approval are necessary but not sufficient conditions for access. The final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is therefore determined by the conjunction of identity and authority verification,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For the current stage scope of the proposed framework,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and VP (C, R) represents compliance between the access request and the consent policy. If any of these conditions is false, the request is denied. Only when all required conditions are satisfied is healthcare data access granted. Finally, the framework records the resulting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evidence in the audit layer. Importantly, both successful and denied decisions should be recorded because a trustworthy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requires accountability not only for data that were released but also for access attempts that were rejected. The audit evidence can therefore provide a traceable record of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including the relevant consent, participants, policy evaluation, decision outcome, and associated evidence. In this manner, the workflow connects consent specification with identity trust, collective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policy enforcement, and accountability, providing the operational foundation of the proposed trust-oriented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w:t>
      </w:r>
    </w:p>
    <w:p>
      <w:pPr>
        <w:pStyle w:val="Heading2"/>
        <w:spacing w:after="160" w:before="280"/>
      </w:pPr>
      <w:r>
        <w:t xml:space="preserve">5.3  Model: Trust-Aware Consent and Authorisation Representation</w:t>
      </w:r>
    </w:p>
    <w:p>
      <w:pPr>
        <w:spacing w:after="140" w:line="300"/>
        <w:jc w:val="both"/>
      </w:pPr>
      <w:r>
        <w:rPr>
          <w:rFonts w:ascii="Cambria" w:cs="Cambria" w:eastAsia="Cambria" w:hAnsi="Cambria"/>
          <w:color w:val="000000"/>
          <w:sz w:val="24"/>
          <w:szCs w:val="24"/>
        </w:rPr>
        <w:t xml:space="preserve">The implementation realises this representation in full, including temporal validity, expiration, on-chain revocation and an explicit lifecycle state machine. Formal verification of the associated security properties, however, remains a matter for future work.</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0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(36)</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sz w:val="24"/>
          <w:szCs w:val="24"/>
        </w:rPr>
        <w:t xml:space="preserve">where I represents identity-related information associated with the relevant participants,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Let Av denote the set of participants whose identities and authority have been successfully verified, and let N denote the minimum required approval threshold. The authorisation condition can then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Heading2"/>
        <w:spacing w:after="160" w:before="280"/>
      </w:pPr>
      <w: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The overall current stage authorisation decision is therefore determined by the conjunction of the foundational trust conditions: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pStyle w:val="Heading2"/>
        <w:spacing w:after="160" w:before="280"/>
      </w:pPr>
      <w: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w:t>
      </w:r>
      <w:r>
        <w:rPr>
          <w:rFonts w:ascii="Cambria" w:cs="Cambria" w:eastAsia="Cambria" w:hAnsi="Cambria"/>
          <w:color w:val="000000"/>
          <w:sz w:val="24"/>
          <w:szCs w:val="24"/>
        </w:rPr>
        <w:t xml:space="preserv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(46)</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(47)</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(49)</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without adequately considering the specific policy conditions associated with an individual patient’s consent.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t xml:space="preserve">5.8  Authorisation Evidence and Auditability</w:t>
      </w:r>
    </w:p>
    <w:p>
      <w:pPr>
        <w:spacing w:after="140" w:line="300"/>
        <w:jc w:val="both"/>
      </w:pPr>
      <w:r>
        <w:rPr>
          <w:rFonts w:ascii="Cambria" w:cs="Cambria" w:eastAsia="Cambria" w:hAnsi="Cambria"/>
          <w:color w:val="000000"/>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However, the blockchain itself is not treated as the source of trust. Its role is to strengthen integrity, non-repudiation, and auditability of the evidence generated by the authorisation process. The trustworthiness of the access decision instead originates from the coordinated enforcement of identity, authority, multi-party approval, and policy conditions.</w:t>
      </w:r>
    </w:p>
    <w:p>
      <w:pPr>
        <w:pStyle w:val="Heading2"/>
        <w:spacing w:after="160" w:before="280"/>
      </w:pPr>
      <w: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can be summarised as shown in Table 12.</w:t>
      </w:r>
    </w:p>
    <w:p>
      <w:pPr>
        <w:pStyle w:val="Heading2"/>
        <w:spacing w:after="160" w:before="280"/>
      </w:pPr>
      <w: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13,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pStyle w:val="Heading2"/>
        <w:spacing w:after="160" w:before="280"/>
      </w:pPr>
      <w: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 For the current stage, the architecture therefore establishes the foundational mechanisms required to answer RQ1–RQ4. The implemented HALAH prototype provides the practical</w:t>
      </w:r>
    </w:p>
    <w:p>
      <w:pPr>
        <w:keepNext/>
        <w:spacing w:after="80" w:before="160"/>
        <w:jc w:val="center"/>
      </w:pPr>
      <w:r>
        <w:rPr>
          <w:rFonts w:ascii="Cambria" w:cs="Cambria" w:eastAsia="Cambria" w:hAnsi="Cambria"/>
          <w:b/>
          <w:bCs/>
          <w:color w:val="000000"/>
          <w:sz w:val="21"/>
          <w:szCs w:val="21"/>
        </w:rPr>
        <w:t xml:space="preserve">Table 12: </w:t>
      </w:r>
      <w:r>
        <w:rPr>
          <w:rFonts w:ascii="Cambria" w:cs="Cambria" w:eastAsia="Cambria" w:hAnsi="Cambria"/>
          <w:color w:val="000000"/>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provide</w:t>
            </w:r>
            <w:r>
              <w:rPr>
                <w:rFonts w:ascii="Cambria" w:cs="Cambria" w:eastAsia="Cambria" w:hAnsi="Cambria"/>
                <w:b w:val="false"/>
                <w:bCs w:val="false"/>
                <w:sz w:val="19"/>
                <w:szCs w:val="19"/>
              </w:rPr>
              <w:t xml:space="preserve"> traceability and </w:t>
            </w:r>
            <w:r>
              <w:rPr>
                <w:rFonts w:ascii="Cambria" w:cs="Cambria" w:eastAsia="Cambria" w:hAnsi="Cambria"/>
                <w:b w:val="false"/>
                <w:bCs w:val="false"/>
                <w:color w:val="000000"/>
                <w:sz w:val="19"/>
                <w:szCs w:val="19"/>
              </w:rPr>
              <w:t xml:space="preserve">support</w:t>
            </w:r>
            <w:r>
              <w:rPr>
                <w:rFonts w:ascii="Cambria" w:cs="Cambria" w:eastAsia="Cambria" w:hAnsi="Cambria"/>
                <w:b w:val="false"/>
                <w:bCs w:val="false"/>
                <w:sz w:val="19"/>
                <w:szCs w:val="19"/>
              </w:rPr>
              <w:t xml:space="preserve">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color w:val="000000"/>
          <w:sz w:val="21"/>
          <w:szCs w:val="21"/>
        </w:rPr>
        <w:t xml:space="preserve">Table 13: </w:t>
      </w:r>
      <w:r>
        <w:rPr>
          <w:rFonts w:ascii="Cambria" w:cs="Cambria" w:eastAsia="Cambria" w:hAnsi="Cambria"/>
          <w:color w:val="000000"/>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 Accordingly, the current stage architecture establishes the foundational security core of the research, while </w:t>
      </w:r>
      <w:r>
        <w:rPr>
          <w:rFonts w:ascii="Cambria" w:cs="Cambria" w:eastAsia="Cambria" w:hAnsi="Cambria"/>
          <w:color w:val="000000"/>
          <w:sz w:val="24"/>
          <w:szCs w:val="24"/>
        </w:rPr>
        <w:t xml:space="preserve">the next stage will</w:t>
      </w:r>
      <w:r>
        <w:rPr>
          <w:rFonts w:ascii="Cambria" w:cs="Cambria" w:eastAsia="Cambria" w:hAnsi="Cambria"/>
          <w:sz w:val="24"/>
          <w:szCs w:val="24"/>
        </w:rPr>
        <w:t xml:space="preserve"> investigate whether this core can maintain trust dynamically over time </w:t>
      </w:r>
      <w:r>
        <w:rPr>
          <w:rFonts w:ascii="Cambria" w:cs="Cambria" w:eastAsia="Cambria" w:hAnsi="Cambria"/>
          <w:color w:val="000000"/>
          <w:sz w:val="24"/>
          <w:szCs w:val="24"/>
        </w:rPr>
        <w:t xml:space="preserve">beyond the lifecycle mechanisms already demonstrated in the prototype</w:t>
      </w:r>
      <w:r>
        <w:rPr>
          <w:rFonts w:ascii="Cambria" w:cs="Cambria" w:eastAsia="Cambria" w:hAnsi="Cambria"/>
          <w:sz w:val="24"/>
          <w:szCs w:val="24"/>
        </w:rPr>
        <w:t xml:space="preserv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t xml:space="preserve">6  Proposed Solution</w:t>
      </w:r>
    </w:p>
    <w:p>
      <w:pPr>
        <w:pStyle w:val="Heading2"/>
        <w:spacing w:after="160" w:before="280"/>
      </w:pPr>
      <w: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(51)</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sz w:val="24"/>
          <w:szCs w:val="24"/>
        </w:rPr>
        <w:t xml:space="preserve">where I represents patient and participant identity information, A represents authorisation requirements, P represents policy constraints, and E 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10: RO1 workflow for trust-centric consent creation" title="Figure 10: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RO1 workflow for trust-centric consent creation</w:t>
      </w:r>
    </w:p>
    <w:p>
      <w:pPr>
        <w:spacing w:after="140" w:line="300"/>
        <w:jc w:val="both"/>
      </w:pPr>
      <w:r>
        <w:rPr>
          <w:rFonts w:ascii="Cambria" w:cs="Cambria" w:eastAsia="Cambria" w:hAnsi="Cambria"/>
          <w:color w:val="000000"/>
          <w:sz w:val="24"/>
          <w:szCs w:val="24"/>
        </w:rPr>
        <w:t xml:space="preserve">Whereas Figure 10 describes the behaviour of consent creation, Figure 11 presents the structure of the resulting consent object. It shows each of the six components of C = (I, A, P, T, L, E), the content that each component holds in the HALAH system, and the party that supplies it. The patient supplies the identity, authority, policy, temporal and jurisdictional components; the threshold N = |G| and the consent identifier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are generated by the system; and the evidence component is accumulated by the audit layer, the guardians' signatures and the blockchain as the consent progresses.</w:t>
      </w:r>
    </w:p>
    <w:p>
      <w:pPr>
        <w:keepNext/>
        <w:spacing w:after="60" w:before="140"/>
        <w:jc w:val="center"/>
      </w:pPr>
      <w:r>
        <w:drawing>
          <wp:inline distT="0" distB="0" distL="0" distR="0">
            <wp:extent cx="5715000" cy="3162300"/>
            <wp:effectExtent t="0" r="0" b="0" l="0"/>
            <wp:docPr id="1" name="gfig_hub.png" descr="Figure 11: Six-component trust-centric consent model C = (I, A, P, T, L, E), showing the content and the supplier of each component, the system-generated consent identifier, and the lifecycle state carried by the consent object." title="Figure 11: Six-component trust-centric consent model C = (I, A, P, T, L, E), showing the content and the supplier of each component, the system-generated consent identifier, and the lifecycle state carried by the cons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Six-component trust-centric consent model C = (I, A, P, T, L, E), showing the content and the supplier of each component, the system-generated consent identifier, and the lifecycle state carried by the consent object.</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0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D → G → P</w:t>
      </w:r>
      <w:r>
        <w:rPr>
          <w:rFonts w:ascii="Cambria" w:cs="Cambria" w:eastAsia="Cambria" w:hAnsi="Cambria"/>
          <w:color w:val="000000"/>
          <w:sz w:val="24"/>
          <w:szCs w:val="24"/>
          <w:vertAlign w:val="subscript"/>
        </w:rPr>
        <w:t xml:space="preserve">u</w:t>
      </w:r>
      <w:r>
        <w:rPr>
          <w:rFonts w:ascii="Cambria" w:cs="Cambria" w:eastAsia="Cambria" w:hAnsi="Cambria"/>
          <w:color w:val="000000"/>
          <w:sz w:val="24"/>
          <w:szCs w:val="24"/>
        </w:rPr>
        <w:t xml:space="preserve"> →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 → L → A →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C → E.</w:t>
      </w:r>
    </w:p>
    <w:p>
      <w:pPr>
        <w:pStyle w:val="Heading3"/>
        <w:spacing w:after="160" w:before="280"/>
      </w:pPr>
      <w: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000000"/>
          <w:sz w:val="24"/>
          <w:szCs w:val="24"/>
        </w:rPr>
        <w:t xml:space="preserve">In the current prototype this validation is a structural check that each identifier constitutes a well-formed DID.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The identifier is not supplied by any participant: it is generated by the Consent Service at the moment the patient submits the consent, as a universally unique identifier (UUID). It is then displayed to the patient, who shares it with the designated guardians and the authorised doctor so that they can approve the consent or request access. Possession of the identifier alone grants no access, because every subsequent request is evaluated by the complete decision rule, and the on-chain token identifier is assigned separately by the smart contract only when the consent is activated.</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0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w:t>
      </w:r>
      <w:r>
        <w:rPr>
          <w:rFonts w:ascii="Cambria" w:cs="Cambria" w:eastAsia="Cambria" w:hAnsi="Cambria"/>
          <w:color w:val="000000"/>
          <w:sz w:val="24"/>
          <w:szCs w:val="24"/>
        </w:rPr>
        <w:t xml:space="preserve">L → </w:t>
      </w:r>
      <w:r>
        <w:rPr>
          <w:rFonts w:ascii="Cambria" w:cs="Cambria" w:eastAsia="Cambria" w:hAnsi="Cambria"/>
          <w:sz w:val="24"/>
          <w:szCs w:val="24"/>
        </w:rPr>
        <w:t xml:space="preserve">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Patient identity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authorised doctor D, guardian set G, purpose P</w:t>
      </w:r>
      <w:r>
        <w:rPr>
          <w:rFonts w:ascii="Cambria" w:cs="Cambria" w:eastAsia="Cambria" w:hAnsi="Cambria"/>
          <w:sz w:val="21"/>
          <w:szCs w:val="21"/>
          <w:vertAlign w:val="subscript"/>
        </w:rPr>
        <w:t xml:space="preserve">u</w:t>
      </w:r>
      <w:r>
        <w:rPr>
          <w:rFonts w:ascii="Cambria" w:cs="Cambria" w:eastAsia="Cambria" w:hAnsi="Cambria"/>
          <w:sz w:val="21"/>
          <w:szCs w:val="21"/>
        </w:rPr>
        <w:t xml:space="preserve">, data scope S</w:t>
      </w:r>
      <w:r>
        <w:rPr>
          <w:rFonts w:ascii="Cambria" w:cs="Cambria" w:eastAsia="Cambria" w:hAnsi="Cambria"/>
          <w:sz w:val="21"/>
          <w:szCs w:val="21"/>
          <w:vertAlign w:val="subscript"/>
        </w:rPr>
        <w:t xml:space="preserve">C</w:t>
      </w:r>
      <w:r>
        <w:rPr>
          <w:rFonts w:ascii="Cambria" w:cs="Cambria" w:eastAsia="Cambria" w:hAnsi="Cambria"/>
          <w:sz w:val="21"/>
          <w:szCs w:val="21"/>
        </w:rPr>
        <w:t xml:space="preserve">, validity interval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pStyle w:val="Heading3"/>
        <w:spacing w:after="160" w:before="280"/>
      </w:pPr>
      <w: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12: RO2 workflow for decentralised identity and authority verification" title="Figure 12: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RO2 workflow for decentralised identity and authority verification</w:t>
      </w:r>
    </w:p>
    <w:p>
      <w:pPr>
        <w:jc w:val="center"/>
      </w:pPr>
      <w:r>
        <w:rPr>
          <w:rFonts w:ascii="Cambria" w:cs="Cambria" w:eastAsia="Cambria" w:hAnsi="Cambria"/>
          <w:i/>
          <w:iCs/>
          <w:sz w:val="20"/>
          <w:szCs w:val="20"/>
        </w:rPr>
        <w:t xml:space="preserve">[Figure 12: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0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000000"/>
          <w:sz w:val="24"/>
          <w:szCs w:val="24"/>
        </w:rPr>
        <w:t xml:space="preserve">This condition defines the target verification model rather than the behaviour presently exercised. The current prototype implements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(54)</w:t>
      </w:r>
    </w:p>
    <w:p>
      <w:pPr>
        <w:spacing w:after="140" w:line="300"/>
        <w:jc w:val="both"/>
      </w:pPr>
      <w:r>
        <w:rPr>
          <w:rFonts w:ascii="Cambria" w:cs="Cambria" w:eastAsia="Cambria" w:hAnsi="Cambria"/>
          <w:sz w:val="24"/>
          <w:szCs w:val="24"/>
        </w:rPr>
        <w:t xml:space="preserve">The threshold mechanism establishes collective authorisation.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000000"/>
          <w:sz w:val="24"/>
          <w:szCs w:val="24"/>
        </w:rPr>
        <w:t xml:space="preserve">In the current implementation the threshold is fixed to the full guardian set, N = |G|, so that every designated guardian must approve before the consent is activated; the demonstrated configuration is therefore 2-of-2. This distinction is important because a configurable k-of-n threshold, while a direct generalisation of the implemented mechanism, is left to future work.</w:t>
      </w:r>
    </w:p>
    <w:p>
      <w:pPr>
        <w:pStyle w:val="Heading3"/>
        <w:spacing w:after="160" w:before="280"/>
      </w:pPr>
      <w: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000000"/>
          <w:sz w:val="24"/>
          <w:szCs w:val="24"/>
        </w:rPr>
        <w:t xml:space="preserve">In the HALAH implementation, the guardian's authority is evidenced by an EIP-712 typed-data signature bound to the consent identifier, the guardian DID and the Sepolia chain identifier, and verified through off-chain signer recovery. The VC verification that precedes it is presently a DID-format check, and the signing keys are derived deterministically from the guardian DIDs in place of wallet-held keys, a substitution acknowledged as a prototype limitation.</w:t>
      </w:r>
    </w:p>
    <w:p>
      <w:pPr>
        <w:pStyle w:val="Heading3"/>
        <w:spacing w:after="160" w:before="280"/>
      </w:pPr>
      <w: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13: RO3 workflow for threshold-based multi-party authorisation" title="Figure 13: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13: RO3 workflow for threshold-based multi-party authorisation</w:t>
      </w:r>
    </w:p>
    <w:p>
      <w:pPr>
        <w:jc w:val="center"/>
      </w:pPr>
      <w:r>
        <w:rPr>
          <w:rFonts w:ascii="Cambria" w:cs="Cambria" w:eastAsia="Cambria" w:hAnsi="Cambria"/>
          <w:i/>
          <w:iCs/>
          <w:sz w:val="20"/>
          <w:szCs w:val="20"/>
        </w:rPr>
        <w:t xml:space="preserve">[Figure 13: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Formally, for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that u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Authorisation(C) = { ALLOW,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PENDING,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 { ALLOW; PENDING }</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Authorisation(C) = ALLOW.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(56)</w:t>
      </w:r>
    </w:p>
    <w:p>
      <w:pPr>
        <w:pStyle w:val="Heading3"/>
        <w:spacing w:after="160" w:before="280"/>
      </w:pPr>
      <w: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color w:val="000000"/>
          <w:sz w:val="21"/>
          <w:szCs w:val="21"/>
        </w:rPr>
        <w:t xml:space="preserve">Require: </w:t>
      </w:r>
      <w:r>
        <w:rPr>
          <w:rFonts w:ascii="Cambria" w:cs="Cambria" w:eastAsia="Cambria" w:hAnsi="Cambria"/>
          <w:color w:val="000000"/>
          <w:sz w:val="21"/>
          <w:szCs w:val="21"/>
        </w:rPr>
        <w:t xml:space="preserve">Consent object C, participant approval a</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000000"/>
          <w:sz w:val="18"/>
          <w:szCs w:val="18"/>
        </w:rPr>
        <w:t xml:space="preserve">2:  </w:t>
      </w:r>
      <w:r>
        <w:rPr>
          <w:rFonts w:ascii="Cambria" w:cs="Cambria" w:eastAsia="Cambria" w:hAnsi="Cambria"/>
          <w:color w:val="000000"/>
          <w:sz w:val="21"/>
          <w:szCs w:val="21"/>
        </w:rPr>
        <w:t xml:space="preserve">N ← |G|</w:t>
      </w:r>
    </w:p>
    <w:p>
      <w:pPr>
        <w:spacing w:after="20"/>
        <w:ind w:left="240"/>
      </w:pPr>
      <w:r>
        <w:rPr>
          <w:rFonts w:ascii="Cambria" w:cs="Cambria" w:eastAsia="Cambria" w:hAnsi="Cambria"/>
          <w:color w:val="000000"/>
          <w:sz w:val="18"/>
          <w:szCs w:val="18"/>
        </w:rPr>
        <w:t xml:space="preserve">3:  </w:t>
      </w:r>
      <w:r>
        <w:rPr>
          <w:rFonts w:ascii="Cambria" w:cs="Cambria" w:eastAsia="Cambria" w:hAnsi="Cambria"/>
          <w:color w:val="000000"/>
          <w:sz w:val="21"/>
          <w:szCs w:val="21"/>
        </w:rPr>
        <w:t xml:space="preserve">signer ← RecoverEIP712(domain, {id</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g, APPROVE},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   ▷ off-chain recovery</w:t>
      </w:r>
    </w:p>
    <w:p>
      <w:pPr>
        <w:spacing w:after="20"/>
        <w:ind w:left="240"/>
      </w:pPr>
      <w:r>
        <w:rPr>
          <w:rFonts w:ascii="Cambria" w:cs="Cambria" w:eastAsia="Cambria" w:hAnsi="Cambria"/>
          <w:color w:val="000000"/>
          <w:sz w:val="18"/>
          <w:szCs w:val="18"/>
        </w:rPr>
        <w:t xml:space="preserve">4: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signer ≠ Addr(g), or the signature binds a different consent, guardian, or chain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5: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16:  </w:t>
      </w:r>
      <w:r>
        <w:rPr>
          <w:rFonts w:ascii="Cambria" w:cs="Cambria" w:eastAsia="Cambria" w:hAnsi="Cambria"/>
          <w:color w:val="000000"/>
          <w:sz w:val="21"/>
          <w:szCs w:val="21"/>
        </w:rPr>
        <w:t xml:space="preserve">Record signature_data[g] ← (signer,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000000"/>
          <w:sz w:val="18"/>
          <w:szCs w:val="18"/>
        </w:rPr>
        <w:t xml:space="preserve">20:  </w:t>
      </w:r>
      <w:r>
        <w:rPr>
          <w:rFonts w:ascii="Cambria" w:cs="Cambria" w:eastAsia="Cambria" w:hAnsi="Cambria"/>
          <w:color w:val="000000"/>
          <w:sz w:val="21"/>
          <w:szCs w:val="21"/>
        </w:rPr>
        <w:t xml:space="preserve">state ← PENDING_TOKEN</w:t>
      </w:r>
    </w:p>
    <w:p>
      <w:pPr>
        <w:spacing w:after="20"/>
        <w:ind w:left="600"/>
      </w:pPr>
      <w:r>
        <w:rPr>
          <w:rFonts w:ascii="Cambria" w:cs="Cambria" w:eastAsia="Cambria" w:hAnsi="Cambria"/>
          <w:color w:val="000000"/>
          <w:sz w:val="18"/>
          <w:szCs w:val="18"/>
        </w:rPr>
        <w:t xml:space="preserve">21:  </w:t>
      </w:r>
      <w:r>
        <w:rPr>
          <w:rFonts w:ascii="Cambria" w:cs="Cambria" w:eastAsia="Cambria" w:hAnsi="Cambria"/>
          <w:color w:val="000000"/>
          <w:sz w:val="21"/>
          <w:szCs w:val="21"/>
        </w:rPr>
        <w:t xml:space="preserve">submit mintConsentV3(addr</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addr</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keccak(P</w:t>
      </w:r>
      <w:r>
        <w:rPr>
          <w:rFonts w:ascii="Cambria" w:cs="Cambria" w:eastAsia="Cambria" w:hAnsi="Cambria"/>
          <w:color w:val="000000"/>
          <w:sz w:val="21"/>
          <w:szCs w:val="21"/>
          <w:vertAlign w:val="subscript"/>
        </w:rPr>
        <w:t xml:space="preserve">u</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L, burnAuth) via the owner account   ▷ background job; reconciled on next lookup</w:t>
      </w:r>
    </w:p>
    <w:p>
      <w:pPr>
        <w:spacing w:after="20"/>
        <w:ind w:left="600"/>
      </w:pPr>
      <w:r>
        <w:rPr>
          <w:rFonts w:ascii="Cambria" w:cs="Cambria" w:eastAsia="Cambria" w:hAnsi="Cambria"/>
          <w:color w:val="000000"/>
          <w:sz w:val="18"/>
          <w:szCs w:val="18"/>
        </w:rPr>
        <w:t xml:space="preserve">22:  </w:t>
      </w:r>
      <w:r>
        <w:rPr>
          <w:rFonts w:ascii="Cambria" w:cs="Cambria" w:eastAsia="Cambria" w:hAnsi="Cambria"/>
          <w:color w:val="0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000000"/>
          <w:sz w:val="18"/>
          <w:szCs w:val="18"/>
        </w:rPr>
        <w:t xml:space="preserve">24: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26: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27: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28: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(58)</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The complete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decision is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color w:val="000000"/>
          <w:sz w:val="22"/>
          <w:szCs w:val="22"/>
        </w:rPr>
        <w:t xml:space="preserve">	(59)</w:t>
      </w:r>
    </w:p>
    <w:p>
      <w:pPr>
        <w:spacing w:after="140" w:line="300"/>
        <w:jc w:val="both"/>
      </w:pPr>
      <w:r>
        <w:rPr>
          <w:rFonts w:ascii="Cambria" w:cs="Cambria" w:eastAsia="Cambria" w:hAnsi="Cambria"/>
          <w:color w:val="0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(61)</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4: RO4 workflow for policy- and context-aware access control" title="Figure 14: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14: RO4 workflow for policy- and context-aware access control</w:t>
      </w:r>
    </w:p>
    <w:p>
      <w:pPr>
        <w:jc w:val="center"/>
      </w:pPr>
      <w:r>
        <w:rPr>
          <w:rFonts w:ascii="Cambria" w:cs="Cambria" w:eastAsia="Cambria" w:hAnsi="Cambria"/>
          <w:i/>
          <w:iCs/>
          <w:sz w:val="20"/>
          <w:szCs w:val="20"/>
        </w:rPr>
        <w:t xml:space="preserve">[Figure 14: RO4 workflow for policy- and context-aware access control]</w:t>
      </w:r>
    </w:p>
    <w:p>
      <w:pPr>
        <w:pStyle w:val="Heading3"/>
        <w:spacing w:after="160" w:before="280"/>
      </w:pPr>
      <w:r>
        <w:t xml:space="preserve">6.4.2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access request R, requesting participant u</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000000"/>
          <w:sz w:val="18"/>
          <w:szCs w:val="18"/>
        </w:rPr>
        <w:t xml:space="preserve">22: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 or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26: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t &lt;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or t &gt;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27: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Jur(R) ≠ Jur(C)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28:  </w:t>
      </w:r>
      <w:r>
        <w:rPr>
          <w:rFonts w:ascii="Cambria" w:cs="Cambria" w:eastAsia="Cambria" w:hAnsi="Cambria"/>
          <w:color w:val="000000"/>
          <w:sz w:val="21"/>
          <w:szCs w:val="21"/>
        </w:rPr>
        <w:t xml:space="preserve">Generate and verify a Groth16 proof that Poseidon(secret, expiry) equals the public commitment and that t ≤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record proof_mode = groth16</w:t>
      </w:r>
    </w:p>
    <w:p>
      <w:pPr>
        <w:spacing w:after="20"/>
        <w:ind w:left="240"/>
      </w:pPr>
      <w:r>
        <w:rPr>
          <w:rFonts w:ascii="Cambria" w:cs="Cambria" w:eastAsia="Cambria" w:hAnsi="Cambria"/>
          <w:color w:val="555555"/>
          <w:sz w:val="18"/>
          <w:szCs w:val="18"/>
        </w:rPr>
        <w:t xml:space="preserve">29: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30: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31: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t xml:space="preserve">6.4.3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represented as R = (u,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which means the requested purpose is required to satisfy the privacy constraint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000000"/>
          <w:sz w:val="24"/>
          <w:szCs w:val="24"/>
        </w:rPr>
        <w:t xml:space="preserve">The evaluation pipeline is designed so that a request violating the privacy constraint is refused before any data is released; a formal proof of this property forms part of the next 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PurposeMatch(P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ScopeMatch(S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140" w:line="300"/>
        <w:jc w:val="both"/>
      </w:pPr>
      <w:r>
        <w:rPr>
          <w:rFonts w:ascii="Cambria" w:cs="Cambria" w:eastAsia="Cambria" w:hAnsi="Cambria"/>
          <w:color w:val="000000"/>
          <w:sz w:val="24"/>
          <w:szCs w:val="24"/>
        </w:rPr>
        <w:t xml:space="preserve">In the implemented system the approval threshold is N-of-N: N = |G|, so that every designated guardian must sign, and the evaluated configuration is accordingly 2-of-2. Consequently, a configurable k-of-n threshold remains an item of future work rather than a property of the demonstrated prototype.</w:t>
      </w:r>
    </w:p>
    <w:p>
      <w:pPr>
        <w:spacing w:after="140" w:line="300"/>
        <w:jc w:val="both"/>
      </w:pPr>
      <w:r>
        <w:rPr>
          <w:rFonts w:ascii="Cambria" w:cs="Cambria" w:eastAsia="Cambria" w:hAnsi="Cambria"/>
          <w:color w:val="000000"/>
          <w:sz w:val="24"/>
          <w:szCs w:val="24"/>
        </w:rPr>
        <w:t xml:space="preserve">In the demonstrated prototype, purpose compatibility is evaluated as an exact match against the consent purpose, which is stored on-chain as keccak256(purpose). Therefore, a formal proof that no execution path can violate the privacy policy is deliberately left to future work.</w:t>
      </w:r>
    </w:p>
    <w:p>
      <w:pPr>
        <w:spacing w:after="140" w:line="300"/>
        <w:jc w:val="both"/>
      </w:pPr>
      <w:r>
        <w:rPr>
          <w:rFonts w:ascii="Cambria" w:cs="Cambria" w:eastAsia="Cambria" w:hAnsi="Cambria"/>
          <w:sz w:val="24"/>
          <w:szCs w:val="24"/>
        </w:rPr>
        <w:t xml:space="preserve">The final access decision can be formally expressed as ALLOW ⟺ Identity ∧ Consent ∧ Authority ∧ Threshold ∧ Purpose ∧ Scope ∧ Evidence where the individual conditions represent verified participant identity, active consent, sufficient authority, satisfied multi-party approval, compatible purpose, authorised data scope, and sufficient decision evidence, respectively.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t xml:space="preserve">6.5  Temporal and Lifecycle Trust for RO5</w:t>
      </w:r>
    </w:p>
    <w:p>
      <w:pPr>
        <w:spacing w:after="140" w:line="300"/>
        <w:jc w:val="both"/>
      </w:pPr>
      <w:r>
        <w:rPr>
          <w:rFonts w:ascii="Cambria" w:cs="Cambria" w:eastAsia="Cambria" w:hAnsi="Cambria"/>
          <w:sz w:val="24"/>
          <w:szCs w:val="24"/>
        </w:rPr>
        <w:t xml:space="preserve">RO5 addresses RQ5 and extends the foundational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model with temporal validity and consent lifecycle controls. This objective belongs primarily to CA3 because it investigates how an authorisation remains trustworthy as time passes and as the consent state changes. The current stage model evaluates identity, collective authorisation, and policy compliance. RO5 extends this model by introducing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(63)</w:t>
      </w:r>
    </w:p>
    <w:p>
      <w:pPr>
        <w:spacing w:after="140" w:line="300"/>
        <w:jc w:val="both"/>
      </w:pPr>
      <w:r>
        <w:rPr>
          <w:rFonts w:ascii="Cambria" w:cs="Cambria" w:eastAsia="Cambria" w:hAnsi="Cambria"/>
          <w:sz w:val="24"/>
          <w:szCs w:val="24"/>
        </w:rPr>
        <w:t xml:space="preserve">The lifecycle condition can be expressed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L</w:t>
      </w:r>
      <w:r>
        <w:rPr>
          <w:rFonts w:ascii="Cambria Math" w:cs="Cambria Math" w:eastAsia="Cambria Math" w:hAnsi="Cambria Math"/>
          <w:i/>
          <w:iCs/>
          <w:color w:val="000000"/>
          <w:sz w:val="22"/>
          <w:szCs w:val="22"/>
        </w:rPr>
        <w:t xml:space="preserve">(C, R) = 1 ⟺ Jur(R) = Jur(C) ∨ Jur(C) = ∅</w:t>
      </w:r>
      <w:r>
        <w:rPr>
          <w:rFonts w:ascii="Cambria" w:cs="Cambria" w:eastAsia="Cambria" w:hAnsi="Cambria"/>
          <w:color w:val="000000"/>
          <w:sz w:val="22"/>
          <w:szCs w:val="22"/>
        </w:rPr>
        <w:t xml:space="preserve">	(64)</w:t>
      </w:r>
    </w:p>
    <w:p>
      <w:pPr>
        <w:spacing w:after="140" w:line="300"/>
        <w:jc w:val="both"/>
      </w:pPr>
      <w:r>
        <w:rPr>
          <w:rFonts w:ascii="Cambria" w:cs="Cambria" w:eastAsia="Cambria" w:hAnsi="Cambria"/>
          <w:color w:val="000000"/>
          <w:sz w:val="24"/>
          <w:szCs w:val="24"/>
        </w:rPr>
        <w:t xml:space="preserve">where Jur(·) denotes the jurisdiction attribute, recorded on-chain as a two-letter ISO code, and where lifecycle state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rather than within this predicate. This is important because it is precisely this check that produced the demonstrated denial in which a request declaring jurisdiction SA was refused against a consent issued for AU.</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t xml:space="preserve">6.5.1  RO5 Temporal and Lifecycle Workflow</w:t>
      </w:r>
    </w:p>
    <w:p>
      <w:pPr>
        <w:spacing w:after="140" w:line="300"/>
        <w:jc w:val="both"/>
      </w:pPr>
      <w:r>
        <w:rPr>
          <w:rFonts w:ascii="Cambria" w:cs="Cambria" w:eastAsia="Cambria" w:hAnsi="Cambria"/>
          <w:color w:val="000000"/>
          <w:sz w:val="24"/>
          <w:szCs w:val="24"/>
        </w:rPr>
        <w:t xml:space="preserve">Temporal and lifecycle enforcement is implemented in the demonstrated prototype. In particular, the Consent Engine evaluates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 t ≤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at every access request, the deployed contract stores the notBefore and expiry fields and exposes the checkValid and checkValidAt functions, and revocation is executed both in the application state and as an on-chain revoke transaction confirmed in block 11,771,307.</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implemented</w:t>
      </w:r>
      <w:r>
        <w:rPr>
          <w:rFonts w:ascii="Cambria" w:cs="Cambria" w:eastAsia="Cambria" w:hAnsi="Cambria"/>
          <w:sz w:val="24"/>
          <w:szCs w:val="24"/>
        </w:rPr>
        <w:t xml:space="preserve">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t xml:space="preserve">6.5.2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0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 </w:t>
      </w:r>
      <w:r>
        <w:rPr>
          <w:rFonts w:ascii="Cambria" w:cs="Cambria" w:eastAsia="Cambria" w:hAnsi="Cambria"/>
          <w:color w:val="000000"/>
          <w:sz w:val="24"/>
          <w:szCs w:val="24"/>
        </w:rPr>
        <w:t xml:space="preserve">Here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denotes the composite temporal–state predicate evaluated by this procedure; it is distinct from the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of the decision rule, which is evaluated separately.</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VALID. If any mandatory condition fails, the procedure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overall flow can therefore be summarised as Consent → Identity → Authority → Policy → Temporal/Lifecycle Validation → Access</w:t>
      </w:r>
    </w:p>
    <w:p>
      <w:pPr>
        <w:spacing w:after="140" w:line="300"/>
        <w:jc w:val="both"/>
      </w:pPr>
      <w:r>
        <w:rPr>
          <w:rFonts w:ascii="Cambria" w:cs="Cambria" w:eastAsia="Cambria" w:hAnsi="Cambria"/>
          <w:color w:val="000000"/>
          <w:sz w:val="24"/>
          <w:szCs w:val="24"/>
        </w:rPr>
        <w:t xml:space="preserve">the lifecycle validation mechanism can therefore be interpreted as a per-request validity layer: validity is re-established at each evaluated access request and recorded as a STATE_CHECK event in the audit ledger, rather than being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p>
      <w:pPr>
        <w:pStyle w:val="Heading3"/>
        <w:spacing w:after="160" w:before="280"/>
      </w:pPr>
      <w:r>
        <w:t xml:space="preserve">6.5.3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0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keepNext/>
        <w:spacing w:after="60" w:before="140"/>
        <w:jc w:val="center"/>
      </w:pPr>
      <w:r>
        <w:drawing>
          <wp:inline distT="0" distB="0" distL="0" distR="0">
            <wp:extent cx="4095750" cy="5876925"/>
            <wp:effectExtent t="0" r="0" b="0" l="0"/>
            <wp:docPr id="1" name="gfig11.png" descr="Figure 15: RO5 workflow for temporal and consent lifecycle trust" title="Figure 15: 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15: RO5 workflow for temporal and consent lifecycle trust</w:t>
      </w:r>
    </w:p>
    <w:p>
      <w:pPr>
        <w:jc w:val="center"/>
      </w:pPr>
      <w:r>
        <w:rPr>
          <w:rFonts w:ascii="Cambria" w:cs="Cambria" w:eastAsia="Cambria" w:hAnsi="Cambria"/>
          <w:i/>
          <w:iCs/>
          <w:sz w:val="20"/>
          <w:szCs w:val="20"/>
        </w:rPr>
        <w:t xml:space="preserve">[Figure 15: RO5 workflow for temporal and consent lifecycle trust]</w:t>
      </w:r>
    </w:p>
    <w:p>
      <w:pPr>
        <w:spacing w:after="140" w:line="300"/>
        <w:jc w:val="both"/>
      </w:pPr>
      <w:r>
        <w:rPr>
          <w:rFonts w:ascii="Cambria" w:cs="Cambria" w:eastAsia="Cambria" w:hAnsi="Cambria"/>
          <w:sz w:val="24"/>
          <w:szCs w:val="24"/>
        </w:rPr>
        <w:t xml:space="preserve">Algorithm 5 extends the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decision process by ensuring that consent validity is dynamic rather than permanent.</w:t>
      </w:r>
    </w:p>
    <w:p>
      <w:pPr>
        <w:pStyle w:val="Heading2"/>
        <w:spacing w:after="160" w:before="280"/>
      </w:pPr>
      <w: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The formal decision model is expressed as</w:t>
      </w:r>
    </w:p>
    <w:p>
      <w:pPr>
        <w:spacing w:after="140" w:line="300"/>
        <w:jc w:val="both"/>
      </w:pPr>
      <w:r>
        <w:rPr>
          <w:rFonts w:ascii="Cambria" w:cs="Cambria" w:eastAsia="Cambria" w:hAnsi="Cambria"/>
          <w:color w:val="000000"/>
          <w:sz w:val="24"/>
          <w:szCs w:val="24"/>
        </w:rPr>
        <w:t xml:space="preserve">The empirical half of this objective has been carried out on the demonstrated prototype, whereas formal proofs and model checking of the authorisation properties remain future work. Figure 16 accordingly presents the RO6 workflow for security assurance, in which the empirical branch has been executed and the formal branch remains planned.</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(66)</w:t>
      </w:r>
    </w:p>
    <w:p>
      <w:pPr>
        <w:spacing w:after="140" w:line="300"/>
        <w:jc w:val="both"/>
      </w:pPr>
      <w:r>
        <w:rPr>
          <w:rFonts w:ascii="Cambria" w:cs="Cambria" w:eastAsia="Cambria" w:hAnsi="Cambria"/>
          <w:color w:val="000000"/>
          <w:sz w:val="24"/>
          <w:szCs w:val="24"/>
        </w:rPr>
        <w:t xml:space="preserve">Decision(C, R) = ALLOW ⇒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where this soundness property is the one actually validated: each conjunct is exercised by a dedicated per-dimension failure test that confirms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(68)</w:t>
      </w:r>
    </w:p>
    <w:p>
      <w:pPr>
        <w:pStyle w:val="Heading3"/>
        <w:spacing w:after="160" w:before="280"/>
      </w:pPr>
      <w: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6: RO6 workflow for formal security assurance and empirical validation" title="Figure 16: 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16: RO6 workflow for formal security assurance and empirical validation</w:t>
      </w:r>
    </w:p>
    <w:p>
      <w:pPr>
        <w:jc w:val="center"/>
      </w:pPr>
      <w:r>
        <w:rPr>
          <w:rFonts w:ascii="Cambria" w:cs="Cambria" w:eastAsia="Cambria" w:hAnsi="Cambria"/>
          <w:i/>
          <w:iCs/>
          <w:sz w:val="20"/>
          <w:szCs w:val="20"/>
        </w:rPr>
        <w:t xml:space="preserve">[Figure 16: RO6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The expected threshold property is Authorisation(C) = ALLOW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w:t>
      </w:r>
    </w:p>
    <w:p>
      <w:pPr>
        <w:spacing w:after="140" w:line="300"/>
        <w:jc w:val="both"/>
      </w:pPr>
      <w:r>
        <w:rPr>
          <w:rFonts w:ascii="Cambria" w:cs="Cambria" w:eastAsia="Cambria" w:hAnsi="Cambria"/>
          <w:sz w:val="24"/>
          <w:szCs w:val="24"/>
        </w:rPr>
        <w:t xml:space="preserve">dynamic validity, security assurance, and comprehensive practical effectiveness. The overall trust-oriented authorisation process can therefore be summarised as Trustworthy Access with </w:t>
      </w:r>
      <w:r>
        <w:rPr>
          <w:rFonts w:ascii="Cambria" w:cs="Cambria" w:eastAsia="Cambria" w:hAnsi="Cambria"/>
          <w:color w:val="000000"/>
          <w:sz w:val="24"/>
          <w:szCs w:val="24"/>
        </w:rPr>
        <w:t xml:space="preserve">1) Identity Trust,</w:t>
      </w:r>
      <w:r>
        <w:rPr>
          <w:rFonts w:ascii="Cambria" w:cs="Cambria" w:eastAsia="Cambria" w:hAnsi="Cambria"/>
          <w:sz w:val="24"/>
          <w:szCs w:val="24"/>
        </w:rPr>
        <w:t xml:space="preserve"> </w:t>
      </w:r>
      <w:r>
        <w:rPr>
          <w:rFonts w:ascii="Cambria" w:cs="Cambria" w:eastAsia="Cambria" w:hAnsi="Cambria"/>
          <w:color w:val="000000"/>
          <w:sz w:val="24"/>
          <w:szCs w:val="24"/>
        </w:rPr>
        <w:t xml:space="preserve">2)</w:t>
      </w:r>
      <w:r>
        <w:rPr>
          <w:rFonts w:ascii="Cambria" w:cs="Cambria" w:eastAsia="Cambria" w:hAnsi="Cambria"/>
          <w:sz w:val="24"/>
          <w:szCs w:val="24"/>
        </w:rPr>
        <w:t xml:space="preserve"> Authority Trust, </w:t>
      </w:r>
      <w:r>
        <w:rPr>
          <w:rFonts w:ascii="Cambria" w:cs="Cambria" w:eastAsia="Cambria" w:hAnsi="Cambria"/>
          <w:color w:val="000000"/>
          <w:sz w:val="24"/>
          <w:szCs w:val="24"/>
        </w:rPr>
        <w:t xml:space="preserve">3)</w:t>
      </w:r>
      <w:r>
        <w:rPr>
          <w:rFonts w:ascii="Cambria" w:cs="Cambria" w:eastAsia="Cambria" w:hAnsi="Cambria"/>
          <w:sz w:val="24"/>
          <w:szCs w:val="24"/>
        </w:rPr>
        <w:t xml:space="preserve"> Collective Authorisation, </w:t>
      </w:r>
      <w:r>
        <w:rPr>
          <w:rFonts w:ascii="Cambria" w:cs="Cambria" w:eastAsia="Cambria" w:hAnsi="Cambria"/>
          <w:color w:val="000000"/>
          <w:sz w:val="24"/>
          <w:szCs w:val="24"/>
        </w:rPr>
        <w:t xml:space="preserve">4)</w:t>
      </w:r>
      <w:r>
        <w:rPr>
          <w:rFonts w:ascii="Cambria" w:cs="Cambria" w:eastAsia="Cambria" w:hAnsi="Cambria"/>
          <w:sz w:val="24"/>
          <w:szCs w:val="24"/>
        </w:rPr>
        <w:t xml:space="preserve"> Policy Compliance, </w:t>
      </w:r>
      <w:r>
        <w:rPr>
          <w:rFonts w:ascii="Cambria" w:cs="Cambria" w:eastAsia="Cambria" w:hAnsi="Cambria"/>
          <w:color w:val="000000"/>
          <w:sz w:val="24"/>
          <w:szCs w:val="24"/>
        </w:rPr>
        <w:t xml:space="preserve">5) </w:t>
      </w:r>
      <w:r>
        <w:rPr>
          <w:rFonts w:ascii="Cambria" w:cs="Cambria" w:eastAsia="Cambria" w:hAnsi="Cambria"/>
          <w:sz w:val="24"/>
          <w:szCs w:val="24"/>
        </w:rPr>
        <w:t xml:space="preserve">Temporal and Lifecycle Trust. For the current stage implementation, the operational decision is based on</w:t>
      </w:r>
    </w:p>
    <w:p>
      <w:pPr>
        <w:spacing w:after="140" w:line="300"/>
        <w:jc w:val="both"/>
      </w:pPr>
      <w:r>
        <w:rPr>
          <w:rFonts w:ascii="Cambria" w:cs="Cambria" w:eastAsia="Cambria" w:hAnsi="Cambria"/>
          <w:color w:val="000000"/>
          <w:sz w:val="24"/>
          <w:szCs w:val="24"/>
        </w:rPr>
        <w:t xml:space="preserve">Algorithms 1–5 are all realised in the current prototype, and the empirical branch of Algorithm 6 has been executed against it. Consequently, only the formal-assurance branch, together with configurable k-of-n thresholds and authenticated requesters, remains for the next stage.</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The CA3 extension incorporates temporal and lifecycle conditions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(70)</w:t>
      </w:r>
    </w:p>
    <w:p>
      <w:pPr>
        <w:spacing w:after="140" w:line="300"/>
        <w:jc w:val="both"/>
      </w:pPr>
      <w:r>
        <w:rPr>
          <w:rFonts w:ascii="Cambria" w:cs="Cambria" w:eastAsia="Cambria" w:hAnsi="Cambria"/>
          <w:color w:val="000000"/>
          <w:sz w:val="24"/>
          <w:szCs w:val="24"/>
        </w:rPr>
        <w:t xml:space="preserve">The implemented system enforces the complete rule of Equation (70): access is granted only when all five predicates hold, revocation is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and every decision, whether granted or denied, is logged together with the full decision matrix; Equation (69) is retained as the historical current-stage formulation.</w:t>
      </w:r>
    </w:p>
    <w:p>
      <w:pPr>
        <w:spacing w:after="140" w:line="300"/>
        <w:jc w:val="both"/>
      </w:pPr>
      <w:r>
        <w:rPr>
          <w:rFonts w:ascii="Cambria" w:cs="Cambria" w:eastAsia="Cambria" w:hAnsi="Cambria"/>
          <w:sz w:val="24"/>
          <w:szCs w:val="24"/>
        </w:rP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spacing w:after="140" w:line="300"/>
        <w:jc w:val="both"/>
      </w:pPr>
      <w:r>
        <w:rPr>
          <w:rFonts w:ascii="Cambria" w:cs="Cambria" w:eastAsia="Cambria" w:hAnsi="Cambria"/>
          <w:color w:val="000000"/>
          <w:sz w:val="24"/>
          <w:szCs w:val="24"/>
        </w:rPr>
        <w:t xml:space="preserve">The remainder of this chapter moves from the formal design to its realisation. Section 6.8 presents the implemented HALAH system and its live demonstration on the Sepolia test network, so that every algorithm introduced above can be traced to observable behaviour and to publicly verifiable on-chain transactions.</w:t>
      </w:r>
    </w:p>
    <w:p>
      <w:pPr>
        <w:pStyle w:val="Heading2"/>
        <w:pageBreakBefore/>
        <w:spacing w:after="160" w:before="280"/>
      </w:pPr>
      <w:r>
        <w:rPr>
          <w:color w:val="000000"/>
        </w:rPr>
        <w:t xml:space="preserve">6.8  Implementation and Live Demonstration of the Proposed Solution</w:t>
      </w:r>
    </w:p>
    <w:p>
      <w:pPr>
        <w:spacing w:after="140" w:line="300"/>
        <w:jc w:val="both"/>
      </w:pPr>
      <w:r>
        <w:rPr>
          <w:rFonts w:ascii="Cambria" w:cs="Cambria" w:eastAsia="Cambria" w:hAnsi="Cambria"/>
          <w:color w:val="000000"/>
          <w:sz w:val="24"/>
          <w:szCs w:val="24"/>
        </w:rP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electronic medical record (EMR) modules, and finally revoked by the patient.</w:t>
      </w:r>
    </w:p>
    <w:p>
      <w:pPr>
        <w:spacing w:after="140" w:line="300"/>
        <w:jc w:val="both"/>
      </w:pPr>
      <w:r>
        <w:rPr>
          <w:rFonts w:ascii="Cambria" w:cs="Cambria" w:eastAsia="Cambria" w:hAnsi="Cambria"/>
          <w:color w:val="000000"/>
          <w:sz w:val="24"/>
          <w:szCs w:val="24"/>
        </w:rPr>
        <w:t xml:space="preserve">The activation and revocation of a consent are not confined to the application. Instead, they are executed as real transactions on the </w:t>
      </w:r>
      <w:r>
        <w:rPr>
          <w:rFonts w:ascii="Cambria" w:cs="Cambria" w:eastAsia="Cambria" w:hAnsi="Cambria"/>
          <w:b/>
          <w:bCs/>
          <w:color w:val="000000"/>
          <w:sz w:val="24"/>
          <w:szCs w:val="24"/>
        </w:rPr>
        <w:t xml:space="preserve">Ethereum Sepolia</w:t>
      </w:r>
      <w:r>
        <w:rPr>
          <w:rFonts w:ascii="Cambria" w:cs="Cambria" w:eastAsia="Cambria" w:hAnsi="Cambria"/>
          <w:color w:val="000000"/>
          <w:sz w:val="24"/>
          <w:szCs w:val="24"/>
        </w:rP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color w:val="000000"/>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color w:val="000000"/>
          <w:sz w:val="22"/>
          <w:szCs w:val="22"/>
        </w:rPr>
        <w:t xml:space="preserve">→ Doctor Access → Consent Revocation → Independent Audit</w:t>
      </w:r>
    </w:p>
    <w:p>
      <w:pPr>
        <w:spacing w:after="140" w:line="300"/>
        <w:jc w:val="both"/>
      </w:pPr>
      <w:r>
        <w:rPr>
          <w:rFonts w:ascii="Cambria" w:cs="Cambria" w:eastAsia="Cambria" w:hAnsi="Cambria"/>
          <w:color w:val="000000"/>
          <w:sz w:val="24"/>
          <w:szCs w:val="24"/>
        </w:rP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40" w:line="300"/>
        <w:jc w:val="both"/>
      </w:pPr>
      <w:r>
        <w:rPr>
          <w:rFonts w:ascii="Cambria" w:cs="Cambria" w:eastAsia="Cambria" w:hAnsi="Cambria"/>
          <w:color w:val="000000"/>
          <w:sz w:val="24"/>
          <w:szCs w:val="24"/>
        </w:rPr>
        <w:t xml:space="preserve">This operational sequence realises the trust-oriented authorisation model developed in the preceding sections of this chapter. The consent object of Eq. (51), the identity and authority verification of Algorithm 2, the threshold-based multi-party authorisation of Algorithm 3, and the trust-predicate evaluation of Figure 8 are each exercised in this workflow by a real transaction on the Ethereum Sepolia test network, so the conceptual model and the running system can be verified against one another.</w:t>
      </w:r>
    </w:p>
    <w:p>
      <w:pPr>
        <w:pStyle w:val="Heading3"/>
        <w:spacing w:after="160" w:before="280"/>
      </w:pPr>
      <w:r>
        <w:rPr>
          <w:color w:val="000000"/>
        </w:rPr>
        <w:t xml:space="preserve">6.8.1  The HALAH System</w:t>
      </w:r>
    </w:p>
    <w:p>
      <w:pPr>
        <w:spacing w:after="140" w:line="300"/>
        <w:jc w:val="both"/>
      </w:pPr>
      <w:r>
        <w:rPr>
          <w:rFonts w:ascii="Cambria" w:cs="Cambria" w:eastAsia="Cambria" w:hAnsi="Cambria"/>
          <w:color w:val="000000"/>
          <w:sz w:val="24"/>
          <w:szCs w:val="24"/>
        </w:rP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40" w:line="300"/>
        <w:jc w:val="both"/>
      </w:pPr>
      <w:r>
        <w:rPr>
          <w:rFonts w:ascii="Cambria" w:cs="Cambria" w:eastAsia="Cambria" w:hAnsi="Cambria"/>
          <w:color w:val="000000"/>
          <w:sz w:val="24"/>
          <w:szCs w:val="24"/>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40" w:line="300"/>
        <w:jc w:val="both"/>
      </w:pPr>
      <w:r>
        <w:rPr>
          <w:rFonts w:ascii="Cambria" w:cs="Cambria" w:eastAsia="Cambria" w:hAnsi="Cambria"/>
          <w:color w:val="000000"/>
          <w:sz w:val="24"/>
          <w:szCs w:val="24"/>
        </w:rPr>
        <w:t xml:space="preserve">This design corresponds to the overall HALAH architecture, in which decentralised identifiers (DIDs) provide identity pointers, the consent object defines the authorisation conditions, cryptographic signatures provide evidence of approval, and the blockchain-based ledger provides lifecycle traceability.</w:t>
      </w:r>
    </w:p>
    <w:p>
      <w:pPr>
        <w:keepNext/>
        <w:spacing w:after="60" w:before="140"/>
        <w:jc w:val="center"/>
      </w:pPr>
      <w:r>
        <w:drawing>
          <wp:inline distT="0" distB="0" distL="0" distR="0">
            <wp:extent cx="5715000" cy="3257550"/>
            <wp:effectExtent t="0" r="0" b="0" l="0"/>
            <wp:docPr id="1" name="n_compile.png" descr="Figure 17: Compilation of ConsentSBTv3 in Remix: the compiler reports a successful compilation and the contract is selected for deployment." title="Figure 17: Compilation of ConsentSBTv3 in Remix: the compiler reports a successful compilation and the contract is selected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17: Compilation of ConsentSBTv3 in Remix: the compiler reports a successful compilation and the contract is selected for deployment.</w:t>
      </w:r>
    </w:p>
    <w:p>
      <w:pPr>
        <w:spacing w:after="140" w:line="300"/>
        <w:jc w:val="both"/>
      </w:pPr>
      <w:r>
        <w:rPr>
          <w:rFonts w:ascii="Cambria" w:cs="Cambria" w:eastAsia="Cambria" w:hAnsi="Cambria"/>
          <w:color w:val="000000"/>
          <w:sz w:val="24"/>
          <w:szCs w:val="24"/>
        </w:rPr>
        <w:t xml:space="preserve">As shown in the figure above, the consent token contract, </w:t>
      </w:r>
      <w:r>
        <w:rPr>
          <w:rFonts w:ascii="Cambria" w:cs="Cambria" w:eastAsia="Cambria" w:hAnsi="Cambria"/>
          <w:b/>
          <w:bCs/>
          <w:color w:val="000000"/>
          <w:sz w:val="24"/>
          <w:szCs w:val="24"/>
        </w:rPr>
        <w:t xml:space="preserve">ConsentSBTv3</w:t>
      </w:r>
      <w:r>
        <w:rPr>
          <w:rFonts w:ascii="Cambria" w:cs="Cambria" w:eastAsia="Cambria" w:hAnsi="Cambria"/>
          <w:color w:val="000000"/>
          <w:sz w:val="24"/>
          <w:szCs w:val="24"/>
        </w:rP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The purpose is stored only as a keccak256 hash, and no medical content is written to the chain; the plaintext purpose and the EMR data remain in the application.</w:t>
      </w:r>
    </w:p>
    <w:p>
      <w:pPr>
        <w:keepNext/>
        <w:spacing w:after="60" w:before="140"/>
        <w:jc w:val="center"/>
      </w:pPr>
      <w:r>
        <w:drawing>
          <wp:inline distT="0" distB="0" distL="0" distR="0">
            <wp:extent cx="5334000" cy="5124450"/>
            <wp:effectExtent t="0" r="0" b="0" l="0"/>
            <wp:docPr id="1" name="g_deploy.png" descr="Figure 18: Deployment of ConsentSBTv3 from Remix through MetaMask on the Sepolia network." title="Figure 18: Deployment of ConsentSBTv3 from Remix through MetaMask on the Sepoli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18: Deployment of ConsentSBTv3 from Remix through MetaMask on the Sepolia network.</w:t>
      </w:r>
    </w:p>
    <w:p>
      <w:pPr>
        <w:spacing w:after="140" w:line="300"/>
        <w:jc w:val="both"/>
      </w:pPr>
      <w:r>
        <w:rPr>
          <w:rFonts w:ascii="Cambria" w:cs="Cambria" w:eastAsia="Cambria" w:hAnsi="Cambria"/>
          <w:color w:val="000000"/>
          <w:sz w:val="24"/>
          <w:szCs w:val="24"/>
        </w:rP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40"/>
        <w:jc w:val="center"/>
      </w:pPr>
      <w:r>
        <w:drawing>
          <wp:inline distT="0" distB="0" distL="0" distR="0">
            <wp:extent cx="5524500" cy="4105275"/>
            <wp:effectExtent t="0" r="0" b="0" l="0"/>
            <wp:docPr id="1" name="n_verified.png" descr="Figure 19: Remix after deployment: the contract appears under Deployed Contracts and the source verification service reports Verification Successful." title="Figure 19: Remix after deployment: the contract appears under Deployed Contracts and the source verification service reports Verificatio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105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19: Remix after deployment: the contract appears under Deployed Contracts and the source verification service reports Verification Successful.</w:t>
      </w:r>
    </w:p>
    <w:p>
      <w:pPr>
        <w:spacing w:after="140" w:line="300"/>
        <w:jc w:val="both"/>
      </w:pPr>
      <w:r>
        <w:rPr>
          <w:rFonts w:ascii="Cambria" w:cs="Cambria" w:eastAsia="Cambria" w:hAnsi="Cambria"/>
          <w:color w:val="000000"/>
          <w:sz w:val="24"/>
          <w:szCs w:val="24"/>
        </w:rP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40"/>
        <w:jc w:val="center"/>
      </w:pPr>
      <w:r>
        <w:drawing>
          <wp:inline distT="0" distB="0" distL="0" distR="0">
            <wp:extent cx="5715000" cy="2486025"/>
            <wp:effectExtent t="0" r="0" b="0" l="0"/>
            <wp:docPr id="1" name="g_etherscan.png" descr="Figure 20: The deployed contract on Sepolia Etherscan, with the creator wallet, the MedicalConsent (CONSENT) token tracker and the first mint transaction." title="Figure 20: The deployed contract on Sepolia Etherscan, with the creator wallet, the MedicalConsent (CONSENT) token tracker and the first min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20: The deployed contract on Sepolia Etherscan, with the creator wallet, the MedicalConsent (CONSENT) token tracker and the first mint transaction.</w:t>
      </w:r>
    </w:p>
    <w:p>
      <w:pPr>
        <w:spacing w:after="140" w:line="300"/>
        <w:jc w:val="both"/>
      </w:pPr>
      <w:r>
        <w:rPr>
          <w:rFonts w:ascii="Cambria" w:cs="Cambria" w:eastAsia="Cambria" w:hAnsi="Cambria"/>
          <w:color w:val="000000"/>
          <w:sz w:val="24"/>
          <w:szCs w:val="24"/>
        </w:rPr>
        <w:t xml:space="preserve">As shown in the figure above, the deployed contract is publicly listed at 0x0EC3617581DEC63A7f2bb162DC14d088916ADc73 on Sepolia Etherscan, together with its creator wallet and the token tracker MedicalConsent (CONSENT). Consequently, the existence of the consent registry itself, and every activation or revocation recorded on it, can be inspected independently of the HALAH application.</w:t>
      </w:r>
    </w:p>
    <w:p>
      <w:pPr>
        <w:pStyle w:val="Heading3"/>
        <w:spacing w:after="160" w:before="280"/>
      </w:pPr>
      <w:r>
        <w:rPr>
          <w:color w:val="000000"/>
        </w:rPr>
        <w:t xml:space="preserve">6.8.2  Create Smart Consent Contract: Patient Subsystem</w:t>
      </w:r>
    </w:p>
    <w:p>
      <w:pPr>
        <w:spacing w:after="140" w:line="300"/>
        <w:jc w:val="both"/>
      </w:pPr>
      <w:r>
        <w:rPr>
          <w:rFonts w:ascii="Cambria" w:cs="Cambria" w:eastAsia="Cambria" w:hAnsi="Cambria"/>
          <w:color w:val="000000"/>
          <w:sz w:val="24"/>
          <w:szCs w:val="24"/>
        </w:rPr>
        <w:t xml:space="preserve">The first functional subsystem is the Create Smart Consent Contract module. This module represents the patient-side initiation of a consent transaction and corresponds directly to the construction of the proposed consent object.</w:t>
      </w:r>
    </w:p>
    <w:p>
      <w:pPr>
        <w:spacing w:after="140" w:line="300"/>
        <w:jc w:val="both"/>
      </w:pPr>
      <w:r>
        <w:rPr>
          <w:rFonts w:ascii="Cambria" w:cs="Cambria" w:eastAsia="Cambria" w:hAnsi="Cambria"/>
          <w:color w:val="000000"/>
          <w:sz w:val="24"/>
          <w:szCs w:val="24"/>
        </w:rP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color w:val="000000"/>
          <w:sz w:val="22"/>
          <w:szCs w:val="22"/>
        </w:rPr>
        <w:t xml:space="preserve">C = (I, A, P, T, L, E)</w:t>
      </w:r>
    </w:p>
    <w:p>
      <w:pPr>
        <w:spacing w:after="140" w:line="300"/>
        <w:jc w:val="both"/>
      </w:pPr>
      <w:r>
        <w:rPr>
          <w:rFonts w:ascii="Cambria" w:cs="Cambria" w:eastAsia="Cambria" w:hAnsi="Cambria"/>
          <w:color w:val="000000"/>
          <w:sz w:val="24"/>
          <w:szCs w:val="24"/>
        </w:rP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and the enforcement state records whether the consent is active or revoked.</w:t>
      </w:r>
    </w:p>
    <w:p>
      <w:pPr>
        <w:spacing w:after="140" w:line="300"/>
        <w:jc w:val="both"/>
      </w:pPr>
      <w:r>
        <w:rPr>
          <w:rFonts w:ascii="Cambria" w:cs="Cambria" w:eastAsia="Cambria" w:hAnsi="Cambria"/>
          <w:color w:val="000000"/>
          <w:sz w:val="24"/>
          <w:szCs w:val="24"/>
        </w:rPr>
        <w:t xml:space="preserve">The form fields therefore instantiate the consent object defined in Section 6.1. </w:t>
      </w:r>
      <w:r>
        <w:rPr>
          <w:rFonts w:ascii="Cambria" w:cs="Cambria" w:eastAsia="Cambria" w:hAnsi="Cambria"/>
          <w:color w:val="000000"/>
          <w:sz w:val="24"/>
          <w:szCs w:val="24"/>
        </w:rPr>
        <w:t xml:space="preserve">The demonstrated representation realises the six-component object C = (I, A, P, T, L, E) of Eq. (51) and Figure 11</w:t>
      </w:r>
      <w:r>
        <w:rPr>
          <w:rFonts w:ascii="Cambria" w:cs="Cambria" w:eastAsia="Cambria" w:hAnsi="Cambria"/>
          <w:color w:val="000000"/>
          <w:sz w:val="24"/>
          <w:szCs w:val="24"/>
        </w:rPr>
        <w:t xml:space="preserve">, in which the temporal validity window T, captured through the Start Time and Expiry Time fields, and the jurisdiction L are stored on-chain by the deployed ConsentSBTv3 contract and evaluated at every access decision.</w:t>
      </w:r>
    </w:p>
    <w:p>
      <w:pPr>
        <w:keepNext/>
        <w:spacing w:after="60" w:before="140"/>
        <w:jc w:val="center"/>
      </w:pPr>
      <w:r>
        <w:drawing>
          <wp:inline distT="0" distB="0" distL="0" distR="0">
            <wp:extent cx="5334000" cy="3943350"/>
            <wp:effectExtent t="0" r="0" b="0" l="0"/>
            <wp:docPr id="1" name="M1.png" descr="Figure 21: The patient subsystem after consent creation: four EMR modules, two designated guardians, jurisdiction AU, and the state PENDING_SIGNATURE." title="Figure 21: The patient subsystem after consent creation: four EMR modules, two designated guardians, jurisdiction AU, and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21: The patient subsystem after consent creation: four EMR modules, two designated guardians, jurisdiction AU, and the state PENDING_SIGNATURE.</w:t>
      </w:r>
    </w:p>
    <w:p>
      <w:pPr>
        <w:spacing w:after="140" w:line="300"/>
        <w:jc w:val="both"/>
      </w:pPr>
      <w:r>
        <w:rPr>
          <w:rFonts w:ascii="Cambria" w:cs="Cambria" w:eastAsia="Cambria" w:hAnsi="Cambria"/>
          <w:color w:val="000000"/>
          <w:sz w:val="24"/>
          <w:szCs w:val="24"/>
        </w:rP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40" w:line="300"/>
        <w:jc w:val="both"/>
      </w:pPr>
      <w:r>
        <w:rPr>
          <w:rFonts w:ascii="Cambria" w:cs="Cambria" w:eastAsia="Cambria" w:hAnsi="Cambria"/>
          <w:color w:val="000000"/>
          <w:sz w:val="24"/>
          <w:szCs w:val="24"/>
        </w:rP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40" w:line="300"/>
        <w:jc w:val="both"/>
      </w:pPr>
      <w:r>
        <w:rPr>
          <w:rFonts w:ascii="Cambria" w:cs="Cambria" w:eastAsia="Cambria" w:hAnsi="Cambria"/>
          <w:color w:val="000000"/>
          <w:sz w:val="24"/>
          <w:szCs w:val="24"/>
        </w:rP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40" w:line="300"/>
        <w:jc w:val="both"/>
      </w:pPr>
      <w:r>
        <w:rPr>
          <w:rFonts w:ascii="Cambria" w:cs="Cambria" w:eastAsia="Cambria" w:hAnsi="Cambria"/>
          <w:color w:val="000000"/>
          <w:sz w:val="24"/>
          <w:szCs w:val="24"/>
        </w:rP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40" w:line="300"/>
        <w:jc w:val="both"/>
      </w:pPr>
      <w:r>
        <w:rPr>
          <w:rFonts w:ascii="Cambria" w:cs="Cambria" w:eastAsia="Cambria" w:hAnsi="Cambria"/>
          <w:color w:val="000000"/>
          <w:sz w:val="24"/>
          <w:szCs w:val="24"/>
        </w:rPr>
        <w:t xml:space="preserve">Two consent lifecycles appear in the demonstration and should be distinguished. The evaluated consent, f050c29a, was carried through the complete lifecycle — activation as </w:t>
      </w:r>
      <w:r>
        <w:rPr>
          <w:rFonts w:ascii="Cambria" w:cs="Cambria" w:eastAsia="Cambria" w:hAnsi="Cambria"/>
          <w:b/>
          <w:bCs/>
          <w:color w:val="000000"/>
          <w:sz w:val="24"/>
          <w:szCs w:val="24"/>
        </w:rPr>
        <w:t xml:space="preserve">token #1</w:t>
      </w:r>
      <w:r>
        <w:rPr>
          <w:rFonts w:ascii="Cambria" w:cs="Cambria" w:eastAsia="Cambria" w:hAnsi="Cambria"/>
          <w:color w:val="000000"/>
          <w:sz w:val="24"/>
          <w:szCs w:val="24"/>
        </w:rPr>
        <w:t xml:space="preserve">, granted access, refused access and final revocation — and all transaction evidence in this chapter follows it. Because a revoked consent cannot be photographed in its earlier states, the screenshots of consent creation, guardian approval and granted access were captured from a second lifecycle with the same configuration — the same four-module scope, the same guardians, jurisdiction, purpose and doctor — executed for a different demonstration patient (consent 04da25f5, anchored as </w:t>
      </w:r>
      <w:r>
        <w:rPr>
          <w:rFonts w:ascii="Cambria" w:cs="Cambria" w:eastAsia="Cambria" w:hAnsi="Cambria"/>
          <w:b/>
          <w:bCs/>
          <w:color w:val="000000"/>
          <w:sz w:val="24"/>
          <w:szCs w:val="24"/>
        </w:rPr>
        <w:t xml:space="preserve">token #2</w:t>
      </w:r>
      <w:r>
        <w:rPr>
          <w:rFonts w:ascii="Cambria" w:cs="Cambria" w:eastAsia="Cambria" w:hAnsi="Cambria"/>
          <w:color w:val="000000"/>
          <w:sz w:val="24"/>
          <w:szCs w:val="24"/>
        </w:rPr>
        <w:t xml:space="preserve"> in block 11,771,581). The two lifecycles were executed with the same code and the same contract.</w:t>
      </w:r>
    </w:p>
    <w:p>
      <w:pPr>
        <w:spacing w:after="140" w:line="300"/>
        <w:jc w:val="both"/>
      </w:pPr>
      <w:r>
        <w:rPr>
          <w:rFonts w:ascii="Cambria" w:cs="Cambria" w:eastAsia="Cambria" w:hAnsi="Cambria"/>
          <w:color w:val="000000"/>
          <w:sz w:val="24"/>
          <w:szCs w:val="24"/>
        </w:rPr>
        <w:t xml:space="preserve">From a system perspective, this module therefore corresponds primarily to </w:t>
      </w:r>
      <w:r>
        <w:rPr>
          <w:rFonts w:ascii="Cambria" w:cs="Cambria" w:eastAsia="Cambria" w:hAnsi="Cambria"/>
          <w:b/>
          <w:bCs/>
          <w:color w:val="000000"/>
          <w:sz w:val="24"/>
          <w:szCs w:val="24"/>
        </w:rPr>
        <w:t xml:space="preserve">Consent Object Construction and Patient Initiation</w:t>
      </w:r>
      <w:r>
        <w:rPr>
          <w:rFonts w:ascii="Cambria" w:cs="Cambria" w:eastAsia="Cambria" w:hAnsi="Cambria"/>
          <w:color w:val="000000"/>
          <w:sz w:val="24"/>
          <w:szCs w:val="24"/>
        </w:rPr>
        <w:t xml:space="preserve">.</w:t>
      </w:r>
    </w:p>
    <w:p>
      <w:pPr>
        <w:pStyle w:val="Heading3"/>
        <w:spacing w:after="160" w:before="280"/>
      </w:pPr>
      <w:r>
        <w:rPr>
          <w:color w:val="000000"/>
        </w:rPr>
        <w:t xml:space="preserve">6.8.3  Guardian Cryptographic Approval</w:t>
      </w:r>
    </w:p>
    <w:p>
      <w:pPr>
        <w:spacing w:after="140" w:line="300"/>
        <w:jc w:val="both"/>
      </w:pPr>
      <w:r>
        <w:rPr>
          <w:rFonts w:ascii="Cambria" w:cs="Cambria" w:eastAsia="Cambria" w:hAnsi="Cambria"/>
          <w:color w:val="000000"/>
          <w:sz w:val="24"/>
          <w:szCs w:val="24"/>
        </w:rPr>
        <w:t xml:space="preserve">The second part is the Guardian Cryptographic Approval. As shown in the figure below, it operationalises the multi-party authorisation component of the proposed framework.</w:t>
      </w:r>
    </w:p>
    <w:p>
      <w:pPr>
        <w:keepNext/>
        <w:spacing w:after="60" w:before="140"/>
        <w:jc w:val="center"/>
      </w:pPr>
      <w:r>
        <w:drawing>
          <wp:inline distT="0" distB="0" distL="0" distR="0">
            <wp:extent cx="5334000" cy="1914525"/>
            <wp:effectExtent t="0" r="0" b="0" l="0"/>
            <wp:docPr id="1" name="n_guardA.png" descr="Figure 22: The guardian subsystem at the first approval: the EIP-712 signature of did:parent:A is verified and the multi-signature count is 1/2." title="Figure 22: The guardian subsystem at the first approval: the EIP-712 signature of did:parent:A is verified and the multi-signature count 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22: The guardian subsystem at the first approval: the EIP-712 signature of did:parent:A is verified and the multi-signature count is 1/2.</w:t>
      </w:r>
    </w:p>
    <w:p>
      <w:pPr>
        <w:spacing w:after="140" w:line="300"/>
        <w:jc w:val="both"/>
      </w:pPr>
      <w:r>
        <w:rPr>
          <w:rFonts w:ascii="Cambria" w:cs="Cambria" w:eastAsia="Cambria" w:hAnsi="Cambria"/>
          <w:color w:val="000000"/>
          <w:sz w:val="24"/>
          <w:szCs w:val="24"/>
        </w:rP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40"/>
        <w:jc w:val="center"/>
      </w:pPr>
      <w:r>
        <w:drawing>
          <wp:inline distT="0" distB="0" distL="0" distR="0">
            <wp:extent cx="5334000" cy="3133725"/>
            <wp:effectExtent t="0" r="0" b="0" l="0"/>
            <wp:docPr id="1" name="M2.png" descr="Figure 23: The guardian subsystem at the moment of the second approval: the EIP-712 signature is verified, the 2/2 threshold is reached, the SBT is minted in the local ledger and the Sepolia anchoring starts in the background." title="Figure 23: The guardian subsystem at the moment of the second approval: the EIP-712 signature is verified, the 2/2 threshold is reached, the SBT is minted in the local ledger and the Sepolia anchoring star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23: The guardian subsystem at the moment of the second approval: the EIP-712 signature is verified, the 2/2 threshold is reached, the SBT is minted in the local ledger and the Sepolia anchoring starts in the background.</w:t>
      </w:r>
    </w:p>
    <w:p>
      <w:pPr>
        <w:spacing w:after="140" w:line="300"/>
        <w:jc w:val="both"/>
      </w:pPr>
      <w:r>
        <w:rPr>
          <w:rFonts w:ascii="Cambria" w:cs="Cambria" w:eastAsia="Cambria" w:hAnsi="Cambria"/>
          <w:color w:val="000000"/>
          <w:sz w:val="24"/>
          <w:szCs w:val="24"/>
        </w:rP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40" w:line="300"/>
        <w:jc w:val="both"/>
      </w:pPr>
      <w:r>
        <w:rPr>
          <w:rFonts w:ascii="Cambria" w:cs="Cambria" w:eastAsia="Cambria" w:hAnsi="Cambria"/>
          <w:color w:val="000000"/>
          <w:sz w:val="24"/>
          <w:szCs w:val="24"/>
        </w:rPr>
        <w:t xml:space="preserve">Each approval is evaluated by the procedure formalised in Algorithm 3.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of Eq. (54).</w:t>
      </w:r>
    </w:p>
    <w:p>
      <w:pPr>
        <w:spacing w:after="140" w:line="300"/>
        <w:jc w:val="both"/>
      </w:pPr>
      <w:r>
        <w:rPr>
          <w:rFonts w:ascii="Cambria" w:cs="Cambria" w:eastAsia="Cambria" w:hAnsi="Cambria"/>
          <w:color w:val="000000"/>
          <w:sz w:val="24"/>
          <w:szCs w:val="24"/>
        </w:rPr>
        <w:t xml:space="preserve">The subsystem subsequently reports:</w:t>
      </w:r>
    </w:p>
    <w:p>
      <w:pPr>
        <w:spacing w:after="140" w:line="300"/>
        <w:jc w:val="both"/>
      </w:pPr>
      <w:r>
        <w:rPr>
          <w:rFonts w:ascii="Cambria" w:cs="Cambria" w:eastAsia="Cambria" w:hAnsi="Cambria"/>
          <w:color w:val="000000"/>
          <w:sz w:val="24"/>
          <w:szCs w:val="24"/>
        </w:rPr>
        <w:t xml:space="preserve">EIP-712 signature verified (signer 0x39B12b87…). Multi-sig: 2/2</w:t>
      </w:r>
    </w:p>
    <w:p>
      <w:pPr>
        <w:spacing w:after="140" w:line="300"/>
        <w:jc w:val="both"/>
      </w:pPr>
      <w:r>
        <w:rPr>
          <w:rFonts w:ascii="Cambria" w:cs="Cambria" w:eastAsia="Cambria" w:hAnsi="Cambria"/>
          <w:color w:val="000000"/>
          <w:sz w:val="24"/>
          <w:szCs w:val="24"/>
        </w:rPr>
        <w:t xml:space="preserve">This is an important implementation-level demonstration because the consent is not activated merely because the patient created it. Instead, the system requires the predefined guardian approval condition to be satisfied. The implementation therefore enforces the logical authorisation rule:</w:t>
      </w:r>
    </w:p>
    <w:p>
      <w:pPr>
        <w:spacing w:after="160" w:before="60"/>
        <w:jc w:val="center"/>
      </w:pPr>
      <w:r>
        <w:rPr>
          <w:rFonts w:ascii="Cambria Math" w:cs="Cambria Math" w:eastAsia="Cambria Math" w:hAnsi="Cambria Math"/>
          <w:i/>
          <w:iCs/>
          <w:color w:val="000000"/>
          <w:sz w:val="22"/>
          <w:szCs w:val="22"/>
        </w:rPr>
        <w:t xml:space="preserve">ALLOW = VI ∧ VA ∧ VP ∧ VT ∧ VL</w:t>
      </w:r>
    </w:p>
    <w:p>
      <w:pPr>
        <w:spacing w:after="140" w:line="300"/>
        <w:jc w:val="both"/>
      </w:pPr>
      <w:r>
        <w:rPr>
          <w:rFonts w:ascii="Cambria" w:cs="Cambria" w:eastAsia="Cambria" w:hAnsi="Cambria"/>
          <w:color w:val="000000"/>
          <w:sz w:val="24"/>
          <w:szCs w:val="24"/>
        </w:rP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color w:val="000000"/>
          <w:sz w:val="22"/>
          <w:szCs w:val="22"/>
        </w:rPr>
        <w:t xml:space="preserve">Σ g∈G  Sign(g, C)  ≥  |G| = 2</w:t>
      </w:r>
    </w:p>
    <w:p>
      <w:pPr>
        <w:spacing w:after="140" w:line="300"/>
        <w:jc w:val="both"/>
      </w:pPr>
      <w:r>
        <w:rPr>
          <w:rFonts w:ascii="Cambria" w:cs="Cambria" w:eastAsia="Cambria" w:hAnsi="Cambria"/>
          <w:color w:val="000000"/>
          <w:sz w:val="24"/>
          <w:szCs w:val="24"/>
        </w:rP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40"/>
        <w:jc w:val="center"/>
      </w:pPr>
      <w:r>
        <w:drawing>
          <wp:inline distT="0" distB="0" distL="0" distR="0">
            <wp:extent cx="5334000" cy="2657475"/>
            <wp:effectExtent t="0" r="0" b="0" l="0"/>
            <wp:docPr id="1" name="n_anchoring.png" descr="Figure 24: The guardian subsystem while the mint transaction is pending: the 2/2 threshold is reached but not yet anchored, the anchoring runs in the background, and a repeated signature from the same guardian is refused." title="Figure 24: The guardian subsystem while the mint transaction is pending: the 2/2 threshold is reached but not yet anchored, the anchoring runs in the background, and a repeated signature from the same guardia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24: The guardian subsystem while the mint transaction is pending: the 2/2 threshold is reached but not yet anchored, the anchoring runs in the background, and a repeated signature from the same guardian is refused.</w:t>
      </w:r>
    </w:p>
    <w:p>
      <w:pPr>
        <w:spacing w:after="140" w:line="300"/>
        <w:jc w:val="both"/>
      </w:pPr>
      <w:r>
        <w:rPr>
          <w:rFonts w:ascii="Cambria" w:cs="Cambria" w:eastAsia="Cambria" w:hAnsi="Cambria"/>
          <w:color w:val="000000"/>
          <w:sz w:val="24"/>
          <w:szCs w:val="24"/>
        </w:rP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40"/>
        <w:jc w:val="center"/>
      </w:pPr>
      <w:r>
        <w:drawing>
          <wp:inline distT="0" distB="0" distL="0" distR="0">
            <wp:extent cx="5143500" cy="1828800"/>
            <wp:effectExtent t="0" r="0" b="0" l="0"/>
            <wp:docPr id="1" name="M2b.png" descr="Figure 25: The guardian subsystem revisited after the background job has completed: 'Already anchored on Sepolia - token #2'." title="Figure 25: The guardian subsystem revisited after the background job has completed: 'Already anchored on Sepolia - tok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828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25: The guardian subsystem revisited after the background job has completed: 'Already anchored on Sepolia - token #2'.</w:t>
      </w:r>
    </w:p>
    <w:p>
      <w:pPr>
        <w:spacing w:after="140" w:line="300"/>
        <w:jc w:val="both"/>
      </w:pPr>
      <w:r>
        <w:rPr>
          <w:rFonts w:ascii="Cambria" w:cs="Cambria" w:eastAsia="Cambria" w:hAnsi="Cambria"/>
          <w:color w:val="000000"/>
          <w:sz w:val="24"/>
          <w:szCs w:val="24"/>
        </w:rP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40"/>
        <w:jc w:val="center"/>
      </w:pPr>
      <w:r>
        <w:drawing>
          <wp:inline distT="0" distB="0" distL="0" distR="0">
            <wp:extent cx="5715000" cy="4181475"/>
            <wp:effectExtent t="0" r="0" b="0" l="0"/>
            <wp:docPr id="1" name="M3.png" descr="Figure 26: The anchoring transaction of the evaluated consent on Sepolia Etherscan: status Success, block 11,771,243, 'Mint 1 of MedicalConsent' to the pseudonymous patient address (function selector 0x1e1e7c76, mintConsentV3)." title="Figure 26: The anchoring transaction of the evaluated consent on Sepolia Etherscan: status Success, block 11,771,243, 'Mint 1 of MedicalConsent' to the pseudonymous patient address (function selector 0x1e1e7c76, mintConsent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26: The anchoring transaction of the evaluated consent on Sepolia Etherscan: status Success, block 11,771,243, 'Mint 1 of MedicalConsent' to the pseudonymous patient address (function selector 0x1e1e7c76, mintConsentV3).</w:t>
      </w:r>
    </w:p>
    <w:p>
      <w:pPr>
        <w:spacing w:after="140" w:line="300"/>
        <w:jc w:val="both"/>
      </w:pPr>
      <w:r>
        <w:rPr>
          <w:rFonts w:ascii="Cambria" w:cs="Cambria" w:eastAsia="Cambria" w:hAnsi="Cambria"/>
          <w:color w:val="000000"/>
          <w:sz w:val="24"/>
          <w:szCs w:val="24"/>
        </w:rP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on Sepolia Etherscan (mint transaction 0x8be1b99e…daf13d, listed in the verification links of Section 6.8.12). This provides an implementation-level demonstration that consent activation can be verified independently of the application.</w:t>
      </w:r>
    </w:p>
    <w:p>
      <w:pPr>
        <w:spacing w:after="140" w:line="300"/>
        <w:jc w:val="both"/>
      </w:pPr>
      <w:r>
        <w:rPr>
          <w:rFonts w:ascii="Cambria" w:cs="Cambria" w:eastAsia="Cambria" w:hAnsi="Cambria"/>
          <w:color w:val="000000"/>
          <w:sz w:val="24"/>
          <w:szCs w:val="24"/>
        </w:rPr>
        <w:t xml:space="preserve">The guardian subsystem consequently corresponds to </w:t>
      </w:r>
      <w:r>
        <w:rPr>
          <w:rFonts w:ascii="Cambria" w:cs="Cambria" w:eastAsia="Cambria" w:hAnsi="Cambria"/>
          <w:b/>
          <w:bCs/>
          <w:color w:val="000000"/>
          <w:sz w:val="24"/>
          <w:szCs w:val="24"/>
        </w:rPr>
        <w:t xml:space="preserve">Multi-Party Approval, Cryptographic Verification and Consent Activation</w:t>
      </w:r>
      <w:r>
        <w:rPr>
          <w:rFonts w:ascii="Cambria" w:cs="Cambria" w:eastAsia="Cambria" w:hAnsi="Cambria"/>
          <w:color w:val="000000"/>
          <w:sz w:val="24"/>
          <w:szCs w:val="24"/>
        </w:rPr>
        <w:t xml:space="preserve"> in the proposed architecture.</w:t>
      </w:r>
    </w:p>
    <w:p>
      <w:pPr>
        <w:pStyle w:val="Heading3"/>
        <w:spacing w:after="160" w:before="280"/>
      </w:pPr>
      <w:r>
        <w:rPr>
          <w:color w:val="000000"/>
        </w:rPr>
        <w:t xml:space="preserve">6.8.4  Secure Patient Data Access for the Doctor</w:t>
      </w:r>
    </w:p>
    <w:p>
      <w:pPr>
        <w:spacing w:after="140" w:line="300"/>
        <w:jc w:val="both"/>
      </w:pPr>
      <w:r>
        <w:rPr>
          <w:rFonts w:ascii="Cambria" w:cs="Cambria" w:eastAsia="Cambria" w:hAnsi="Cambria"/>
          <w:color w:val="000000"/>
          <w:sz w:val="24"/>
          <w:szCs w:val="24"/>
        </w:rPr>
        <w:t xml:space="preserve">The third module is the Secure Patient Data Access module and represents the healthcare-provider side of the authorisation process.</w:t>
      </w:r>
    </w:p>
    <w:p>
      <w:pPr>
        <w:spacing w:after="140" w:line="300"/>
        <w:jc w:val="both"/>
      </w:pPr>
      <w:r>
        <w:rPr>
          <w:rFonts w:ascii="Cambria" w:cs="Cambria" w:eastAsia="Cambria" w:hAnsi="Cambria"/>
          <w:color w:val="000000"/>
          <w:sz w:val="24"/>
          <w:szCs w:val="24"/>
        </w:rP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color w:val="000000"/>
          <w:sz w:val="22"/>
          <w:szCs w:val="22"/>
        </w:rPr>
        <w:t xml:space="preserve">State = ACTIVE</w:t>
      </w:r>
    </w:p>
    <w:p>
      <w:pPr>
        <w:spacing w:after="140" w:line="300"/>
        <w:jc w:val="both"/>
      </w:pPr>
      <w:r>
        <w:rPr>
          <w:rFonts w:ascii="Cambria" w:cs="Cambria" w:eastAsia="Cambria" w:hAnsi="Cambria"/>
          <w:color w:val="000000"/>
          <w:sz w:val="24"/>
          <w:szCs w:val="24"/>
        </w:rP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40"/>
        <w:jc w:val="center"/>
      </w:pPr>
      <w:r>
        <w:drawing>
          <wp:inline distT="0" distB="0" distL="0" distR="0">
            <wp:extent cx="5334000" cy="4200525"/>
            <wp:effectExtent t="0" r="0" b="0" l="0"/>
            <wp:docPr id="1" name="g_doc_au.png" descr="Figure 27: The doctor subsystem with requester jurisdiction AU (the evaluated consent f050c29a, captured before its revocation): all five checks report PASS, ALLOW = PASS, and the consent state is ACTIVE." title="Figure 27: The doctor subsystem with requester jurisdiction AU (the evaluated consent f050c29a, captured before its revocation): all five checks report PASS, ALLOW = PASS, and the consent state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27: The doctor subsystem with requester jurisdiction AU (the evaluated consent f050c29a, captured before its revocation): all five checks report PASS, ALLOW = PASS, and the consent state is ACTIVE.</w:t>
      </w:r>
    </w:p>
    <w:p>
      <w:pPr>
        <w:spacing w:after="140" w:line="300"/>
        <w:jc w:val="both"/>
      </w:pPr>
      <w:r>
        <w:rPr>
          <w:rFonts w:ascii="Cambria" w:cs="Cambria" w:eastAsia="Cambria" w:hAnsi="Cambria"/>
          <w:color w:val="000000"/>
          <w:sz w:val="24"/>
          <w:szCs w:val="24"/>
        </w:rP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before="60"/>
        <w:jc w:val="center"/>
      </w:pPr>
      <w:r>
        <w:rPr>
          <w:rFonts w:ascii="Cambria Math" w:cs="Cambria Math" w:eastAsia="Cambria Math" w:hAnsi="Cambria Math"/>
          <w:i/>
          <w:iCs/>
          <w:color w:val="000000"/>
          <w:sz w:val="22"/>
          <w:szCs w:val="22"/>
        </w:rPr>
        <w:t xml:space="preserve">Scope = { Observation, Medication, Condition, Procedure }</w:t>
      </w:r>
    </w:p>
    <w:p>
      <w:pPr>
        <w:spacing w:after="140" w:line="300"/>
        <w:jc w:val="both"/>
      </w:pPr>
      <w:r>
        <w:rPr>
          <w:rFonts w:ascii="Cambria" w:cs="Cambria" w:eastAsia="Cambria" w:hAnsi="Cambria"/>
          <w:color w:val="000000"/>
          <w:sz w:val="24"/>
          <w:szCs w:val="24"/>
        </w:rPr>
        <w:t xml:space="preserve">The five columns of the decision matrix are the operational form of the decision rule Decision(C, R) = ALLOW ⟺ VI(u) ∧ VA(C) ∧ VP(C, R) ∧ VT(C, t) ∧ VL(C), which extends the three-predicate rule of Eq. (59) with the temporal and jurisdictional verdicts. The jurisdiction predicate is satisfied if and only if the requester's declared jurisdiction equals the jurisdiction recorded in the consent, which the jurisdiction-violation demonstration below confirms empirically.</w:t>
      </w:r>
    </w:p>
    <w:p>
      <w:pPr>
        <w:keepNext/>
        <w:spacing w:after="60" w:before="140"/>
        <w:jc w:val="center"/>
      </w:pPr>
      <w:r>
        <w:drawing>
          <wp:inline distT="0" distB="0" distL="0" distR="0">
            <wp:extent cx="3429000" cy="4848225"/>
            <wp:effectExtent t="0" r="0" b="0" l="0"/>
            <wp:docPr id="1" name="predicate_flow.png" descr="Figure 28: Trust Predicate Evaluation and Authorisation Decision Flow, as enforced by the implemented Consent Engine." title="Figure 28: Trust Predicate Evaluation and Authorisation Decision Flow,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4848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28: Trust Predicate Evaluation and Authorisation Decision Flow, as enforced by the implemented Consent Engine.</w:t>
      </w:r>
    </w:p>
    <w:p>
      <w:pPr>
        <w:spacing w:after="140" w:line="300"/>
        <w:jc w:val="both"/>
      </w:pPr>
      <w:r>
        <w:rPr>
          <w:rFonts w:ascii="Cambria" w:cs="Cambria" w:eastAsia="Cambria" w:hAnsi="Cambria"/>
          <w:color w:val="000000"/>
          <w:sz w:val="24"/>
          <w:szCs w:val="24"/>
        </w:rP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(see the limitations discussed at the end of this section). The audit ledger records the proof mode (groth16) with every access granted in the demonstrated lifecycles, and the subsystem then shows the message Cryptographic Verification Successful — Access Granted.</w:t>
      </w:r>
    </w:p>
    <w:p>
      <w:pPr>
        <w:keepNext/>
        <w:spacing w:after="60" w:before="140"/>
        <w:jc w:val="center"/>
      </w:pPr>
      <w:r>
        <w:drawing>
          <wp:inline distT="0" distB="0" distL="0" distR="0">
            <wp:extent cx="5334000" cy="6229350"/>
            <wp:effectExtent t="0" r="0" b="0" l="0"/>
            <wp:docPr id="1" name="M4.png" descr="Figure 29: The doctor subsystem after verification (the photographed lifecycle 04da25f5 introduced earlier): access granted and the authorised medical records displayed per EMR module; the Observation module's Download CSV control is visible." title="Figure 29: The doctor subsystem after verification (the photographed lifecycle 04da25f5 introduced earlier): access granted and the authorised medical records displayed per EMR module; the Observation module's Download CSV control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229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29: The doctor subsystem after verification (the photographed lifecycle 04da25f5 introduced earlier): access granted and the authorised medical records displayed per EMR module; the Observation module's Download CSV control is visible.</w:t>
      </w:r>
    </w:p>
    <w:p>
      <w:pPr>
        <w:keepNext/>
        <w:spacing w:after="60" w:before="140"/>
        <w:jc w:val="center"/>
      </w:pPr>
      <w:r>
        <w:drawing>
          <wp:inline distT="0" distB="0" distL="0" distR="0">
            <wp:extent cx="5143500" cy="4314825"/>
            <wp:effectExtent t="0" r="0" b="0" l="0"/>
            <wp:docPr id="1" name="M4b.png" descr="Figure 30: The remaining authorised modules of the same request: the Condition and Procedure records, with the Condition module's export control visible." title="Figure 30: The remaining authorised modules of the same request: the Condition and Procedure records, with the Condition module's export contro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43148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30: The remaining authorised modules of the same request: the Condition and Procedure records, with the Condition module's export control visible.</w:t>
      </w:r>
    </w:p>
    <w:p>
      <w:pPr>
        <w:spacing w:after="140" w:line="300"/>
        <w:jc w:val="both"/>
      </w:pPr>
      <w:r>
        <w:rPr>
          <w:rFonts w:ascii="Cambria" w:cs="Cambria" w:eastAsia="Cambria" w:hAnsi="Cambria"/>
          <w:color w:val="000000"/>
          <w:sz w:val="24"/>
          <w:szCs w:val="24"/>
        </w:rP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color w:val="000000"/>
          <w:sz w:val="22"/>
          <w:szCs w:val="22"/>
        </w:rPr>
        <w:t xml:space="preserve">Consent → Verification → AccessDecision</w:t>
      </w:r>
    </w:p>
    <w:p>
      <w:pPr>
        <w:spacing w:after="140" w:line="300"/>
        <w:jc w:val="both"/>
      </w:pPr>
      <w:r>
        <w:rPr>
          <w:rFonts w:ascii="Cambria" w:cs="Cambria" w:eastAsia="Cambria" w:hAnsi="Cambria"/>
          <w:color w:val="000000"/>
          <w:sz w:val="24"/>
          <w:szCs w:val="24"/>
        </w:rP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40" w:line="300"/>
        <w:jc w:val="both"/>
      </w:pPr>
      <w:r>
        <w:rPr>
          <w:rFonts w:ascii="Cambria" w:cs="Cambria" w:eastAsia="Cambria" w:hAnsi="Cambria"/>
          <w:color w:val="000000"/>
          <w:sz w:val="24"/>
          <w:szCs w:val="24"/>
        </w:rPr>
        <w:t xml:space="preserve">Thus, the doctor subsystem corresponds to </w:t>
      </w:r>
      <w:r>
        <w:rPr>
          <w:rFonts w:ascii="Cambria" w:cs="Cambria" w:eastAsia="Cambria" w:hAnsi="Cambria"/>
          <w:b/>
          <w:bCs/>
          <w:color w:val="000000"/>
          <w:sz w:val="24"/>
          <w:szCs w:val="24"/>
        </w:rPr>
        <w:t xml:space="preserve">Consent-State Validation, Scope Enforcement and Authorised Data Access</w:t>
      </w:r>
      <w:r>
        <w:rPr>
          <w:rFonts w:ascii="Cambria" w:cs="Cambria" w:eastAsia="Cambria" w:hAnsi="Cambria"/>
          <w:color w:val="000000"/>
          <w:sz w:val="24"/>
          <w:szCs w:val="24"/>
        </w:rPr>
        <w:t xml:space="preserve">.</w:t>
      </w:r>
    </w:p>
    <w:p>
      <w:pPr>
        <w:pStyle w:val="Heading3"/>
        <w:spacing w:after="160" w:before="280"/>
      </w:pPr>
      <w:r>
        <w:rPr>
          <w:color w:val="000000"/>
        </w:rPr>
        <w:t xml:space="preserve">6.8.5  Negative Demonstration: Jurisdiction Violation</w:t>
      </w:r>
    </w:p>
    <w:p>
      <w:pPr>
        <w:spacing w:after="140" w:line="300"/>
        <w:jc w:val="both"/>
      </w:pPr>
      <w:r>
        <w:rPr>
          <w:rFonts w:ascii="Cambria" w:cs="Cambria" w:eastAsia="Cambria" w:hAnsi="Cambria"/>
          <w:color w:val="000000"/>
          <w:sz w:val="24"/>
          <w:szCs w:val="24"/>
        </w:rP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40"/>
        <w:jc w:val="center"/>
      </w:pPr>
      <w:r>
        <w:drawing>
          <wp:inline distT="0" distB="0" distL="0" distR="0">
            <wp:extent cx="5334000" cy="4200525"/>
            <wp:effectExtent t="0" r="0" b="0" l="0"/>
            <wp:docPr id="1" name="g_doc_sa.png" descr="Figure 31: The doctor subsystem with requester jurisdiction SA: VL reports FAIL and consequently ALLOW = FAIL, although the consent state remains ACTIVE." title="Figure 31: The doctor subsystem with requester jurisdiction SA: VL reports FAIL and consequently ALLOW = FAIL, although the consent state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31: The doctor subsystem with requester jurisdiction SA: VL reports FAIL and consequently ALLOW = FAIL, although the consent state remains ACTIVE.</w:t>
      </w:r>
    </w:p>
    <w:p>
      <w:pPr>
        <w:spacing w:after="140" w:line="300"/>
        <w:jc w:val="both"/>
      </w:pPr>
      <w:r>
        <w:rPr>
          <w:rFonts w:ascii="Cambria" w:cs="Cambria" w:eastAsia="Cambria" w:hAnsi="Cambria"/>
          <w:color w:val="000000"/>
          <w:sz w:val="24"/>
          <w:szCs w:val="24"/>
        </w:rP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40"/>
        <w:jc w:val="center"/>
      </w:pPr>
      <w:r>
        <w:drawing>
          <wp:inline distT="0" distB="0" distL="0" distR="0">
            <wp:extent cx="5334000" cy="2638425"/>
            <wp:effectExtent t="0" r="0" b="0" l="0"/>
            <wp:docPr id="1" name="g_denied.png" descr="Figure 32: The refused request: 'Security Exception: Access Denied by ZK-Policy. Failed checks: VL'." title="Figure 32: The refused request: 'Security Exception: Access Denied by ZK-Policy. Failed checks: 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32: The refused request: 'Security Exception: Access Denied by ZK-Policy. Failed checks: VL'.</w:t>
      </w:r>
    </w:p>
    <w:p>
      <w:pPr>
        <w:spacing w:after="140" w:line="300"/>
        <w:jc w:val="both"/>
      </w:pPr>
      <w:r>
        <w:rPr>
          <w:rFonts w:ascii="Cambria" w:cs="Cambria" w:eastAsia="Cambria" w:hAnsi="Cambria"/>
          <w:color w:val="000000"/>
          <w:sz w:val="24"/>
          <w:szCs w:val="24"/>
        </w:rP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40" w:line="300"/>
        <w:jc w:val="both"/>
      </w:pPr>
      <w:r>
        <w:rPr>
          <w:rFonts w:ascii="Cambria" w:cs="Cambria" w:eastAsia="Cambria" w:hAnsi="Cambria"/>
          <w:color w:val="000000"/>
          <w:sz w:val="24"/>
          <w:szCs w:val="24"/>
        </w:rPr>
        <w:t xml:space="preserve">This demonstration corresponds to </w:t>
      </w:r>
      <w:r>
        <w:rPr>
          <w:rFonts w:ascii="Cambria" w:cs="Cambria" w:eastAsia="Cambria" w:hAnsi="Cambria"/>
          <w:b/>
          <w:bCs/>
          <w:color w:val="000000"/>
          <w:sz w:val="24"/>
          <w:szCs w:val="24"/>
        </w:rPr>
        <w:t xml:space="preserve">Jurisdictional Constraint Enforcement and Fail-Closed Access Control</w:t>
      </w:r>
      <w:r>
        <w:rPr>
          <w:rFonts w:ascii="Cambria" w:cs="Cambria" w:eastAsia="Cambria" w:hAnsi="Cambria"/>
          <w:color w:val="000000"/>
          <w:sz w:val="24"/>
          <w:szCs w:val="24"/>
        </w:rPr>
        <w:t xml:space="preserve">.</w:t>
      </w:r>
    </w:p>
    <w:p>
      <w:pPr>
        <w:pStyle w:val="Heading3"/>
        <w:spacing w:after="160" w:before="280"/>
      </w:pPr>
      <w:r>
        <w:rPr>
          <w:color w:val="000000"/>
        </w:rPr>
        <w:t xml:space="preserve">6.8.6  Consent Revocation</w:t>
      </w:r>
    </w:p>
    <w:p>
      <w:pPr>
        <w:spacing w:after="140" w:line="300"/>
        <w:jc w:val="both"/>
      </w:pPr>
      <w:r>
        <w:rPr>
          <w:rFonts w:ascii="Cambria" w:cs="Cambria" w:eastAsia="Cambria" w:hAnsi="Cambria"/>
          <w:color w:val="000000"/>
          <w:sz w:val="24"/>
          <w:szCs w:val="24"/>
        </w:rPr>
        <w:t xml:space="preserve">The fifth module is the Consent Revocation module. This module operationalises the enforcement component of the consent object, which requires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40"/>
        <w:jc w:val="center"/>
      </w:pPr>
      <w:r>
        <w:drawing>
          <wp:inline distT="0" distB="0" distL="0" distR="0">
            <wp:extent cx="5143500" cy="3714750"/>
            <wp:effectExtent t="0" r="0" b="0" l="0"/>
            <wp:docPr id="1" name="g_revoking.png" descr="Figure 33: The patient subsystem during revocation: 'Revoking on Sepolia - waiting for block confirmation…'." title="Figure 33: The patient subsystem during revocation: 'Revoking on Sepolia - waiting for block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33: The patient subsystem during revocation: 'Revoking on Sepolia - waiting for block confirmation…'.</w:t>
      </w:r>
    </w:p>
    <w:p>
      <w:pPr>
        <w:spacing w:after="140" w:line="300"/>
        <w:jc w:val="both"/>
      </w:pPr>
      <w:r>
        <w:rPr>
          <w:rFonts w:ascii="Cambria" w:cs="Cambria" w:eastAsia="Cambria" w:hAnsi="Cambria"/>
          <w:color w:val="000000"/>
          <w:sz w:val="24"/>
          <w:szCs w:val="24"/>
        </w:rPr>
        <w:t xml:space="preserve">As shown in the figure above, the withdrawal is submitted as a blockchain transaction and the subsystem waits for the block confirmation before reporting the final state.</w:t>
      </w:r>
    </w:p>
    <w:p>
      <w:pPr>
        <w:keepNext/>
        <w:spacing w:after="60" w:before="140"/>
        <w:jc w:val="center"/>
      </w:pPr>
      <w:r>
        <w:drawing>
          <wp:inline distT="0" distB="0" distL="0" distR="0">
            <wp:extent cx="5334000" cy="3533775"/>
            <wp:effectExtent t="0" r="0" b="0" l="0"/>
            <wp:docPr id="1" name="g_revoked.png" descr="Figure 34: The patient subsystem after revocation: the evaluated consent f050c29a is REVOKED with token #1 (displayed as SBT-1). The other rows are earlier trial consents." title="Figure 34: The patient subsystem after revocation: the evaluated consent f050c29a is REVOKED with token #1 (displayed as SBT-1). The other rows are earlier trial con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34: The patient subsystem after revocation: the evaluated consent f050c29a is REVOKED with token #1 (displayed as SBT-1). The other rows are earlier trial consents.</w:t>
      </w:r>
    </w:p>
    <w:p>
      <w:pPr>
        <w:spacing w:after="140" w:line="300"/>
        <w:jc w:val="both"/>
      </w:pPr>
      <w:r>
        <w:rPr>
          <w:rFonts w:ascii="Cambria" w:cs="Cambria" w:eastAsia="Cambria" w:hAnsi="Cambria"/>
          <w:color w:val="000000"/>
          <w:sz w:val="24"/>
          <w:szCs w:val="24"/>
        </w:rP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40" w:line="300"/>
        <w:jc w:val="both"/>
      </w:pPr>
      <w:r>
        <w:rPr>
          <w:rFonts w:ascii="Cambria" w:cs="Cambria" w:eastAsia="Cambria" w:hAnsi="Cambria"/>
          <w:color w:val="000000"/>
          <w:sz w:val="24"/>
          <w:szCs w:val="24"/>
        </w:rPr>
        <w:t xml:space="preserve">The demonstrated revocation completes the consent lifecycle anticipated by the temporal and lifecycle model of Section 6.5: the consent progresses through the controlled states PENDING_SIGNATURE, PENDING_TOKEN, NOT_STARTED, ACTIVE and REVOKED, and the activating and revoking transitions are themselves verifiable Sepolia transactions (blocks 11,771,243 and 11,771,307). Trust is therefore not treated as permanently established at the moment a consent is created, which is precisely the lifecycle-trust principle stated there.</w:t>
      </w:r>
    </w:p>
    <w:p>
      <w:pPr>
        <w:keepNext/>
        <w:spacing w:after="60" w:before="140"/>
        <w:jc w:val="center"/>
      </w:pPr>
      <w:r>
        <w:drawing>
          <wp:inline distT="0" distB="0" distL="0" distR="0">
            <wp:extent cx="5715000" cy="2009775"/>
            <wp:effectExtent t="0" r="0" b="0" l="0"/>
            <wp:docPr id="1" name="lifecycle_sm.png" descr="Figure 35: The implemented consent lifecycle: every consent progresses through controlled states, and the activating and revoking transitions are anchored as verifiable Sepolia transactions." title="Figure 35: The implemented consent lifecycle: every consent progresses through controlled states, and the activating and revoking transitions are anchored as verifiable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35: The implemented consent lifecycle: every consent progresses through controlled states, and the activating and revoking transitions are anchored as verifiable Sepolia transactions.</w:t>
      </w:r>
    </w:p>
    <w:p>
      <w:pPr>
        <w:keepNext/>
        <w:spacing w:after="60" w:before="140"/>
        <w:jc w:val="center"/>
      </w:pPr>
      <w:r>
        <w:drawing>
          <wp:inline distT="0" distB="0" distL="0" distR="0">
            <wp:extent cx="5334000" cy="2952750"/>
            <wp:effectExtent t="0" r="0" b="0" l="0"/>
            <wp:docPr id="1" name="M5.png" descr="Figure 36: The doctor subsystem after revocation: VA reports FAIL and the consent is reported as 'not active. Current state: REVOKED'." title="Figure 36: The doctor subsystem after revocation: VA reports FAIL and the consent is reported as 'not active. Current state: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36: The doctor subsystem after revocation: VA reports FAIL and the consent is reported as 'not active. Current state: REVOKED'.</w:t>
      </w:r>
    </w:p>
    <w:p>
      <w:pPr>
        <w:spacing w:after="140" w:line="300"/>
        <w:jc w:val="both"/>
      </w:pPr>
      <w:r>
        <w:rPr>
          <w:rFonts w:ascii="Cambria" w:cs="Cambria" w:eastAsia="Cambria" w:hAnsi="Cambria"/>
          <w:color w:val="000000"/>
          <w:sz w:val="24"/>
          <w:szCs w:val="24"/>
        </w:rP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40"/>
        <w:jc w:val="center"/>
      </w:pPr>
      <w:r>
        <w:drawing>
          <wp:inline distT="0" distB="0" distL="0" distR="0">
            <wp:extent cx="5715000" cy="3752850"/>
            <wp:effectExtent t="0" r="0" b="0" l="0"/>
            <wp:docPr id="1" name="M6.png" descr="Figure 37: The revocation transaction on Sepolia Etherscan: status Success, block 11,771,307, decoded input 'Function: revoke(uint256 tokenId)' with tokenId = 1." title="Figure 37: The revocation transaction on Sepolia Etherscan: status Success, block 11,771,307, decoded input 'Function: revoke(uint256 tokenId)' with token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37: The revocation transaction on Sepolia Etherscan: status Success, block 11,771,307, decoded input 'Function: revoke(uint256 tokenId)' with tokenId = 1.</w:t>
      </w:r>
    </w:p>
    <w:p>
      <w:pPr>
        <w:spacing w:after="140" w:line="300"/>
        <w:jc w:val="both"/>
      </w:pPr>
      <w:r>
        <w:rPr>
          <w:rFonts w:ascii="Cambria" w:cs="Cambria" w:eastAsia="Cambria" w:hAnsi="Cambria"/>
          <w:color w:val="000000"/>
          <w:sz w:val="24"/>
          <w:szCs w:val="24"/>
        </w:rPr>
        <w:t xml:space="preserve">As shown in the figure above, the revocation is again a publicly verifiable transaction, whose decoded input names the contract function revoke and the token identifier. The transaction can be inspected on Sepolia Etherscan (revoke transaction 0x017efb9d…dceaa, listed in the verification links of Section 6.8.12). The revocation subsystem therefore corresponds to </w:t>
      </w:r>
      <w:r>
        <w:rPr>
          <w:rFonts w:ascii="Cambria" w:cs="Cambria" w:eastAsia="Cambria" w:hAnsi="Cambria"/>
          <w:b/>
          <w:bCs/>
          <w:color w:val="000000"/>
          <w:sz w:val="24"/>
          <w:szCs w:val="24"/>
        </w:rPr>
        <w:t xml:space="preserve">Enforcement State Management and Consent Withdrawal</w:t>
      </w:r>
      <w:r>
        <w:rPr>
          <w:rFonts w:ascii="Cambria" w:cs="Cambria" w:eastAsia="Cambria" w:hAnsi="Cambria"/>
          <w:color w:val="000000"/>
          <w:sz w:val="24"/>
          <w:szCs w:val="24"/>
        </w:rPr>
        <w:t xml:space="preserve">.</w:t>
      </w:r>
    </w:p>
    <w:p>
      <w:pPr>
        <w:pStyle w:val="Heading3"/>
        <w:spacing w:after="160" w:before="280"/>
      </w:pPr>
      <w:r>
        <w:rPr>
          <w:color w:val="000000"/>
        </w:rPr>
        <w:t xml:space="preserve">6.8.7  Blockchain Audit and Consent Lifecycle for the Auditor</w:t>
      </w:r>
    </w:p>
    <w:p>
      <w:pPr>
        <w:spacing w:after="140" w:line="300"/>
        <w:jc w:val="both"/>
      </w:pPr>
      <w:r>
        <w:rPr>
          <w:rFonts w:ascii="Cambria" w:cs="Cambria" w:eastAsia="Cambria" w:hAnsi="Cambria"/>
          <w:color w:val="000000"/>
          <w:sz w:val="24"/>
          <w:szCs w:val="24"/>
        </w:rP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40"/>
        <w:jc w:val="center"/>
      </w:pPr>
      <w:r>
        <w:drawing>
          <wp:inline distT="0" distB="0" distL="0" distR="0">
            <wp:extent cx="5524500" cy="4019550"/>
            <wp:effectExtent t="0" r="0" b="0" l="0"/>
            <wp:docPr id="1" name="n_lifecycle.png" descr="Figure 38: The Consent Lifecycle reconstruction for the evaluated consent: the guardian signatures, MINT_SBT and ONCHAIN_MINT on the left, and the STATE_CHECK, DENIED, REVOKE_CONSENT and ONCHAIN_REVOKE events on the right." title="Figure 38: The Consent Lifecycle reconstruction for the evaluated consent: the guardian signatures, MINT_SBT and ONCHAIN_MINT on the left, and the STATE_CHECK, DENIED, REVOKE_CONSENT and ONCHAIN_REVOKE event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38: The Consent Lifecycle reconstruction for the evaluated consent: the guardian signatures, MINT_SBT and ONCHAIN_MINT on the left, and the STATE_CHECK, DENIED, REVOKE_CONSENT and ONCHAIN_REVOKE events on the right.</w:t>
      </w:r>
    </w:p>
    <w:p>
      <w:pPr>
        <w:spacing w:after="140" w:line="300"/>
        <w:jc w:val="both"/>
      </w:pPr>
      <w:r>
        <w:rPr>
          <w:rFonts w:ascii="Cambria" w:cs="Cambria" w:eastAsia="Cambria" w:hAnsi="Cambria"/>
          <w:color w:val="000000"/>
          <w:sz w:val="24"/>
          <w:szCs w:val="24"/>
        </w:rPr>
        <w:t xml:space="preserve">As shown in the figure above, the lifecycle view presents each event as a card with its timestamp, actor, role, action and result, so the chronological sequence of the authorisation process can be read directly.</w:t>
      </w:r>
    </w:p>
    <w:p>
      <w:pPr>
        <w:keepNext/>
        <w:spacing w:after="60" w:before="140"/>
        <w:jc w:val="center"/>
      </w:pPr>
      <w:r>
        <w:drawing>
          <wp:inline distT="0" distB="0" distL="0" distR="0">
            <wp:extent cx="5715000" cy="3343275"/>
            <wp:effectExtent t="0" r="0" b="0" l="0"/>
            <wp:docPr id="1" name="M7.png" descr="Figure 39: The auditor subsystem with the evaluated consent selected: aggregate indicators and the Detailed Audit Records, in which the on-chain events carry their transaction hashes and block numbers." title="Figure 39: The auditor subsystem with the evaluated consent selected: aggregate indicators and the Detailed Audit Records, in which the on-chain events carry their transaction hashes and block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39: The auditor subsystem with the evaluated consent selected: aggregate indicators and the Detailed Audit Records, in which the on-chain events carry their transaction hashes and block numbers.</w:t>
      </w:r>
    </w:p>
    <w:p>
      <w:pPr>
        <w:spacing w:after="140" w:line="300"/>
        <w:jc w:val="both"/>
      </w:pPr>
      <w:r>
        <w:rPr>
          <w:rFonts w:ascii="Cambria" w:cs="Cambria" w:eastAsia="Cambria" w:hAnsi="Cambria"/>
          <w:color w:val="000000"/>
          <w:sz w:val="24"/>
          <w:szCs w:val="24"/>
        </w:rPr>
        <w:t xml:space="preserve">As shown in the figure above, the system first provides aggregate indicators including:</w:t>
      </w:r>
    </w:p>
    <w:p>
      <w:pPr>
        <w:spacing w:after="160" w:before="60"/>
        <w:jc w:val="center"/>
      </w:pPr>
      <w:r>
        <w:rPr>
          <w:rFonts w:ascii="Cambria Math" w:cs="Cambria Math" w:eastAsia="Cambria Math" w:hAnsi="Cambria Math"/>
          <w:i/>
          <w:iCs/>
          <w:color w:val="000000"/>
          <w:sz w:val="22"/>
          <w:szCs w:val="22"/>
        </w:rPr>
        <w:t xml:space="preserve">Total Events = 60    Consent Events = 8    Access Requests = 9    On-chain Anchors = 5</w:t>
      </w:r>
    </w:p>
    <w:p>
      <w:pPr>
        <w:spacing w:after="140" w:line="300"/>
        <w:jc w:val="both"/>
      </w:pPr>
      <w:r>
        <w:rPr>
          <w:rFonts w:ascii="Cambria" w:cs="Cambria" w:eastAsia="Cambria" w:hAnsi="Cambria"/>
          <w:color w:val="000000"/>
          <w:sz w:val="24"/>
          <w:szCs w:val="24"/>
        </w:rP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the nine access requests comprise the granted, refused and reproduced requests of the two lifecycles together with three granted requests recorded for the earlier trial consents.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40" w:line="300"/>
        <w:jc w:val="both"/>
      </w:pPr>
      <w:r>
        <w:rPr>
          <w:rFonts w:ascii="Cambria" w:cs="Cambria" w:eastAsia="Cambria" w:hAnsi="Cambria"/>
          <w:color w:val="000000"/>
          <w:sz w:val="24"/>
          <w:szCs w:val="24"/>
        </w:rPr>
        <w:t xml:space="preserve">This audit reconstruction, together with the independent verification of every recorded transaction against the public chain, constitutes the empirical component of the security-assurance objective RO6 of Section 6.6: representative valid, invalid and adversarial scenarios have been executed against the running prototype, and the recorded evidence is consistent with the public chain. The formal component — proofs and model checking of the stated properties — remains next-stage work.</w:t>
      </w:r>
    </w:p>
    <w:p>
      <w:pPr>
        <w:spacing w:after="140" w:line="300"/>
        <w:jc w:val="both"/>
      </w:pPr>
      <w:r>
        <w:rPr>
          <w:rFonts w:ascii="Cambria" w:cs="Cambria" w:eastAsia="Cambria" w:hAnsi="Cambria"/>
          <w:color w:val="000000"/>
          <w:sz w:val="24"/>
          <w:szCs w:val="24"/>
        </w:rPr>
        <w:t xml:space="preserve">This produces an explicit chain of evidence as</w:t>
      </w:r>
    </w:p>
    <w:p>
      <w:pPr>
        <w:spacing w:after="160" w:before="60"/>
        <w:jc w:val="center"/>
      </w:pPr>
      <w:r>
        <w:rPr>
          <w:rFonts w:ascii="Cambria Math" w:cs="Cambria Math" w:eastAsia="Cambria Math" w:hAnsi="Cambria Math"/>
          <w:i/>
          <w:iCs/>
          <w:color w:val="000000"/>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color w:val="000000"/>
          <w:sz w:val="22"/>
          <w:szCs w:val="22"/>
        </w:rPr>
        <w:t xml:space="preserve">→ Doctor(DENIED) → Patient(revoke) → SmartContract(revoke)</w:t>
      </w:r>
    </w:p>
    <w:p>
      <w:pPr>
        <w:spacing w:after="140" w:line="300"/>
        <w:jc w:val="both"/>
      </w:pPr>
      <w:r>
        <w:rPr>
          <w:rFonts w:ascii="Cambria" w:cs="Cambria" w:eastAsia="Cambria" w:hAnsi="Cambria"/>
          <w:color w:val="000000"/>
          <w:sz w:val="24"/>
          <w:szCs w:val="24"/>
        </w:rP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40" w:line="300"/>
        <w:jc w:val="both"/>
      </w:pPr>
      <w:r>
        <w:rPr>
          <w:rFonts w:ascii="Cambria" w:cs="Cambria" w:eastAsia="Cambria" w:hAnsi="Cambria"/>
          <w:color w:val="000000"/>
          <w:sz w:val="24"/>
          <w:szCs w:val="24"/>
        </w:rPr>
        <w:t xml:space="preserve">This corresponds to the proposed requirement for </w:t>
      </w:r>
      <w:r>
        <w:rPr>
          <w:rFonts w:ascii="Cambria" w:cs="Cambria" w:eastAsia="Cambria" w:hAnsi="Cambria"/>
          <w:b/>
          <w:bCs/>
          <w:color w:val="000000"/>
          <w:sz w:val="24"/>
          <w:szCs w:val="24"/>
        </w:rPr>
        <w:t xml:space="preserve">traceability, accountability and non-repudiable consent evidence</w:t>
      </w:r>
      <w:r>
        <w:rPr>
          <w:rFonts w:ascii="Cambria" w:cs="Cambria" w:eastAsia="Cambria" w:hAnsi="Cambria"/>
          <w:color w:val="000000"/>
          <w:sz w:val="24"/>
          <w:szCs w:val="24"/>
        </w:rPr>
        <w:t xml:space="preserve">.</w:t>
      </w:r>
    </w:p>
    <w:p>
      <w:pPr>
        <w:pStyle w:val="Heading3"/>
        <w:spacing w:after="160" w:before="280"/>
      </w:pPr>
      <w:r>
        <w:rPr>
          <w:color w:val="000000"/>
        </w:rPr>
        <w:t xml:space="preserve">6.8.8  Detailed Audit Records</w:t>
      </w:r>
    </w:p>
    <w:p>
      <w:pPr>
        <w:spacing w:after="140" w:line="300"/>
        <w:jc w:val="both"/>
      </w:pPr>
      <w:r>
        <w:rPr>
          <w:rFonts w:ascii="Cambria" w:cs="Cambria" w:eastAsia="Cambria" w:hAnsi="Cambria"/>
          <w:color w:val="000000"/>
          <w:sz w:val="24"/>
          <w:szCs w:val="24"/>
        </w:rPr>
        <w:t xml:space="preserve">The Detailed Audit Records component provides a lower-level view of the events represented in the lifecycle subsystem.</w:t>
      </w:r>
    </w:p>
    <w:p>
      <w:pPr>
        <w:spacing w:after="140" w:line="300"/>
        <w:jc w:val="both"/>
      </w:pPr>
      <w:r>
        <w:rPr>
          <w:rFonts w:ascii="Cambria" w:cs="Cambria" w:eastAsia="Cambria" w:hAnsi="Cambria"/>
          <w:color w:val="000000"/>
          <w:sz w:val="24"/>
          <w:szCs w:val="24"/>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6.8.3 and 6.8.6, so the ledger and the public chain describe the same events.</w:t>
      </w:r>
    </w:p>
    <w:p>
      <w:pPr>
        <w:spacing w:after="140" w:line="300"/>
        <w:jc w:val="both"/>
      </w:pPr>
      <w:r>
        <w:rPr>
          <w:rFonts w:ascii="Cambria" w:cs="Cambria" w:eastAsia="Cambria" w:hAnsi="Cambria"/>
          <w:color w:val="000000"/>
          <w:sz w:val="24"/>
          <w:szCs w:val="24"/>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40" w:line="300"/>
        <w:jc w:val="both"/>
      </w:pPr>
      <w:r>
        <w:rPr>
          <w:rFonts w:ascii="Cambria" w:cs="Cambria" w:eastAsia="Cambria" w:hAnsi="Cambria"/>
          <w:color w:val="000000"/>
          <w:sz w:val="24"/>
          <w:szCs w:val="24"/>
        </w:rPr>
        <w:t xml:space="preserve">The subsystem therefore implements the distinction between operational access information and forensic/audit information.</w:t>
      </w:r>
    </w:p>
    <w:p>
      <w:pPr>
        <w:pStyle w:val="Heading3"/>
        <w:spacing w:after="160" w:before="280"/>
      </w:pPr>
      <w:r>
        <w:rPr>
          <w:color w:val="000000"/>
        </w:rPr>
        <w:t xml:space="preserve">6.8.9  Complete Audit Ledger and Independent Verification</w:t>
      </w:r>
    </w:p>
    <w:p>
      <w:pPr>
        <w:spacing w:after="140" w:line="300"/>
        <w:jc w:val="both"/>
      </w:pPr>
      <w:r>
        <w:rPr>
          <w:rFonts w:ascii="Cambria" w:cs="Cambria" w:eastAsia="Cambria" w:hAnsi="Cambria"/>
          <w:color w:val="000000"/>
          <w:sz w:val="24"/>
          <w:szCs w:val="24"/>
        </w:rP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color w:val="000000"/>
          <w:sz w:val="22"/>
          <w:szCs w:val="22"/>
        </w:rPr>
        <w:t xml:space="preserve">Accountability + Traceability + Integrity + Non-repudiation</w:t>
      </w:r>
    </w:p>
    <w:p>
      <w:pPr>
        <w:spacing w:after="140" w:line="300"/>
        <w:jc w:val="both"/>
      </w:pPr>
      <w:r>
        <w:rPr>
          <w:rFonts w:ascii="Cambria" w:cs="Cambria" w:eastAsia="Cambria" w:hAnsi="Cambria"/>
          <w:color w:val="000000"/>
          <w:sz w:val="24"/>
          <w:szCs w:val="24"/>
        </w:rP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40"/>
        <w:jc w:val="center"/>
      </w:pPr>
      <w:r>
        <w:drawing>
          <wp:inline distT="0" distB="0" distL="0" distR="0">
            <wp:extent cx="5334000" cy="571500"/>
            <wp:effectExtent t="0" r="0" b="0" l="0"/>
            <wp:docPr id="1" name="M8_clean.png" descr="Figure 40: The final verdict of the independent verification, re-executed after the second lifecycle: RESULT: ALL CHECKS PASSED." title="Figure 40: The final verdict of the independent verification, re-executed after the second lifecycle: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40: The final verdict of the independent verification, re-executed after the second lifecycle: RESULT: ALL CHECKS PASSED.</w:t>
      </w:r>
    </w:p>
    <w:p>
      <w:pPr>
        <w:spacing w:after="140" w:line="300"/>
        <w:jc w:val="both"/>
      </w:pPr>
      <w:r>
        <w:rPr>
          <w:rFonts w:ascii="Cambria" w:cs="Cambria" w:eastAsia="Cambria" w:hAnsi="Cambria"/>
          <w:color w:val="000000"/>
          <w:sz w:val="24"/>
          <w:szCs w:val="24"/>
        </w:rP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pStyle w:val="Heading3"/>
        <w:spacing w:after="160" w:before="280"/>
      </w:pPr>
      <w:r>
        <w:rPr>
          <w:color w:val="000000"/>
        </w:rPr>
        <w:t xml:space="preserve">6.8.10  Correspondence Between the Subsystems and the Framework</w:t>
      </w:r>
    </w:p>
    <w:p>
      <w:pPr>
        <w:spacing w:after="140" w:line="300"/>
        <w:jc w:val="both"/>
      </w:pPr>
      <w:r>
        <w:rPr>
          <w:rFonts w:ascii="Cambria" w:cs="Cambria" w:eastAsia="Cambria" w:hAnsi="Cambria"/>
          <w:color w:val="000000"/>
          <w:sz w:val="24"/>
          <w:szCs w:val="24"/>
        </w:rPr>
        <w:t xml:space="preserve">The subsystems collectively implement the principal stages of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HALAH Framework Component</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Implementation Subsystem</w:t>
            </w:r>
          </w:p>
        </w:tc>
        <w:tc>
          <w:tcPr>
            <w:tcW w:type="dxa" w:w="35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Multi-party Consent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Activation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Consent-State Management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Scope Enforcement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Healthcare Data Access</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Enforcement / Revocation (E)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My Consents (Patient)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Traceability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Accountability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Detailed Audit Records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Ledger Integrity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Confirms the recorded history against Sepolia</w:t>
            </w:r>
          </w:p>
        </w:tc>
      </w:tr>
    </w:tbl>
    <w:p>
      <w:pPr>
        <w:spacing w:after="160" w:before="60"/>
        <w:jc w:val="center"/>
      </w:pPr>
      <w:r>
        <w:rPr>
          <w:rFonts w:ascii="Cambria" w:cs="Cambria" w:eastAsia="Cambria" w:hAnsi="Cambria"/>
          <w:i/>
          <w:iCs/>
          <w:color w:val="000000"/>
          <w:sz w:val="19"/>
          <w:szCs w:val="19"/>
        </w:rPr>
        <w:t xml:space="preserve">Table 16: Correspondence between the HALAH framework components and the implemented subsystems.</w:t>
      </w:r>
    </w:p>
    <w:p>
      <w:pPr>
        <w:spacing w:after="140" w:line="300"/>
        <w:jc w:val="both"/>
      </w:pPr>
      <w:r>
        <w:rPr>
          <w:rFonts w:ascii="Cambria" w:cs="Cambria" w:eastAsia="Cambria" w:hAnsi="Cambria"/>
          <w:color w:val="000000"/>
          <w:sz w:val="24"/>
          <w:szCs w:val="24"/>
        </w:rPr>
        <w:t xml:space="preserve">This mapping demonstrates that the implementation is not merely a collection of independent user-subsystem modules. Rather, the modules correspond to successive stages of the proposed authorisation protocol.</w:t>
      </w:r>
    </w:p>
    <w:p>
      <w:pPr>
        <w:pStyle w:val="Heading3"/>
        <w:spacing w:after="160" w:before="280"/>
      </w:pPr>
      <w:r>
        <w:rPr>
          <w:color w:val="000000"/>
        </w:rPr>
        <w:t xml:space="preserve">6.8.11  Overall System Demonstration</w:t>
      </w:r>
    </w:p>
    <w:p>
      <w:pPr>
        <w:spacing w:after="140" w:line="300"/>
        <w:jc w:val="both"/>
      </w:pPr>
      <w:r>
        <w:rPr>
          <w:rFonts w:ascii="Cambria" w:cs="Cambria" w:eastAsia="Cambria" w:hAnsi="Cambria"/>
          <w:color w:val="000000"/>
          <w:sz w:val="24"/>
          <w:szCs w:val="24"/>
        </w:rP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color w:val="000000"/>
          <w:sz w:val="22"/>
          <w:szCs w:val="22"/>
        </w:rPr>
        <w:t xml:space="preserve">C → MS → SBT_chain → StateCheck → AccessDecision → EMR → Revoke_chain → Audit → Verify</w:t>
      </w:r>
    </w:p>
    <w:p>
      <w:pPr>
        <w:spacing w:after="140" w:line="300"/>
        <w:jc w:val="both"/>
      </w:pPr>
      <w:r>
        <w:rPr>
          <w:rFonts w:ascii="Cambria" w:cs="Cambria" w:eastAsia="Cambria" w:hAnsi="Cambria"/>
          <w:color w:val="000000"/>
          <w:sz w:val="24"/>
          <w:szCs w:val="24"/>
        </w:rP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40" w:line="300"/>
        <w:jc w:val="both"/>
      </w:pPr>
      <w:r>
        <w:rPr>
          <w:rFonts w:ascii="Cambria" w:cs="Cambria" w:eastAsia="Cambria" w:hAnsi="Cambria"/>
          <w:color w:val="000000"/>
          <w:sz w:val="24"/>
          <w:szCs w:val="24"/>
        </w:rP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40" w:line="300"/>
        <w:jc w:val="both"/>
      </w:pPr>
      <w:r>
        <w:rPr>
          <w:rFonts w:ascii="Cambria" w:cs="Cambria" w:eastAsia="Cambria" w:hAnsi="Cambria"/>
          <w:color w:val="000000"/>
          <w:sz w:val="24"/>
          <w:szCs w:val="24"/>
        </w:rP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3"/>
        <w:spacing w:after="160" w:before="280"/>
      </w:pPr>
      <w:r>
        <w:rPr>
          <w:color w:val="000000"/>
        </w:rPr>
        <w:t xml:space="preserve">6.8.12  Verification Links</w:t>
      </w:r>
    </w:p>
    <w:p>
      <w:pPr>
        <w:spacing w:after="140" w:line="300"/>
        <w:jc w:val="both"/>
      </w:pPr>
      <w:r>
        <w:rPr>
          <w:rFonts w:ascii="Cambria" w:cs="Cambria" w:eastAsia="Cambria" w:hAnsi="Cambria"/>
          <w:color w:val="000000"/>
          <w:sz w:val="24"/>
          <w:szCs w:val="24"/>
        </w:rPr>
        <w:t xml:space="preserve">Contract: https://sepolia.etherscan.io/address/0x0EC3617581DEC63A7f2bb162DC14d088916ADc73</w:t>
      </w:r>
    </w:p>
    <w:p>
      <w:pPr>
        <w:spacing w:after="140" w:line="300"/>
        <w:jc w:val="both"/>
      </w:pPr>
      <w:r>
        <w:rPr>
          <w:rFonts w:ascii="Cambria" w:cs="Cambria" w:eastAsia="Cambria" w:hAnsi="Cambria"/>
          <w:color w:val="000000"/>
          <w:sz w:val="24"/>
          <w:szCs w:val="24"/>
        </w:rPr>
        <w:t xml:space="preserve">Consent activation (mint of token #1): https://sepolia.etherscan.io/tx/0x8be1b99e9b7054d427bdee0a0b5cc56ae99030a399f4b11d3629ed5d98daf13d</w:t>
      </w:r>
    </w:p>
    <w:p>
      <w:pPr>
        <w:spacing w:after="140" w:line="300"/>
        <w:jc w:val="both"/>
      </w:pPr>
      <w:r>
        <w:rPr>
          <w:rFonts w:ascii="Cambria" w:cs="Cambria" w:eastAsia="Cambria" w:hAnsi="Cambria"/>
          <w:color w:val="000000"/>
          <w:sz w:val="24"/>
          <w:szCs w:val="24"/>
        </w:rPr>
        <w:t xml:space="preserve">Consent activation (mint of token #2, photographed lifecycle): https://sepolia.etherscan.io/tx/0x25ef5e2f0046735dcb01ff7b68875b760bdf88ad0fa3fedc9bfb910769d4c210</w:t>
      </w:r>
    </w:p>
    <w:p>
      <w:pPr>
        <w:spacing w:after="140" w:line="300"/>
        <w:jc w:val="both"/>
      </w:pPr>
      <w:r>
        <w:rPr>
          <w:rFonts w:ascii="Cambria" w:cs="Cambria" w:eastAsia="Cambria" w:hAnsi="Cambria"/>
          <w:color w:val="000000"/>
          <w:sz w:val="24"/>
          <w:szCs w:val="24"/>
        </w:rPr>
        <w:t xml:space="preserve">Consent revocation (token #1): https://sepolia.etherscan.io/tx/0x017efb9dc6acad9733fa05c19408c0166c9c0645e83b6ffdc41c4b3b85ddceaa</w:t>
      </w:r>
    </w:p>
    <w:p>
      <w:pPr>
        <w:spacing w:after="140" w:line="300"/>
        <w:jc w:val="both"/>
      </w:pPr>
      <w:r>
        <w:rPr>
          <w:rFonts w:ascii="Cambria" w:cs="Cambria" w:eastAsia="Cambria" w:hAnsi="Cambria"/>
          <w:color w:val="000000"/>
          <w:sz w:val="24"/>
          <w:szCs w:val="24"/>
        </w:rPr>
        <w:t xml:space="preserve">Full audit-ledger export: </w:t>
      </w:r>
      <w:r>
        <w:rPr>
          <w:rFonts w:ascii="Consolas" w:cs="Consolas" w:eastAsia="Consolas" w:hAnsi="Consolas"/>
          <w:color w:val="000000"/>
          <w:sz w:val="20"/>
          <w:szCs w:val="20"/>
        </w:rPr>
        <w:t xml:space="preserve">evidence/sepolia_audit_ledger_2026-09-24.csv</w:t>
      </w:r>
      <w:r>
        <w:rPr>
          <w:rFonts w:ascii="Cambria" w:cs="Cambria" w:eastAsia="Cambria" w:hAnsi="Cambria"/>
          <w:color w:val="000000"/>
          <w:sz w:val="24"/>
          <w:szCs w:val="24"/>
        </w:rPr>
        <w:t xml:space="preserve">; deployment and run record: </w:t>
      </w:r>
      <w:r>
        <w:rPr>
          <w:rFonts w:ascii="Consolas" w:cs="Consolas" w:eastAsia="Consolas" w:hAnsi="Consolas"/>
          <w:color w:val="000000"/>
          <w:sz w:val="20"/>
          <w:szCs w:val="20"/>
        </w:rPr>
        <w:t xml:space="preserve">evidence/sepolia_deploy_v3_2026-09-24.txt</w:t>
      </w:r>
      <w:r>
        <w:rPr>
          <w:rFonts w:ascii="Cambria" w:cs="Cambria" w:eastAsia="Cambria" w:hAnsi="Cambria"/>
          <w:color w:val="000000"/>
          <w:sz w:val="24"/>
          <w:szCs w:val="24"/>
        </w:rPr>
        <w:t xml:space="preserve"> preserved in the project evidence records.</w:t>
      </w:r>
    </w:p>
    <w:p>
      <w:pPr>
        <w:pStyle w:val="Heading1"/>
        <w:pageBreakBefore/>
        <w:spacing w:after="160" w:before="400"/>
      </w:pPr>
      <w:r>
        <w:t xml:space="preserve">7  Current Progress Status</w:t>
      </w:r>
    </w:p>
    <w:p>
      <w:pPr>
        <w:pStyle w:val="Heading2"/>
        <w:spacing w:after="160" w:before="280"/>
      </w:pPr>
      <w: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The current result demonstrates that consent can be represented as an evaluable authorisation object rather than as a binary permission. This provides a conceptual basis for dynamic access decisions and allows subsequent authorisation conditions to be evaluated consistently.</w:t>
      </w:r>
    </w:p>
    <w:p>
      <w:pPr>
        <w:pStyle w:val="Heading2"/>
        <w:spacing w:after="160" w:before="280"/>
      </w:pPr>
      <w:r>
        <w:t xml:space="preserve">7.2  Progress of RO2: Decentralised Identity and Authority</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spacing w:after="140" w:line="300"/>
        <w:jc w:val="both"/>
      </w:pPr>
      <w:r>
        <w:rPr>
          <w:rFonts w:ascii="Cambria" w:cs="Cambria" w:eastAsia="Cambria" w:hAnsi="Cambria"/>
          <w:color w:val="000000"/>
          <w:sz w:val="24"/>
          <w:szCs w:val="24"/>
        </w:rPr>
        <w:t xml:space="preserve">In the current prototype the approval threshold is fixed at N-of-N: every listed guardian must approve, each through an EIP-712 typed-data signature verified by cryptographic recovery, and the two-guardian case has been evaluated end-to-end, with configurable k-of-n thresholds remaining future work. With respect to identity verification,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in the prototype performs identifier- and credential-format validation only; cryptographic DID resolution against a registry and authentication of the requester are acknowledged limitations reserved for the next stage.</w:t>
      </w:r>
    </w:p>
    <w:p>
      <w:pPr>
        <w:pStyle w:val="Heading2"/>
        <w:spacing w:after="160" w:before="280"/>
      </w:pPr>
      <w: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(74)</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(77)</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pStyle w:val="Heading2"/>
        <w:spacing w:after="160" w:before="280"/>
      </w:pPr>
      <w:r>
        <w:t xml:space="preserve">7.4  Progress of RO4: Policy-Aware Access Control</w:t>
      </w:r>
    </w:p>
    <w:p>
      <w:pPr>
        <w:spacing w:after="140" w:line="300"/>
        <w:jc w:val="both"/>
      </w:pPr>
      <w:r>
        <w:rPr>
          <w:rFonts w:ascii="Cambria" w:cs="Cambria" w:eastAsia="Cambria" w:hAnsi="Cambria"/>
          <w:color w:val="000000"/>
          <w:sz w:val="24"/>
          <w:szCs w:val="24"/>
        </w:rPr>
        <w:t xml:space="preserve">Status: Completed.</w:t>
      </w:r>
    </w:p>
    <w:p>
      <w:pPr>
        <w:spacing w:after="140" w:line="300"/>
        <w:jc w:val="both"/>
      </w:pPr>
      <w:r>
        <w:rPr>
          <w:rFonts w:ascii="Cambria" w:cs="Cambria" w:eastAsia="Cambria" w:hAnsi="Cambria"/>
          <w:color w:val="000000"/>
          <w:sz w:val="24"/>
          <w:szCs w:val="24"/>
        </w:rPr>
        <w:t xml:space="preserve">The policy predicate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is implemented at the prototype level: each access request declares a purpose and a requested data scope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and the request is rejected whenever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is not a subset of the authorised scope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The predicate is evaluated as one term of the complete decision matrix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sz w:val="24"/>
          <w:szCs w:val="24"/>
        </w:rPr>
        <w:t xml:space="preserve">RO4 represents the next stage of the framework beyond identity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(78)</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w:t>
      </w:r>
      <w:r>
        <w:rPr>
          <w:rFonts w:ascii="Cambria" w:cs="Cambria" w:eastAsia="Cambria" w:hAnsi="Cambria"/>
          <w:color w:val="000000"/>
          <w:sz w:val="24"/>
          <w:szCs w:val="24"/>
        </w:rPr>
        <w:t xml:space="preserve">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 {Observation, Medication, Procedure}, the request exceeds the authorised scope and the jurisdiction and validity conditions are evaluated against the stored consent before any decision is returned.</w:t>
      </w:r>
    </w:p>
    <w:p>
      <w:pPr>
        <w:pStyle w:val="Heading2"/>
        <w:spacing w:after="160" w:before="280"/>
      </w:pPr>
      <w:r>
        <w:t xml:space="preserve">7.5  Progress of RO5: Temporal and Lifecycle Trust</w:t>
      </w:r>
    </w:p>
    <w:p>
      <w:pPr>
        <w:spacing w:after="140" w:line="300"/>
        <w:jc w:val="both"/>
      </w:pPr>
      <w:r>
        <w:rPr>
          <w:rFonts w:ascii="Cambria" w:cs="Cambria" w:eastAsia="Cambria" w:hAnsi="Cambria"/>
          <w:color w:val="000000"/>
          <w:sz w:val="24"/>
          <w:szCs w:val="24"/>
        </w:rPr>
        <w:t xml:space="preserve">Status: Largely Completed.</w:t>
      </w:r>
    </w:p>
    <w:p>
      <w:pPr>
        <w:spacing w:after="140" w:line="300"/>
        <w:jc w:val="both"/>
      </w:pPr>
      <w:r>
        <w:rPr>
          <w:rFonts w:ascii="Cambria" w:cs="Cambria" w:eastAsia="Cambria" w:hAnsi="Cambria"/>
          <w:color w:val="000000"/>
          <w:sz w:val="24"/>
          <w:szCs w:val="24"/>
        </w:rPr>
        <w:t xml:space="preserve">RO5 has moved from planned work to implemented capability. The consent validity interval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is now enforced by the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at every access request and is additionally stored on-chain in the SBT as the notBefore and expiry fields, so that temporal validity can be verified independently of the application. The consent lifecycle is implemented as an explicit state machine comprising PENDING_SIGNATURE, PENDING_TOKEN, NOT_STARTED, ACTIVE, EXPIRED and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therefore the dynamic and delegated dimension of lifecycle trust, such as consent modification, delegation and guardian-set changes, rather than temporal enforcement itself.</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(79)</w:t>
      </w:r>
    </w:p>
    <w:p>
      <w:pPr>
        <w:spacing w:after="140" w:line="300"/>
        <w:jc w:val="both"/>
      </w:pPr>
      <w:r>
        <w:rPr>
          <w:rFonts w:ascii="Cambria" w:cs="Cambria" w:eastAsia="Cambria" w:hAnsi="Cambria"/>
          <w:color w:val="000000"/>
          <w:sz w:val="24"/>
          <w:szCs w:val="24"/>
        </w:rPr>
        <w:t xml:space="preserve">The next stage will extend the implemented lifecycle mechanism towards consent modification, delegation, and guardian-set changes, and will formalise the state-transition model so that unauthorised lifecycle transitions can be excluded by construction.</w:t>
      </w:r>
    </w:p>
    <w:p>
      <w:pPr>
        <w:pStyle w:val="Heading2"/>
        <w:spacing w:after="160" w:before="280"/>
      </w:pPr>
      <w:r>
        <w:t xml:space="preserve">7.6  Progress of RO6: Security Assurance and Validation</w:t>
      </w:r>
    </w:p>
    <w:p>
      <w:pPr>
        <w:spacing w:after="140" w:line="300"/>
        <w:jc w:val="both"/>
      </w:pPr>
      <w:r>
        <w:rPr>
          <w:rFonts w:ascii="Cambria" w:cs="Cambria" w:eastAsia="Cambria" w:hAnsi="Cambria"/>
          <w:sz w:val="24"/>
          <w:szCs w:val="24"/>
        </w:rPr>
        <w:t xml:space="preserve">Status: Partially Completed </w:t>
      </w:r>
      <w:r>
        <w:rPr>
          <w:rFonts w:ascii="Cambria" w:cs="Cambria" w:eastAsia="Cambria" w:hAnsi="Cambria"/>
          <w:color w:val="000000"/>
          <w:sz w:val="24"/>
          <w:szCs w:val="24"/>
        </w:rPr>
        <w:t xml:space="preserve">(empirical validation complete; formal assurance outstanding)</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DENY, otherwise.</w:t>
      </w:r>
      <w:r>
        <w:rPr>
          <w:rFonts w:ascii="Cambria" w:cs="Cambria" w:eastAsia="Cambria" w:hAnsi="Cambria"/>
          <w:sz w:val="22"/>
          <w:szCs w:val="22"/>
        </w:rPr>
        <w:t xml:space="preserve">	(80)</w:t>
      </w:r>
    </w:p>
    <w:p>
      <w:pPr>
        <w:spacing w:after="140" w:line="300"/>
        <w:jc w:val="both"/>
      </w:pPr>
      <w:r>
        <w:rPr>
          <w:rFonts w:ascii="Cambria" w:cs="Cambria" w:eastAsia="Cambria" w:hAnsi="Cambria"/>
          <w:color w:val="000000"/>
          <w:sz w:val="24"/>
          <w:szCs w:val="24"/>
        </w:rPr>
        <w:t xml:space="preserve">Empirical validation now covers all six trust dimensions.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named as the failed check, and a revocation scenario in which the same consent, once revoked on-chain, is subsequently denied through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The implemented decision rule is Decision(C, R, t) = ALLOW iff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Formal security analysis and a systematic performance study remain for the next stage.</w:t>
      </w:r>
    </w:p>
    <w:p>
      <w:pPr>
        <w:spacing w:after="140" w:line="300"/>
        <w:jc w:val="both"/>
      </w:pPr>
      <w:r>
        <w:rPr>
          <w:rFonts w:ascii="Cambria" w:cs="Cambria" w:eastAsia="Cambria" w:hAnsi="Cambria"/>
          <w:sz w:val="24"/>
          <w:szCs w:val="24"/>
        </w:rPr>
        <w:t xml:space="preserve">At the current stage, the experimental evidence primarily demonstrates the consistency between the implemented consent, identity, and multi-party authorisation mechanisms and their corresponding research questions.</w:t>
      </w:r>
    </w:p>
    <w:p>
      <w:pPr>
        <w:spacing w:after="140" w:line="300"/>
        <w:jc w:val="both"/>
      </w:pPr>
      <w:r>
        <w:rPr>
          <w:rFonts w:ascii="Cambria" w:cs="Cambria" w:eastAsia="Cambria" w:hAnsi="Cambria"/>
          <w:color w:val="000000"/>
          <w:sz w:val="24"/>
          <w:szCs w:val="24"/>
        </w:rPr>
        <w:t xml:space="preserve">Policy-violation scenarios, temporal expiration, revocation and invalid lifecycle transitions have now been demonstrated empirically, both in the automated test suite and in the live Sepolia deployment. The remaining work for the next stage is therefore considerably narrower: formal definition and verification of the security properties, a systematic performance and overhead study, and the removal of prototype limitations such as the N-of-N approval rule, server-derived guardian keys and the unauthenticated requester role.</w:t>
      </w:r>
    </w:p>
    <w:p>
      <w:pPr>
        <w:pStyle w:val="Heading1"/>
        <w:pageBreakBefore/>
        <w:spacing w:after="160" w:before="400"/>
      </w:pPr>
      <w: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keepNext/>
        <w:spacing w:after="80" w:before="160"/>
        <w:jc w:val="center"/>
      </w:pPr>
      <w:r>
        <w:rPr>
          <w:rFonts w:ascii="Cambria" w:cs="Cambria" w:eastAsia="Cambria" w:hAnsi="Cambria"/>
          <w:b/>
          <w:bCs/>
          <w:color w:val="000000"/>
          <w:sz w:val="21"/>
          <w:szCs w:val="21"/>
        </w:rPr>
        <w:t xml:space="preserve">Table 14: </w:t>
      </w:r>
      <w:r>
        <w:rPr>
          <w:rFonts w:ascii="Cambria" w:cs="Cambria" w:eastAsia="Cambria" w:hAnsi="Cambria"/>
          <w:color w:val="000000"/>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addresses RQ1-RQ4 (Chapters 3-4).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w:t>
            </w:r>
            <w:r>
              <w:rPr>
                <w:rFonts w:ascii="Cambria" w:cs="Cambria" w:eastAsia="Cambria" w:hAnsi="Cambria"/>
                <w:b w:val="false"/>
                <w:bCs w:val="false"/>
                <w:color w:val="000000"/>
                <w:sz w:val="19"/>
                <w:szCs w:val="19"/>
              </w:rPr>
              <w:t xml:space="preserve">The decentralised implementation and the scenario-based validation are complete on the Sepolia public testnet; the performance evaluation remains outstanding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validation; </w:t>
            </w:r>
            <w:r>
              <w:rPr>
                <w:rFonts w:ascii="Cambria" w:cs="Cambria" w:eastAsia="Cambria" w:hAnsi="Cambria"/>
                <w:b w:val="false"/>
                <w:bCs w:val="false"/>
                <w:color w:val="000000"/>
                <w:sz w:val="19"/>
                <w:szCs w:val="19"/>
              </w:rPr>
              <w:t xml:space="preserve">the paper's empirical section can now draw upon the deployed contract, the two minted tokens and the verified transaction trail as delivered evidence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Specialised</w:t>
            </w:r>
            <w:r>
              <w:rPr>
                <w:rFonts w:ascii="Cambria" w:cs="Cambria" w:eastAsia="Cambria" w:hAnsi="Cambria"/>
                <w:b w:val="false"/>
                <w:bCs w:val="false"/>
                <w:sz w:val="19"/>
                <w:szCs w:val="19"/>
              </w:rPr>
              <w:t xml:space="preserve">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addresses formal security assurance (Chapter 6).</w:t>
            </w:r>
          </w:p>
        </w:tc>
      </w:tr>
    </w:tbl>
    <w:p>
      <w:pPr>
        <w:spacing w:after="180"/>
      </w:pP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t xml:space="preserve">9.1  Current Stage: Completed and Current Work</w:t>
      </w:r>
    </w:p>
    <w:p>
      <w:pPr>
        <w:spacing w:after="140" w:line="300"/>
        <w:jc w:val="both"/>
      </w:pPr>
      <w:r>
        <w:rPr>
          <w:rFonts w:ascii="Cambria" w:cs="Cambria" w:eastAsia="Cambria" w:hAnsi="Cambria"/>
          <w:color w:val="0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is publicly inspectable on Etherscan.</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Heading2"/>
        <w:spacing w:after="160" w:before="280"/>
      </w:pPr>
      <w:r>
        <w:t xml:space="preserve">9.2  Next Stage: Planned Work</w:t>
      </w:r>
    </w:p>
    <w:p>
      <w:pPr>
        <w:spacing w:after="140" w:line="300"/>
        <w:jc w:val="both"/>
      </w:pPr>
      <w:r>
        <w:rPr>
          <w:rFonts w:ascii="Cambria" w:cs="Cambria" w:eastAsia="Cambria" w:hAnsi="Cambria"/>
          <w:color w:val="0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Consequently, the next stage concentrates on two remaining foci: formal security assurance and comprehensive empirical validation, including performance measurement.</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first</w:t>
      </w:r>
      <w:r>
        <w:rPr>
          <w:rFonts w:ascii="Cambria" w:cs="Cambria" w:eastAsia="Cambria" w:hAnsi="Cambria"/>
          <w:sz w:val="24"/>
          <w:szCs w:val="24"/>
        </w:rPr>
        <w:t xml:space="preserve"> focus is formal security assurance. The current stage framework establishes the conceptual relationship between identity verification, collective authorisation, and policy enforcement. </w:t>
      </w:r>
      <w:r>
        <w:rPr>
          <w:rFonts w:ascii="Cambria" w:cs="Cambria" w:eastAsia="Cambria" w:hAnsi="Cambria"/>
          <w:color w:val="000000"/>
          <w:sz w:val="24"/>
          <w:szCs w:val="24"/>
        </w:rPr>
        <w:t xml:space="preserve">The next</w:t>
      </w:r>
      <w:r>
        <w:rPr>
          <w:rFonts w:ascii="Cambria" w:cs="Cambria" w:eastAsia="Cambria" w:hAnsi="Cambria"/>
          <w:sz w:val="24"/>
          <w:szCs w:val="24"/>
        </w:rPr>
        <w:t xml:space="preserve">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second</w:t>
      </w:r>
      <w:r>
        <w:rPr>
          <w:rFonts w:ascii="Cambria" w:cs="Cambria" w:eastAsia="Cambria" w:hAnsi="Cambria"/>
          <w:sz w:val="24"/>
          <w:szCs w:val="24"/>
        </w:rPr>
        <w:t xml:space="preserve">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15.</w:t>
      </w:r>
    </w:p>
    <w:p>
      <w:pPr>
        <w:keepNext/>
        <w:spacing w:after="80" w:before="160"/>
        <w:jc w:val="center"/>
      </w:pPr>
      <w:r>
        <w:rPr>
          <w:rFonts w:ascii="Cambria" w:cs="Cambria" w:eastAsia="Cambria" w:hAnsi="Cambria"/>
          <w:b/>
          <w:bCs/>
          <w:color w:val="000000"/>
          <w:sz w:val="21"/>
          <w:szCs w:val="21"/>
        </w:rPr>
        <w:t xml:space="preserve">Table 15: </w:t>
      </w:r>
      <w:r>
        <w:rPr>
          <w:rFonts w:ascii="Cambria" w:cs="Cambria" w:eastAsia="Cambria" w:hAnsi="Cambria"/>
          <w:color w:val="000000"/>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Consent Modification, Delegation and Lifecycle Extensions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consent model to incorporate validity periods, dynamic expiration, immediate revocation, and controlled lifecycle transitions.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w:t>
            </w:r>
            <w:r>
              <w:rPr>
                <w:rFonts w:ascii="Cambria" w:cs="Cambria" w:eastAsia="Cambria" w:hAnsi="Cambria"/>
                <w:b w:val="false"/>
                <w:bCs w:val="false"/>
                <w:color w:val="000000"/>
                <w:sz w:val="19"/>
                <w:szCs w:val="19"/>
              </w:rPr>
              <w:t xml:space="preserve">trust-oriented authorisation framework</w:t>
            </w:r>
            <w:r>
              <w:rPr>
                <w:rFonts w:ascii="Cambria" w:cs="Cambria" w:eastAsia="Cambria" w:hAnsi="Cambria"/>
                <w:b w:val="false"/>
                <w:bCs w:val="false"/>
                <w:sz w:val="19"/>
                <w:szCs w:val="19"/>
              </w:rPr>
              <w:t xml:space="preserve">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000000"/>
          <w:sz w:val="24"/>
          <w:szCs w:val="24"/>
        </w:rPr>
        <w:t xml:space="preserve">Temporal and Lifecycle Trust — Completed (on-chain notBefore and expiry fields; revoke transaction confirmed in block 11,771,307; explicit lifecycle state machine). Comprehensive Empirical Validation — Partially delivered (23 automated tests; live jurisdiction denial and revocation-then-denial on Sepolia; independent chain verification reporting ALL CHECKS PASSED), with performance and overhead measurement remaining.</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(81)</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w:t>
      </w:r>
      <w:r>
        <w:rPr>
          <w:rFonts w:ascii="Cambria" w:cs="Cambria" w:eastAsia="Cambria" w:hAnsi="Cambria"/>
          <w:color w:val="000000"/>
          <w:sz w:val="24"/>
          <w:szCs w:val="24"/>
        </w:rPr>
        <w:t xml:space="preserve">next stage will</w:t>
      </w:r>
      <w:r>
        <w:rPr>
          <w:rFonts w:ascii="Cambria" w:cs="Cambria" w:eastAsia="Cambria" w:hAnsi="Cambria"/>
          <w:sz w:val="24"/>
          <w:szCs w:val="24"/>
        </w:rPr>
        <w:t xml:space="preserve"> complete the transition from the foundational authorisation mechanisms established in current stage to a dynamically managed, formally reasoned, and empirically validated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t xml:space="preserve">Appendix A — Traceability to the Implemented System</w:t>
      </w:r>
    </w:p>
    <w:p>
      <w:pPr>
        <w:spacing w:after="140" w:line="300"/>
        <w:jc w:val="both"/>
      </w:pPr>
      <w:r>
        <w:rPr>
          <w:rFonts w:ascii="Cambria" w:cs="Cambria" w:eastAsia="Cambria" w:hAnsi="Cambria"/>
          <w:color w:val="000000"/>
          <w:sz w:val="24"/>
          <w:szCs w:val="24"/>
        </w:rPr>
        <w:t xml:space="preserve">Table 17 summarises how each formal artefact of this report is realised in the implemented HALAH subsystem presented in Section 6.8,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RO1 / RQ1 — Consent object, Eq. (51),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subsystem: EIP-712 typed-data signatures, off-chain signer recovery per guardian DID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RO3 / RQ3 — Threshold authorisation, Eq. (54),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Decision rule and trust predicates, Eq. (59), Figure 8</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§5.2,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trust (RO5 direction)</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§6.5</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Six-state lifecycle with on-chain revocation (Section 6.8.6)</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Empirical assurance (RO6, empirical half)</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60-event ledger; RESULT: ALL CHECKS PASSED; token #2, block 11,771,581</w:t>
            </w:r>
          </w:p>
        </w:tc>
      </w:tr>
    </w:tbl>
    <w:p>
      <w:pPr>
        <w:spacing w:before="60"/>
        <w:jc w:val="center"/>
      </w:pPr>
      <w:r>
        <w:rPr>
          <w:rFonts w:ascii="Cambria" w:cs="Cambria" w:eastAsia="Cambria" w:hAnsi="Cambria"/>
          <w:i/>
          <w:iCs/>
          <w:color w:val="000000"/>
          <w:sz w:val="19"/>
          <w:szCs w:val="19"/>
        </w:rPr>
        <w:t xml:space="preserve">Table 17: Traceability from the formal artefacts of this report to the implemented mechanisms and their on-chain evidence.</w:t>
      </w:r>
    </w:p>
    <w:p>
      <w:pPr>
        <w:pStyle w:val="Heading1"/>
        <w:pageBreakBefore/>
        <w:spacing w:after="160" w:before="400"/>
      </w:pPr>
      <w:r>
        <w:t xml:space="preserve">References</w:t>
      </w:r>
    </w:p>
    <w:p>
      <w:pPr>
        <w:spacing w:after="140" w:line="300"/>
        <w:jc w:val="both"/>
      </w:pPr>
      <w:r>
        <w:rPr>
          <w:rFonts w:ascii="Cambria" w:cs="Cambria" w:eastAsia="Cambria" w:hAnsi="Cambria"/>
          <w:sz w:val="24"/>
          <w:szCs w:val="24"/>
        </w:rPr>
        <w:t xml:space="preserve">[1] Abdullah Al Mamun, Sami Azam, and Clementine Gritti. Blockchain-based electronic health records management: a comprehensive review and future research direction.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val="false"/>
          <w:bCs w:val="false"/>
          <w:sz w:val="24"/>
          <w:szCs w:val="24"/>
        </w:rPr>
        <w:t xml:space="preserve">IEEE Communications Surveys &amp; Tutorials</w:t>
      </w:r>
      <w:r>
        <w:rPr>
          <w:rFonts w:ascii="Cambria" w:cs="Cambria" w:eastAsia="Cambria" w:hAnsi="Cambria"/>
          <w:sz w:val="24"/>
          <w:szCs w:val="24"/>
        </w:rPr>
        <w:t xml:space="preserve">, 25(1):386–424,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[4] Haotian Deng, Jinwen Liang, Chuan Zhang, Ximeng Liu, Liehuang Zhu, and Song Guo. </w:t>
      </w:r>
      <w:r>
        <w:rPr>
          <w:rFonts w:ascii="Cambria" w:cs="Cambria" w:eastAsia="Cambria" w:hAnsi="Cambria"/>
          <w:color w:val="000000"/>
          <w:sz w:val="24"/>
          <w:szCs w:val="24"/>
        </w:rPr>
        <w:t xml:space="preserve">FutureDID</w:t>
      </w:r>
      <w:r>
        <w:rPr>
          <w:rFonts w:ascii="Cambria" w:cs="Cambria" w:eastAsia="Cambria" w:hAnsi="Cambria"/>
          <w:sz w:val="24"/>
          <w:szCs w:val="24"/>
        </w:rPr>
        <w:t xml:space="preserve">: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Blockchain application in healthcare systems: a review.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val="false"/>
          <w:bCs w:val="false"/>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val="false"/>
          <w:bCs w:val="false"/>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val="false"/>
          <w:bCs w:val="false"/>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w:t>
      </w:r>
      <w:r>
        <w:rPr>
          <w:rFonts w:ascii="Cambria" w:cs="Cambria" w:eastAsia="Cambria" w:hAnsi="Cambria"/>
          <w:color w:val="000000"/>
          <w:sz w:val="24"/>
          <w:szCs w:val="24"/>
        </w:rPr>
        <w:t xml:space="preserve">UCON</w:t>
      </w:r>
      <w:r>
        <w:rPr>
          <w:rFonts w:ascii="Cambria" w:cs="Cambria" w:eastAsia="Cambria" w:hAnsi="Cambria"/>
          <w:sz w:val="24"/>
          <w:szCs w:val="24"/>
        </w:rPr>
        <w:t xml:space="preserve">-based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w:t>
      </w:r>
      <w:r>
        <w:rPr>
          <w:rFonts w:ascii="Cambria" w:cs="Cambria" w:eastAsia="Cambria" w:hAnsi="Cambria"/>
          <w:color w:val="000000"/>
          <w:sz w:val="24"/>
          <w:szCs w:val="24"/>
        </w:rPr>
        <w:t xml:space="preserve">Digital Health</w:t>
      </w:r>
      <w:r>
        <w:rPr>
          <w:rFonts w:ascii="Cambria" w:cs="Cambria" w:eastAsia="Cambria" w:hAnsi="Cambria"/>
          <w:sz w:val="24"/>
          <w:szCs w:val="24"/>
        </w:rPr>
        <w:t xml:space="preserve">,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w:t>
      </w:r>
      <w:r>
        <w:rPr>
          <w:rFonts w:ascii="Cambria" w:cs="Cambria" w:eastAsia="Cambria" w:hAnsi="Cambria"/>
          <w:color w:val="000000"/>
          <w:sz w:val="24"/>
          <w:szCs w:val="24"/>
        </w:rPr>
        <w:t xml:space="preserve">Glenn</w:t>
      </w:r>
      <w:r>
        <w:rPr>
          <w:rFonts w:ascii="Cambria" w:cs="Cambria" w:eastAsia="Cambria" w:hAnsi="Cambria"/>
          <w:sz w:val="24"/>
          <w:szCs w:val="24"/>
        </w:rPr>
        <w:t xml:space="preserve">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val="false"/>
          <w:bCs w:val="false"/>
          <w:sz w:val="24"/>
          <w:szCs w:val="24"/>
        </w:rPr>
        <w:t xml:space="preserve">1(2):</w:t>
      </w:r>
      <w:r>
        <w:rPr>
          <w:rFonts w:ascii="Cambria" w:cs="Cambria" w:eastAsia="Cambria" w:hAnsi="Cambria"/>
          <w:sz w:val="24"/>
          <w:szCs w:val="24"/>
        </w:rPr>
        <w:t xml:space="preserve">244–271, 2023.</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w:t>
      </w:r>
      <w:r>
        <w:rPr>
          <w:rFonts w:ascii="Cambria" w:cs="Cambria" w:eastAsia="Cambria" w:hAnsi="Cambria"/>
          <w:color w:val="000000"/>
          <w:sz w:val="24"/>
          <w:szCs w:val="24"/>
        </w:rPr>
        <w:t xml:space="preserve">TEE</w:t>
      </w:r>
      <w:r>
        <w:rPr>
          <w:rFonts w:ascii="Cambria" w:cs="Cambria" w:eastAsia="Cambria" w:hAnsi="Cambria"/>
          <w:sz w:val="24"/>
          <w:szCs w:val="24"/>
        </w:rPr>
        <w:t xml:space="preserve">-enabled sensing and </w:t>
      </w:r>
      <w:r>
        <w:rPr>
          <w:rFonts w:ascii="Cambria" w:cs="Cambria" w:eastAsia="Cambria" w:hAnsi="Cambria"/>
          <w:color w:val="000000"/>
          <w:sz w:val="24"/>
          <w:szCs w:val="24"/>
        </w:rPr>
        <w:t xml:space="preserve">Byzantine</w:t>
      </w:r>
      <w:r>
        <w:rPr>
          <w:rFonts w:ascii="Cambria" w:cs="Cambria" w:eastAsia="Cambria" w:hAnsi="Cambria"/>
          <w:sz w:val="24"/>
          <w:szCs w:val="24"/>
        </w:rPr>
        <w:t xml:space="preserv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color w:val="000000"/>
          <w:sz w:val="24"/>
          <w:szCs w:val="24"/>
        </w:rPr>
        <w:t xml:space="preserve">27:3641–3671,</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w:t>
      </w:r>
      <w:r>
        <w:rPr>
          <w:rFonts w:ascii="Cambria" w:cs="Cambria" w:eastAsia="Cambria" w:hAnsi="Cambria"/>
          <w:color w:val="000000"/>
          <w:sz w:val="24"/>
          <w:szCs w:val="24"/>
        </w:rPr>
        <w:t xml:space="preserve">Cindy Welzel, Max Ostermann, Hannah Louise Smith, Timo Minssen, Toralf Kirsten, and Stephen Gilbert. Enabling secure and self determined health data sharing and consent management. npj Digital Medicine, 8(1):560, 2025.</w:t>
      </w:r>
    </w:p>
    <w:p>
      <w:pPr>
        <w:spacing w:after="140" w:line="300"/>
        <w:jc w:val="both"/>
      </w:pPr>
      <w:r>
        <w:rPr>
          <w:rFonts w:ascii="Cambria" w:cs="Cambria" w:eastAsia="Cambria" w:hAnsi="Cambria"/>
          <w:sz w:val="24"/>
          <w:szCs w:val="24"/>
        </w:rPr>
        <w:t xml:space="preserve">[22] Roy McClelland and Colin M Harper. Information privacy in healthcare—the vital role of informed consent. </w:t>
      </w:r>
      <w:r>
        <w:rPr>
          <w:rFonts w:ascii="Cambria" w:cs="Cambria" w:eastAsia="Cambria" w:hAnsi="Cambria"/>
          <w:b w:val="false"/>
          <w:bCs w:val="false"/>
          <w:sz w:val="24"/>
          <w:szCs w:val="24"/>
        </w:rPr>
        <w:t xml:space="preserve">European Journal of Health Law</w:t>
      </w:r>
      <w:r>
        <w:rPr>
          <w:rFonts w:ascii="Cambria" w:cs="Cambria" w:eastAsia="Cambria" w:hAnsi="Cambria"/>
          <w:sz w:val="24"/>
          <w:szCs w:val="24"/>
        </w:rPr>
        <w:t xml:space="preserve">, 30(4):469–480,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Enhancing patient autonomy in data ownership: privacy models and consent frameworks for healthcare. Journal of Digital Health, </w:t>
      </w:r>
      <w:r>
        <w:rPr>
          <w:rFonts w:ascii="Cambria" w:cs="Cambria" w:eastAsia="Cambria" w:hAnsi="Cambria"/>
          <w:color w:val="000000"/>
          <w:sz w:val="24"/>
          <w:szCs w:val="24"/>
        </w:rPr>
        <w:t xml:space="preserve">4(1):</w:t>
      </w:r>
      <w:r>
        <w:rPr>
          <w:rFonts w:ascii="Cambria" w:cs="Cambria" w:eastAsia="Cambria" w:hAnsi="Cambria"/>
          <w:sz w:val="24"/>
          <w:szCs w:val="24"/>
        </w:rPr>
        <w:t xml:space="preserve">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ACM Transactions on Management Information Systems (TMIS), 13(4):1–21, 2022.</w:t>
      </w:r>
    </w:p>
    <w:p>
      <w:pPr>
        <w:spacing w:after="140" w:line="300"/>
        <w:jc w:val="both"/>
      </w:pPr>
      <w:r>
        <w:rPr>
          <w:rFonts w:ascii="Cambria" w:cs="Cambria" w:eastAsia="Cambria" w:hAnsi="Cambria"/>
          <w:sz w:val="24"/>
          <w:szCs w:val="24"/>
        </w:rPr>
        <w:t xml:space="preserve">[28] Ahmed M Tawfik, Ayman Al-Ahwal, Adly S Tag Eldien, and Hala H Zayed. Blockchain-based access control and privacy preservation in healthcare: a comprehensive survey.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val="false"/>
          <w:bCs w:val="false"/>
          <w:sz w:val="24"/>
          <w:szCs w:val="24"/>
        </w:rPr>
        <w:t xml:space="preserve">Pediatrics, 144(1):e20191359,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val="false"/>
          <w:bCs w:val="false"/>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w:t>
      </w:r>
      <w:r>
        <w:rPr>
          <w:rFonts w:ascii="Cambria" w:cs="Cambria" w:eastAsia="Cambria" w:hAnsi="Cambria"/>
          <w:color w:val="000000"/>
          <w:sz w:val="24"/>
          <w:szCs w:val="24"/>
        </w:rPr>
        <w:t xml:space="preserve">DP-DID</w:t>
      </w:r>
      <w:r>
        <w:rPr>
          <w:rFonts w:ascii="Cambria" w:cs="Cambria" w:eastAsia="Cambria" w:hAnsi="Cambria"/>
          <w:sz w:val="24"/>
          <w:szCs w:val="24"/>
        </w:rPr>
        <w:t xml:space="preserve">: A dynamic and proactive decentralized identity system. IEEE Transactions on Information Forensics and Security, </w:t>
      </w:r>
      <w:r>
        <w:rPr>
          <w:rFonts w:ascii="Cambria" w:cs="Cambria" w:eastAsia="Cambria" w:hAnsi="Cambria"/>
          <w:b w:val="false"/>
          <w:bCs w:val="false"/>
          <w:sz w:val="24"/>
          <w:szCs w:val="24"/>
        </w:rPr>
        <w:t xml:space="preserve">20:</w:t>
      </w:r>
      <w:r>
        <w:rPr>
          <w:rFonts w:ascii="Cambria" w:cs="Cambria" w:eastAsia="Cambria" w:hAnsi="Cambria"/>
          <w:sz w:val="24"/>
          <w:szCs w:val="24"/>
        </w:rPr>
        <w:t xml:space="preserve">4999–5014, 2025.</w:t>
      </w:r>
    </w:p>
    <w:p>
      <w:pPr>
        <w:spacing w:after="140" w:line="300"/>
        <w:jc w:val="both"/>
      </w:pPr>
      <w:r>
        <w:rPr>
          <w:rFonts w:ascii="Cambria" w:cs="Cambria" w:eastAsia="Cambria" w:hAnsi="Cambria"/>
          <w:sz w:val="24"/>
          <w:szCs w:val="24"/>
        </w:rPr>
        <w:t xml:space="preserve">[34] </w:t>
      </w:r>
      <w:r>
        <w:rPr>
          <w:rFonts w:ascii="Cambria" w:cs="Cambria" w:eastAsia="Cambria" w:hAnsi="Cambria"/>
          <w:color w:val="000000"/>
          <w:sz w:val="24"/>
          <w:szCs w:val="24"/>
        </w:rPr>
        <w:t xml:space="preserve">Matthew J Page, Joanne E McKenzie, Patrick M Bossuyt, Isabelle Boutron, Tammy C Hoffmann, Cynthia D Mulrow, et al. The PRISMA 2020 statement: an updated guideline for reporting systematic reviews. BMJ, 372:n71, 2021.</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ac4283ac7c9dffcd42565f9f279d568fa67012.png"/><Relationship Id="rId9" Type="http://schemas.openxmlformats.org/officeDocument/2006/relationships/image" Target="media/d4fcae5448728df700f7fcb56b8fc5a1fc56fa7f.png"/><Relationship Id="rId10" Type="http://schemas.openxmlformats.org/officeDocument/2006/relationships/image" Target="media/5725741516b6d7350742358c69ef15dffd19ce8b.png"/><Relationship Id="rId11" Type="http://schemas.openxmlformats.org/officeDocument/2006/relationships/image" Target="media/8dbf8f8114ee1a36bb173391ae40c477f5a9f4e7.png"/><Relationship Id="rId12" Type="http://schemas.openxmlformats.org/officeDocument/2006/relationships/image" Target="media/0ed002e09311e352eea87b4c3d6bc1c202f9bce1.png"/><Relationship Id="rId13" Type="http://schemas.openxmlformats.org/officeDocument/2006/relationships/image" Target="media/2b536558d832546ec393dd67925c929dd6236fad.png"/><Relationship Id="rId14" Type="http://schemas.openxmlformats.org/officeDocument/2006/relationships/image" Target="media/e698f47fea018ba4e2802cc16cd6dfd9035c7463.png"/><Relationship Id="rId15" Type="http://schemas.openxmlformats.org/officeDocument/2006/relationships/image" Target="media/580bfb808c41b68f58dd6143da2bda07a4fdfcd6.png"/><Relationship Id="rId16" Type="http://schemas.openxmlformats.org/officeDocument/2006/relationships/image" Target="media/cfb68299954ed8f8f5e10a9a9db637b9bb1e6943.png"/><Relationship Id="rId17" Type="http://schemas.openxmlformats.org/officeDocument/2006/relationships/image" Target="media/afac86a350f9945eeb94b9ee246e19d29bb41335.png"/><Relationship Id="rId18" Type="http://schemas.openxmlformats.org/officeDocument/2006/relationships/image" Target="media/57269d3037ae27a47832f78cc97338fc97672c78.png"/><Relationship Id="rId19" Type="http://schemas.openxmlformats.org/officeDocument/2006/relationships/image" Target="media/ee95cfbafdc45fc97602cba6ccc94f86e621b2e0.png"/><Relationship Id="rId20" Type="http://schemas.openxmlformats.org/officeDocument/2006/relationships/image" Target="media/8a0259851c9ce9543a4dd4e70fbf6ef776d64c4f.png"/><Relationship Id="rId21" Type="http://schemas.openxmlformats.org/officeDocument/2006/relationships/image" Target="media/751a1c2ff4c695ebcf2d04aee2d3822c664dbd66.png"/><Relationship Id="rId22" Type="http://schemas.openxmlformats.org/officeDocument/2006/relationships/image" Target="media/fcbfc7caea7791f142b62cd810e09ae43c0a3029.png"/><Relationship Id="rId23" Type="http://schemas.openxmlformats.org/officeDocument/2006/relationships/image" Target="media/098992a49f33b5863197c094b0274b3a570ac6b0.png"/><Relationship Id="rId24" Type="http://schemas.openxmlformats.org/officeDocument/2006/relationships/image" Target="media/340cd7ece83aa7b471f90497fa4ab20abba8cb78.png"/><Relationship Id="rId25" Type="http://schemas.openxmlformats.org/officeDocument/2006/relationships/image" Target="media/29a8d803374a279180f0fb7569fd71a96e4828cc.png"/><Relationship Id="rId26" Type="http://schemas.openxmlformats.org/officeDocument/2006/relationships/image" Target="media/93e2e5b518189f1af9628f404919fff014730a4c.png"/><Relationship Id="rId27" Type="http://schemas.openxmlformats.org/officeDocument/2006/relationships/image" Target="media/0c260341434b1a3d96e8ec816e8fdf21bc280008.png"/><Relationship Id="rId28" Type="http://schemas.openxmlformats.org/officeDocument/2006/relationships/image" Target="media/3b43f208c34e619a9b1fcd7a8da9990014f117c8.png"/><Relationship Id="rId29" Type="http://schemas.openxmlformats.org/officeDocument/2006/relationships/image" Target="media/86a2658ddba90ee4c38a66206a6a68c15d95f581.png"/><Relationship Id="rId30" Type="http://schemas.openxmlformats.org/officeDocument/2006/relationships/image" Target="media/b042baccd1b6ddb409d02825dcbf0a0b42cf8600.png"/><Relationship Id="rId31" Type="http://schemas.openxmlformats.org/officeDocument/2006/relationships/image" Target="media/b08ef3c27e50bcebac919f21b9b3c4430a015386.png"/><Relationship Id="rId32" Type="http://schemas.openxmlformats.org/officeDocument/2006/relationships/image" Target="media/5aab1f9956758b1489f12e56e316ce914adfc234.png"/><Relationship Id="rId33" Type="http://schemas.openxmlformats.org/officeDocument/2006/relationships/image" Target="media/dca988adf54061cfd18e3b65d04cc93b4c0821a5.png"/><Relationship Id="rId34" Type="http://schemas.openxmlformats.org/officeDocument/2006/relationships/image" Target="media/ced20419b26ad52dabc386ca8fa03e512cf67f8c.png"/><Relationship Id="rId35" Type="http://schemas.openxmlformats.org/officeDocument/2006/relationships/image" Target="media/e56b4f992bdd903593631381fadd9d088590b949.png"/><Relationship Id="rId36" Type="http://schemas.openxmlformats.org/officeDocument/2006/relationships/image" Target="media/31dcbc50059ae2791ce05a42c041185014378f3f.png"/><Relationship Id="rId37" Type="http://schemas.openxmlformats.org/officeDocument/2006/relationships/image" Target="media/ce3dcc9a910c6fc9b80e1215a4025c2e03d7ae91.png"/><Relationship Id="rId38" Type="http://schemas.openxmlformats.org/officeDocument/2006/relationships/image" Target="media/8f7d48ee1d3a925ebd1d5709598063d3ff8e3925.png"/><Relationship Id="rId39" Type="http://schemas.openxmlformats.org/officeDocument/2006/relationships/image" Target="media/379af060121c595b8dab938b017503bf01d94543.png"/><Relationship Id="rId40" Type="http://schemas.openxmlformats.org/officeDocument/2006/relationships/image" Target="media/3a13ccfef28f9583bfb8ffa6fad6c0cd87ee4e3f.png"/><Relationship Id="rId41" Type="http://schemas.openxmlformats.org/officeDocument/2006/relationships/image" Target="media/c67c351664df141a74ad4841b37c3e4adf06cdc8.png"/><Relationship Id="rId42" Type="http://schemas.openxmlformats.org/officeDocument/2006/relationships/image" Target="media/6b2eed335569e4023d73a2acfc049e4652246425.png"/><Relationship Id="rId43" Type="http://schemas.openxmlformats.org/officeDocument/2006/relationships/image" Target="media/0dab734b3591fc6e44f28d70c229863ac765dd6c.png"/><Relationship Id="rId44" Type="http://schemas.openxmlformats.org/officeDocument/2006/relationships/image" Target="media/77a7b903f3de550876bb41810cdf2d1e7c0ac7f2.png"/><Relationship Id="rId45" Type="http://schemas.openxmlformats.org/officeDocument/2006/relationships/image" Target="media/2f0f0886862a384327500130debd3ae79225e0b4.png"/><Relationship Id="rId46" Type="http://schemas.openxmlformats.org/officeDocument/2006/relationships/image" Target="media/05da8f4effe706cf5aafdd89f16572da00d8acd2.png"/><Relationship Id="rId47" Type="http://schemas.openxmlformats.org/officeDocument/2006/relationships/image" Target="media/18110f2d94411825c7d788fe5ccde19f68a450f5.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Un-named</cp:lastModifiedBy>
  <cp:revision>1</cp:revision>
  <dcterms:created xsi:type="dcterms:W3CDTF">2026-09-29T05:59:38.641Z</dcterms:created>
  <dcterms:modified xsi:type="dcterms:W3CDTF">2026-09-29T05:59:38.641Z</dcterms:modified>
</cp:coreProperties>
</file>

<file path=docProps/custom.xml><?xml version="1.0" encoding="utf-8"?>
<Properties xmlns="http://schemas.openxmlformats.org/officeDocument/2006/custom-properties" xmlns:vt="http://schemas.openxmlformats.org/officeDocument/2006/docPropsVTypes"/>
</file>