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[16]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We carried out all screening, coding, and quality assessment up to the reporting checkpoint,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[52]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28, 29], and the four stream-5 systems that enforce time inside the decision are all single-party, with [49] doing so through the credential rather than the consent.</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We observed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[55],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67] 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67]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throughout this report.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[69]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 guardians'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guardians whose approvals have been verified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set of verified approving guardians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Beyond the access decision shown in Figure 6, the prototype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 67].</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be non-empty, and every guardian in it must have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authorised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approving guardians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proof shows that the prover knows the secret and the expiry time behind a Poseidon commitment [70]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 PENDING_TOKEN is the brief state between the last verified approval and the recording of the local token identifier</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At each evaluation,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check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be a major part of the next stage.</w:t>
      </w:r>
      <w:r>
        <w:rPr>
          <w:rFonts w:ascii="Times New Roman" w:cs="Times New Roman" w:eastAsia="Times New Roman" w:hAnsi="Times New Roman"/>
          <w:sz w:val="22"/>
          <w:szCs w:val="22"/>
        </w:rPr>
        <w:t xml:space="preserve"> The main activities of the next stage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[71] that follows ERC-5484 [72]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purpose check that does not yet compare a separately declared request purpose,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565ce8f785f06ceab5330ae7f258bb86738f6482.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b448f93524a4a532be2db1c766d2e48892487b60.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0a67ab0366ae1729f7207a8df5eb71a59d233df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2026-10-06T06:19:42.598Z</dcterms:created>
  <dcterms:modified xsi:type="dcterms:W3CDTF">2026-10-06T06:19:42.599Z</dcterms:modified>
</cp:coreProperties>
</file>

<file path=docProps/custom.xml><?xml version="1.0" encoding="utf-8"?>
<Properties xmlns="http://schemas.openxmlformats.org/officeDocument/2006/custom-properties" xmlns:vt="http://schemas.openxmlformats.org/officeDocument/2006/docPropsVTypes"/>
</file>