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Authorization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22</w:t>
      </w:r>
    </w:p>
    <w:p>
      <w:pPr>
        <w:tabs>
          <w:tab w:val="right" w:pos="9128" w:leader="dot"/>
        </w:tabs>
        <w:spacing w:after="100"/>
      </w:pPr>
      <w:r>
        <w:rPr>
          <w:rFonts w:ascii="Times New Roman" w:cs="Times New Roman" w:eastAsia="Times New Roman" w:hAnsi="Times New Roman"/>
          <w:sz w:val="22"/>
          <w:szCs w:val="22"/>
        </w:rPr>
        <w:t xml:space="preserve">6. The Proposed Solution for RO1	29</w:t>
      </w:r>
    </w:p>
    <w:p>
      <w:pPr>
        <w:tabs>
          <w:tab w:val="right" w:pos="9128" w:leader="dot"/>
        </w:tabs>
        <w:spacing w:after="100"/>
      </w:pPr>
      <w:r>
        <w:rPr>
          <w:rFonts w:ascii="Times New Roman" w:cs="Times New Roman" w:eastAsia="Times New Roman" w:hAnsi="Times New Roman"/>
          <w:sz w:val="22"/>
          <w:szCs w:val="22"/>
        </w:rPr>
        <w:t xml:space="preserve">7. The Proposed Solution for RO2	33</w:t>
      </w:r>
    </w:p>
    <w:p>
      <w:pPr>
        <w:tabs>
          <w:tab w:val="right" w:pos="9128" w:leader="dot"/>
        </w:tabs>
        <w:spacing w:after="100"/>
      </w:pPr>
      <w:r>
        <w:rPr>
          <w:rFonts w:ascii="Times New Roman" w:cs="Times New Roman" w:eastAsia="Times New Roman" w:hAnsi="Times New Roman"/>
          <w:sz w:val="22"/>
          <w:szCs w:val="22"/>
        </w:rPr>
        <w:t xml:space="preserve">8. The Proposed Solution for RO3	37</w:t>
      </w:r>
    </w:p>
    <w:p>
      <w:pPr>
        <w:tabs>
          <w:tab w:val="right" w:pos="9128" w:leader="dot"/>
        </w:tabs>
        <w:spacing w:after="100"/>
      </w:pPr>
      <w:r>
        <w:rPr>
          <w:rFonts w:ascii="Times New Roman" w:cs="Times New Roman" w:eastAsia="Times New Roman" w:hAnsi="Times New Roman"/>
          <w:sz w:val="22"/>
          <w:szCs w:val="22"/>
        </w:rPr>
        <w:t xml:space="preserve">9. The Proposed Solution for RO4	42</w:t>
      </w:r>
    </w:p>
    <w:p>
      <w:pPr>
        <w:tabs>
          <w:tab w:val="right" w:pos="9128" w:leader="dot"/>
        </w:tabs>
        <w:spacing w:after="100"/>
      </w:pPr>
      <w:r>
        <w:rPr>
          <w:rFonts w:ascii="Times New Roman" w:cs="Times New Roman" w:eastAsia="Times New Roman" w:hAnsi="Times New Roman"/>
          <w:sz w:val="22"/>
          <w:szCs w:val="22"/>
        </w:rPr>
        <w:t xml:space="preserve">10. The Proposed Solution for RO5	47</w:t>
      </w:r>
    </w:p>
    <w:p>
      <w:pPr>
        <w:tabs>
          <w:tab w:val="right" w:pos="9128" w:leader="dot"/>
        </w:tabs>
        <w:spacing w:after="100"/>
      </w:pPr>
      <w:r>
        <w:rPr>
          <w:rFonts w:ascii="Times New Roman" w:cs="Times New Roman" w:eastAsia="Times New Roman" w:hAnsi="Times New Roman"/>
          <w:sz w:val="22"/>
          <w:szCs w:val="22"/>
        </w:rPr>
        <w:t xml:space="preserve">11. The Proposed Solution for RO6	50</w:t>
      </w:r>
    </w:p>
    <w:p>
      <w:pPr>
        <w:tabs>
          <w:tab w:val="right" w:pos="9128" w:leader="dot"/>
        </w:tabs>
        <w:spacing w:after="100"/>
      </w:pPr>
      <w:r>
        <w:rPr>
          <w:rFonts w:ascii="Times New Roman" w:cs="Times New Roman" w:eastAsia="Times New Roman" w:hAnsi="Times New Roman"/>
          <w:sz w:val="22"/>
          <w:szCs w:val="22"/>
        </w:rPr>
        <w:t xml:space="preserve">12. Publications Summary	64</w:t>
      </w:r>
    </w:p>
    <w:p>
      <w:pPr>
        <w:tabs>
          <w:tab w:val="right" w:pos="9128" w:leader="dot"/>
        </w:tabs>
        <w:spacing w:after="100"/>
      </w:pPr>
      <w:r>
        <w:rPr>
          <w:rFonts w:ascii="Times New Roman" w:cs="Times New Roman" w:eastAsia="Times New Roman" w:hAnsi="Times New Roman"/>
          <w:sz w:val="22"/>
          <w:szCs w:val="22"/>
        </w:rPr>
        <w:t xml:space="preserve">13. Research Plan	65</w:t>
      </w:r>
    </w:p>
    <w:p>
      <w:pPr>
        <w:tabs>
          <w:tab w:val="right" w:pos="9128" w:leader="dot"/>
        </w:tabs>
        <w:spacing w:after="100"/>
      </w:pPr>
      <w:r>
        <w:rPr>
          <w:rFonts w:ascii="Times New Roman" w:cs="Times New Roman" w:eastAsia="Times New Roman" w:hAnsi="Times New Roman"/>
          <w:sz w:val="22"/>
          <w:szCs w:val="22"/>
        </w:rPr>
        <w:t xml:space="preserve">References	67</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The digitalisation of society has created an increasing demand for secure and trustworthy data sharing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highlight w:val="yellow"/>
        </w:rPr>
        <w:t xml:space="preserve">[1–3]</w:t>
      </w:r>
      <w:r>
        <w:rPr>
          <w:rFonts w:ascii="Times New Roman" w:cs="Times New Roman" w:eastAsia="Times New Roman" w:hAnsi="Times New Roman"/>
          <w:sz w:val="22"/>
          <w:szCs w:val="22"/>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 Healthcare represents a particularly important and challenging example of this broader problem.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highlight w:val="yellow"/>
        </w:rPr>
        <w:t xml:space="preserve">[4, 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w:t>
      </w:r>
      <w:r>
        <w:rPr>
          <w:rFonts w:ascii="Times New Roman" w:cs="Times New Roman" w:eastAsia="Times New Roman" w:hAnsi="Times New Roman"/>
          <w:sz w:val="22"/>
          <w:szCs w:val="22"/>
          <w:highlight w:val="yellow"/>
        </w:rPr>
        <w:t xml:space="preserve">[6–9]</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w:t>
      </w:r>
      <w:r>
        <w:rPr>
          <w:rFonts w:ascii="Times New Roman" w:cs="Times New Roman" w:eastAsia="Times New Roman" w:hAnsi="Times New Roman"/>
          <w:sz w:val="22"/>
          <w:szCs w:val="22"/>
          <w:highlight w:val="yellow"/>
        </w:rPr>
        <w:t xml:space="preserve">[9, 10]</w:t>
      </w:r>
      <w:r>
        <w:rPr>
          <w:rFonts w:ascii="Times New Roman" w:cs="Times New Roman" w:eastAsia="Times New Roman" w:hAnsi="Times New Roman"/>
          <w:sz w:val="22"/>
          <w:szCs w:val="22"/>
        </w:rPr>
        <w:t xml:space="preserve">.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highlight w:val="yellow"/>
        </w:rPr>
        <w:t xml:space="preserve">[4, 11]</w:t>
      </w:r>
      <w:r>
        <w:rPr>
          <w:rFonts w:ascii="Times New Roman" w:cs="Times New Roman" w:eastAsia="Times New Roman" w:hAnsi="Times New Roman"/>
          <w:sz w:val="22"/>
          <w:szCs w:val="22"/>
        </w:rPr>
        <w:t xml:space="preserve">. These scenarios demonstrate that authorisation is increasingly a distributed governance problem rather than simply a process of authenticating a user and checking a static permission </w:t>
      </w:r>
      <w:r>
        <w:rPr>
          <w:rFonts w:ascii="Times New Roman" w:cs="Times New Roman" w:eastAsia="Times New Roman" w:hAnsi="Times New Roman"/>
          <w:sz w:val="22"/>
          <w:szCs w:val="22"/>
          <w:highlight w:val="yellow"/>
        </w:rPr>
        <w:t xml:space="preserve">[12]</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highlight w:val="yellow"/>
        </w:rPr>
        <w:t xml:space="preserve">[3, 13–15]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while decentralised identifiers </w:t>
      </w:r>
      <w:r>
        <w:rPr>
          <w:rFonts w:ascii="Times New Roman" w:cs="Times New Roman" w:eastAsia="Times New Roman" w:hAnsi="Times New Roman"/>
          <w:sz w:val="22"/>
          <w:szCs w:val="22"/>
          <w:highlight w:val="yellow"/>
        </w:rPr>
        <w:t xml:space="preserve">[16]</w:t>
      </w:r>
      <w:r>
        <w:rPr>
          <w:rFonts w:ascii="Times New Roman" w:cs="Times New Roman" w:eastAsia="Times New Roman" w:hAnsi="Times New Roman"/>
          <w:sz w:val="22"/>
          <w:szCs w:val="22"/>
        </w:rPr>
        <w:t xml:space="preserve">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w:t>
      </w:r>
      <w:r>
        <w:rPr>
          <w:rFonts w:ascii="Times New Roman" w:cs="Times New Roman" w:eastAsia="Times New Roman" w:hAnsi="Times New Roman"/>
          <w:sz w:val="22"/>
          <w:szCs w:val="22"/>
          <w:highlight w:val="yellow"/>
        </w:rPr>
        <w:t xml:space="preserve">[16, 17]</w:t>
      </w:r>
      <w:r>
        <w:rPr>
          <w:rFonts w:ascii="Times New Roman" w:cs="Times New Roman" w:eastAsia="Times New Roman" w:hAnsi="Times New Roman"/>
          <w:sz w:val="22"/>
          <w:szCs w:val="22"/>
        </w:rPr>
        <w:t xml:space="preserve">, and policy-based access-control mechanisms can restrict access to authorised resources </w:t>
      </w:r>
      <w:r>
        <w:rPr>
          <w:rFonts w:ascii="Times New Roman" w:cs="Times New Roman" w:eastAsia="Times New Roman" w:hAnsi="Times New Roman"/>
          <w:sz w:val="22"/>
          <w:szCs w:val="22"/>
          <w:highlight w:val="yellow"/>
        </w:rPr>
        <w:t xml:space="preserve">[9, 10, 18]</w:t>
      </w:r>
      <w:r>
        <w:rPr>
          <w:rFonts w:ascii="Times New Roman" w:cs="Times New Roman" w:eastAsia="Times New Roman" w:hAnsi="Times New Roman"/>
          <w:sz w:val="22"/>
          <w:szCs w:val="22"/>
        </w:rPr>
        <w:t xml:space="preserve">. However, an immutable record does not necessarily demonstrate that the participating entities were legitimate, that they possessed the required authority, or that a subsequent data-access request remains consistent with the conditions originally authorised. This requires a transition from viewing consent as a static record of permission towards understanding consent as an active and evaluable component of a broader authorisation process, extending the dynamic consent perspective </w:t>
      </w:r>
      <w:r>
        <w:rPr>
          <w:rFonts w:ascii="Times New Roman" w:cs="Times New Roman" w:eastAsia="Times New Roman" w:hAnsi="Times New Roman"/>
          <w:sz w:val="22"/>
          <w:szCs w:val="22"/>
          <w:highlight w:val="yellow"/>
        </w:rPr>
        <w:t xml:space="preserve">[6, 19]</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highlight w:val="yellow"/>
        </w:rPr>
        <w:t xml:space="preserve">[19, 20]</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highlight w:val="yellow"/>
        </w:rPr>
        <w:t xml:space="preserve">[21, 22]</w:t>
      </w:r>
      <w:r>
        <w:rPr>
          <w:rFonts w:ascii="Times New Roman" w:cs="Times New Roman" w:eastAsia="Times New Roman" w:hAnsi="Times New Roman"/>
          <w:sz w:val="22"/>
          <w:szCs w:val="22"/>
        </w:rPr>
        <w:t xml:space="preserve">, blockchain-based records </w:t>
      </w:r>
      <w:r>
        <w:rPr>
          <w:rFonts w:ascii="Times New Roman" w:cs="Times New Roman" w:eastAsia="Times New Roman" w:hAnsi="Times New Roman"/>
          <w:sz w:val="22"/>
          <w:szCs w:val="22"/>
          <w:highlight w:val="yellow"/>
        </w:rPr>
        <w:t xml:space="preserve">[23, 24]</w:t>
      </w:r>
      <w:r>
        <w:rPr>
          <w:rFonts w:ascii="Times New Roman" w:cs="Times New Roman" w:eastAsia="Times New Roman" w:hAnsi="Times New Roman"/>
          <w:sz w:val="22"/>
          <w:szCs w:val="22"/>
        </w:rPr>
        <w:t xml:space="preserve">, multi-party approval mechanisms </w:t>
      </w:r>
      <w:r>
        <w:rPr>
          <w:rFonts w:ascii="Times New Roman" w:cs="Times New Roman" w:eastAsia="Times New Roman" w:hAnsi="Times New Roman"/>
          <w:sz w:val="22"/>
          <w:szCs w:val="22"/>
          <w:highlight w:val="yellow"/>
        </w:rPr>
        <w:t xml:space="preserve">[23, 25–27]</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highlight w:val="yellow"/>
        </w:rPr>
        <w:t xml:space="preserve">[28–31]</w:t>
      </w:r>
      <w:r>
        <w:rPr>
          <w:rFonts w:ascii="Times New Roman" w:cs="Times New Roman" w:eastAsia="Times New Roman" w:hAnsi="Times New Roman"/>
          <w:sz w:val="22"/>
          <w:szCs w:val="22"/>
        </w:rPr>
        <w:t xml:space="preserve">, as well as several partial combinations </w:t>
      </w:r>
      <w:r>
        <w:rPr>
          <w:rFonts w:ascii="Times New Roman" w:cs="Times New Roman" w:eastAsia="Times New Roman" w:hAnsi="Times New Roman"/>
          <w:sz w:val="22"/>
          <w:szCs w:val="22"/>
          <w:highlight w:val="yellow"/>
        </w:rPr>
        <w:t xml:space="preserve">[21, 25, 32]</w:t>
      </w:r>
      <w:r>
        <w:rPr>
          <w:rFonts w:ascii="Times New Roman" w:cs="Times New Roman" w:eastAsia="Times New Roman" w:hAnsi="Times New Roman"/>
          <w:sz w:val="22"/>
          <w:szCs w:val="22"/>
        </w:rPr>
        <w:t xml:space="preserve">.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highlight w:val="yellow"/>
        </w:rPr>
        <w:t xml:space="preserve">[33, 34]</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jurisdictional conditions,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and RO6 are in progress, and part of each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w:t>
      </w:r>
      <w:r>
        <w:rPr>
          <w:rFonts w:ascii="Times New Roman" w:cs="Times New Roman" w:eastAsia="Times New Roman" w:hAnsi="Times New Roman"/>
          <w:sz w:val="22"/>
          <w:szCs w:val="22"/>
          <w:highlight w:val="yellow"/>
        </w:rPr>
        <w:t xml:space="preserve">[35]</w:t>
      </w:r>
      <w:r>
        <w:rPr>
          <w:rFonts w:ascii="Times New Roman" w:cs="Times New Roman" w:eastAsia="Times New Roman" w:hAnsi="Times New Roman"/>
          <w:sz w:val="22"/>
          <w:szCs w:val="22"/>
        </w:rPr>
        <w:t xml:space="preserve">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highlight w:val="yellow"/>
        </w:rPr>
        <w:t xml:space="preserve">[4, 6–8, 36]</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highlight w:val="yellow"/>
        </w:rPr>
        <w:t xml:space="preserve">[3, 18, 37–39]</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highlight w:val="yellow"/>
        </w:rPr>
        <w:t xml:space="preserve">[16, 17, 40–43]</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highlight w:val="yellow"/>
        </w:rPr>
        <w:t xml:space="preserve">[9, 10, 44, 45]</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data scope, and jurisdiction, temporal validity, 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Every request should be evaluated against contextual constraints such as jurisdiction, because many unauthorised disclosures are caused by legitimate requesters who exceed their scope </w:t>
      </w:r>
      <w:r>
        <w:rPr>
          <w:rFonts w:ascii="Times New Roman" w:cs="Times New Roman" w:eastAsia="Times New Roman" w:hAnsi="Times New Roman"/>
          <w:sz w:val="22"/>
          <w:szCs w:val="22"/>
          <w:highlight w:val="yellow"/>
        </w:rPr>
        <w:t xml:space="preserve">[45]</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highlight w:val="yellow"/>
        </w:rPr>
        <w:t xml:space="preserve">[46]</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rPr>
        <w:t xml:space="preserve">We </w:t>
      </w:r>
      <w:r>
        <w:rPr>
          <w:rFonts w:ascii="Times New Roman" w:cs="Times New Roman" w:eastAsia="Times New Roman" w:hAnsi="Times New Roman"/>
          <w:sz w:val="22"/>
          <w:szCs w:val="22"/>
        </w:rPr>
        <w:t xml:space="preserve">carried out all screening, coding, and quality assessment up to the reporting checkpoint,</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These questions were formulated to ensure that the review remained directly aligned with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highlight w:val="yellow"/>
        </w:rPr>
        <w:t xml:space="preserve">[23, 24, 47, 48]</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The inclusion and exclusion criteria were applied consistently throughout the screening process.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 had been assessed, and 44 reports had been fully coded and passed the quality gate. </w:t>
      </w:r>
      <w:r>
        <w:rPr>
          <w:rFonts w:ascii="Times New Roman" w:cs="Times New Roman" w:eastAsia="Times New Roman" w:hAnsi="Times New Roman"/>
          <w:sz w:val="22"/>
          <w:szCs w:val="22"/>
        </w:rPr>
        <w:t xml:space="preserve">One full-text report could not be retrieved, and 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highlight w:val="yellow"/>
        </w:rPr>
        <w:t xml:space="preserve">[48, 49]</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sz w:val="22"/>
          <w:szCs w:val="22"/>
        </w:rPr>
        <w:t xml:space="preserve">Table 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4695825" cy="428625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w:t>
            </w:r>
            <w:r>
              <w:rPr>
                <w:rFonts w:ascii="Times New Roman" w:cs="Times New Roman" w:eastAsia="Times New Roman" w:hAnsi="Times New Roman"/>
                <w:b w:val="false"/>
                <w:bCs w:val="false"/>
                <w:sz w:val="17"/>
                <w:szCs w:val="17"/>
                <w:highlight w:val="yellow"/>
              </w:rPr>
              <w:t xml:space="preserve">[50]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w:t>
            </w:r>
            <w:r>
              <w:rPr>
                <w:rFonts w:ascii="Times New Roman" w:cs="Times New Roman" w:eastAsia="Times New Roman" w:hAnsi="Times New Roman"/>
                <w:b w:val="false"/>
                <w:bCs w:val="false"/>
                <w:sz w:val="17"/>
                <w:szCs w:val="17"/>
                <w:highlight w:val="yellow"/>
              </w:rPr>
              <w:t xml:space="preserve">[48]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w:t>
            </w:r>
            <w:r>
              <w:rPr>
                <w:rFonts w:ascii="Times New Roman" w:cs="Times New Roman" w:eastAsia="Times New Roman" w:hAnsi="Times New Roman"/>
                <w:b w:val="false"/>
                <w:bCs w:val="false"/>
                <w:sz w:val="17"/>
                <w:szCs w:val="17"/>
                <w:highlight w:val="yellow"/>
              </w:rPr>
              <w:t xml:space="preserve">[51]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w:t>
            </w:r>
            <w:r>
              <w:rPr>
                <w:rFonts w:ascii="Times New Roman" w:cs="Times New Roman" w:eastAsia="Times New Roman" w:hAnsi="Times New Roman"/>
                <w:b w:val="false"/>
                <w:bCs w:val="false"/>
                <w:sz w:val="17"/>
                <w:szCs w:val="17"/>
                <w:highlight w:val="yellow"/>
              </w:rPr>
              <w:t xml:space="preserve">[27]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w:t>
            </w:r>
            <w:r>
              <w:rPr>
                <w:rFonts w:ascii="Times New Roman" w:cs="Times New Roman" w:eastAsia="Times New Roman" w:hAnsi="Times New Roman"/>
                <w:b w:val="false"/>
                <w:bCs w:val="false"/>
                <w:sz w:val="17"/>
                <w:szCs w:val="17"/>
                <w:highlight w:val="yellow"/>
              </w:rPr>
              <w:t xml:space="preserve">[28]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w:t>
            </w:r>
            <w:r>
              <w:rPr>
                <w:rFonts w:ascii="Times New Roman" w:cs="Times New Roman" w:eastAsia="Times New Roman" w:hAnsi="Times New Roman"/>
                <w:b w:val="false"/>
                <w:bCs w:val="false"/>
                <w:sz w:val="17"/>
                <w:szCs w:val="17"/>
                <w:highlight w:val="yellow"/>
              </w:rPr>
              <w:t xml:space="preserve">[52]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w:t>
            </w:r>
            <w:r>
              <w:rPr>
                <w:rFonts w:ascii="Times New Roman" w:cs="Times New Roman" w:eastAsia="Times New Roman" w:hAnsi="Times New Roman"/>
                <w:b w:val="false"/>
                <w:bCs w:val="false"/>
                <w:sz w:val="17"/>
                <w:szCs w:val="17"/>
                <w:highlight w:val="yellow"/>
              </w:rPr>
              <w:t xml:space="preserve">[47]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w:t>
            </w:r>
            <w:r>
              <w:rPr>
                <w:rFonts w:ascii="Times New Roman" w:cs="Times New Roman" w:eastAsia="Times New Roman" w:hAnsi="Times New Roman"/>
                <w:b w:val="false"/>
                <w:bCs w:val="false"/>
                <w:sz w:val="17"/>
                <w:szCs w:val="17"/>
                <w:highlight w:val="yellow"/>
              </w:rPr>
              <w:t xml:space="preserve">[53]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w:t>
            </w:r>
            <w:r>
              <w:rPr>
                <w:rFonts w:ascii="Times New Roman" w:cs="Times New Roman" w:eastAsia="Times New Roman" w:hAnsi="Times New Roman"/>
                <w:b w:val="false"/>
                <w:bCs w:val="false"/>
                <w:sz w:val="17"/>
                <w:szCs w:val="17"/>
                <w:highlight w:val="yellow"/>
              </w:rPr>
              <w:t xml:space="preserve">[49]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w:t>
            </w:r>
            <w:r>
              <w:rPr>
                <w:rFonts w:ascii="Times New Roman" w:cs="Times New Roman" w:eastAsia="Times New Roman" w:hAnsi="Times New Roman"/>
                <w:b w:val="false"/>
                <w:bCs w:val="false"/>
                <w:sz w:val="17"/>
                <w:szCs w:val="17"/>
                <w:highlight w:val="yellow"/>
              </w:rPr>
              <w:t xml:space="preserve">[23]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w:t>
            </w:r>
            <w:r>
              <w:rPr>
                <w:rFonts w:ascii="Times New Roman" w:cs="Times New Roman" w:eastAsia="Times New Roman" w:hAnsi="Times New Roman"/>
                <w:b w:val="false"/>
                <w:bCs w:val="false"/>
                <w:sz w:val="17"/>
                <w:szCs w:val="17"/>
                <w:highlight w:val="yellow"/>
              </w:rPr>
              <w:t xml:space="preserve">[54]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w:t>
            </w:r>
            <w:r>
              <w:rPr>
                <w:rFonts w:ascii="Times New Roman" w:cs="Times New Roman" w:eastAsia="Times New Roman" w:hAnsi="Times New Roman"/>
                <w:b w:val="false"/>
                <w:bCs w:val="false"/>
                <w:sz w:val="17"/>
                <w:szCs w:val="17"/>
                <w:highlight w:val="yellow"/>
              </w:rPr>
              <w:t xml:space="preserve">[55]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w:t>
            </w:r>
            <w:r>
              <w:rPr>
                <w:rFonts w:ascii="Times New Roman" w:cs="Times New Roman" w:eastAsia="Times New Roman" w:hAnsi="Times New Roman"/>
                <w:b w:val="false"/>
                <w:bCs w:val="false"/>
                <w:sz w:val="17"/>
                <w:szCs w:val="17"/>
                <w:highlight w:val="yellow"/>
              </w:rPr>
              <w:t xml:space="preserve">[29]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highlight w:val="yellow"/>
              </w:rPr>
              <w:t xml:space="preserve">[21]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highlight w:val="yellow"/>
              </w:rPr>
              <w:t xml:space="preserve">[56]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w:t>
            </w:r>
            <w:r>
              <w:rPr>
                <w:rFonts w:ascii="Times New Roman" w:cs="Times New Roman" w:eastAsia="Times New Roman" w:hAnsi="Times New Roman"/>
                <w:b w:val="false"/>
                <w:bCs w:val="false"/>
                <w:sz w:val="17"/>
                <w:szCs w:val="17"/>
                <w:highlight w:val="yellow"/>
              </w:rPr>
              <w:t xml:space="preserve">[25]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w:t>
            </w:r>
            <w:r>
              <w:rPr>
                <w:rFonts w:ascii="Times New Roman" w:cs="Times New Roman" w:eastAsia="Times New Roman" w:hAnsi="Times New Roman"/>
                <w:b w:val="false"/>
                <w:bCs w:val="false"/>
                <w:sz w:val="17"/>
                <w:szCs w:val="17"/>
                <w:highlight w:val="yellow"/>
              </w:rPr>
              <w:t xml:space="preserve">[30]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w:t>
            </w:r>
            <w:r>
              <w:rPr>
                <w:rFonts w:ascii="Times New Roman" w:cs="Times New Roman" w:eastAsia="Times New Roman" w:hAnsi="Times New Roman"/>
                <w:b w:val="false"/>
                <w:bCs w:val="false"/>
                <w:sz w:val="17"/>
                <w:szCs w:val="17"/>
                <w:highlight w:val="yellow"/>
              </w:rPr>
              <w:t xml:space="preserve">[57]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highlight w:val="yellow"/>
              </w:rPr>
              <w:t xml:space="preserve">[58]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w:t>
            </w:r>
            <w:r>
              <w:rPr>
                <w:rFonts w:ascii="Times New Roman" w:cs="Times New Roman" w:eastAsia="Times New Roman" w:hAnsi="Times New Roman"/>
                <w:b w:val="false"/>
                <w:bCs w:val="false"/>
                <w:sz w:val="17"/>
                <w:szCs w:val="17"/>
                <w:highlight w:val="yellow"/>
              </w:rPr>
              <w:t xml:space="preserve">[26]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w:t>
            </w:r>
            <w:r>
              <w:rPr>
                <w:rFonts w:ascii="Times New Roman" w:cs="Times New Roman" w:eastAsia="Times New Roman" w:hAnsi="Times New Roman"/>
                <w:b w:val="false"/>
                <w:bCs w:val="false"/>
                <w:sz w:val="17"/>
                <w:szCs w:val="17"/>
                <w:highlight w:val="yellow"/>
              </w:rPr>
              <w:t xml:space="preserve">[24]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w:t>
            </w:r>
            <w:r>
              <w:rPr>
                <w:rFonts w:ascii="Times New Roman" w:cs="Times New Roman" w:eastAsia="Times New Roman" w:hAnsi="Times New Roman"/>
                <w:b w:val="false"/>
                <w:bCs w:val="false"/>
                <w:sz w:val="17"/>
                <w:szCs w:val="17"/>
                <w:highlight w:val="yellow"/>
              </w:rPr>
              <w:t xml:space="preserve">[59]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w:t>
            </w:r>
            <w:r>
              <w:rPr>
                <w:rFonts w:ascii="Times New Roman" w:cs="Times New Roman" w:eastAsia="Times New Roman" w:hAnsi="Times New Roman"/>
                <w:b w:val="false"/>
                <w:bCs w:val="false"/>
                <w:sz w:val="17"/>
                <w:szCs w:val="17"/>
                <w:highlight w:val="yellow"/>
              </w:rPr>
              <w:t xml:space="preserve">[60]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w:t>
            </w:r>
            <w:r>
              <w:rPr>
                <w:rFonts w:ascii="Times New Roman" w:cs="Times New Roman" w:eastAsia="Times New Roman" w:hAnsi="Times New Roman"/>
                <w:b w:val="false"/>
                <w:bCs w:val="false"/>
                <w:sz w:val="17"/>
                <w:szCs w:val="17"/>
                <w:highlight w:val="yellow"/>
              </w:rPr>
              <w:t xml:space="preserve">[61]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w:t>
            </w:r>
            <w:r>
              <w:rPr>
                <w:rFonts w:ascii="Times New Roman" w:cs="Times New Roman" w:eastAsia="Times New Roman" w:hAnsi="Times New Roman"/>
                <w:b w:val="false"/>
                <w:bCs w:val="false"/>
                <w:sz w:val="17"/>
                <w:szCs w:val="17"/>
                <w:highlight w:val="yellow"/>
              </w:rPr>
              <w:t xml:space="preserve">[22]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S6 </w:t>
      </w:r>
      <w:r>
        <w:rPr>
          <w:rFonts w:ascii="Times New Roman" w:cs="Times New Roman" w:eastAsia="Times New Roman" w:hAnsi="Times New Roman"/>
          <w:sz w:val="22"/>
          <w:szCs w:val="22"/>
          <w:highlight w:val="yellow"/>
        </w:rPr>
        <w:t xml:space="preserve">[52]</w:t>
      </w:r>
      <w:r>
        <w:rPr>
          <w:rFonts w:ascii="Times New Roman" w:cs="Times New Roman" w:eastAsia="Times New Roman" w:hAnsi="Times New Roman"/>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highlight w:val="yellow"/>
        </w:rPr>
        <w:t xml:space="preserve">[58]</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highlight w:val="yellow"/>
        </w:rPr>
        <w:t xml:space="preserve">[59]</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w:t>
      </w:r>
      <w:r>
        <w:rPr>
          <w:rFonts w:ascii="Times New Roman" w:cs="Times New Roman" w:eastAsia="Times New Roman" w:hAnsi="Times New Roman"/>
          <w:sz w:val="22"/>
          <w:szCs w:val="22"/>
          <w:highlight w:val="yellow"/>
        </w:rPr>
        <w:t xml:space="preserve">[51]</w:t>
      </w:r>
      <w:r>
        <w:rPr>
          <w:rFonts w:ascii="Times New Roman" w:cs="Times New Roman" w:eastAsia="Times New Roman" w:hAnsi="Times New Roman"/>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w:t>
      </w:r>
      <w:r>
        <w:rPr>
          <w:rFonts w:ascii="Times New Roman" w:cs="Times New Roman" w:eastAsia="Times New Roman" w:hAnsi="Times New Roman"/>
          <w:sz w:val="22"/>
          <w:szCs w:val="22"/>
          <w:highlight w:val="yellow"/>
        </w:rPr>
        <w:t xml:space="preserve">[62, 63]</w:t>
      </w:r>
      <w:r>
        <w:rPr>
          <w:rFonts w:ascii="Times New Roman" w:cs="Times New Roman" w:eastAsia="Times New Roman" w:hAnsi="Times New Roman"/>
          <w:sz w:val="22"/>
          <w:szCs w:val="22"/>
        </w:rPr>
        <w:t xml:space="preserve">, as conditions fixed at encryption time </w:t>
      </w:r>
      <w:r>
        <w:rPr>
          <w:rFonts w:ascii="Times New Roman" w:cs="Times New Roman" w:eastAsia="Times New Roman" w:hAnsi="Times New Roman"/>
          <w:sz w:val="22"/>
          <w:szCs w:val="22"/>
          <w:highlight w:val="yellow"/>
        </w:rPr>
        <w:t xml:space="preserve">[64]</w:t>
      </w:r>
      <w:r>
        <w:rPr>
          <w:rFonts w:ascii="Times New Roman" w:cs="Times New Roman" w:eastAsia="Times New Roman" w:hAnsi="Times New Roman"/>
          <w:sz w:val="22"/>
          <w:szCs w:val="22"/>
        </w:rPr>
        <w:t xml:space="preserve">, or as a key issued by the patient for each request </w:t>
      </w:r>
      <w:r>
        <w:rPr>
          <w:rFonts w:ascii="Times New Roman" w:cs="Times New Roman" w:eastAsia="Times New Roman" w:hAnsi="Times New Roman"/>
          <w:sz w:val="22"/>
          <w:szCs w:val="22"/>
          <w:highlight w:val="yellow"/>
        </w:rPr>
        <w:t xml:space="preserve">[65]</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highlight w:val="yellow"/>
        </w:rPr>
        <w:t xml:space="preserve">[21]</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highlight w:val="yellow"/>
        </w:rPr>
        <w:t xml:space="preserve">[56]</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highlight w:val="yellow"/>
        </w:rPr>
        <w:t xml:space="preserve">[60]</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highlight w:val="yellow"/>
        </w:rPr>
        <w:t xml:space="preserve">[23]</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highlight w:val="yellow"/>
        </w:rPr>
        <w:t xml:space="preserve">[61]</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highlight w:val="yellow"/>
        </w:rPr>
        <w:t xml:space="preserve">[50]</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highlight w:val="yellow"/>
        </w:rPr>
        <w:t xml:space="preserve">[25]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highlight w:val="yellow"/>
        </w:rPr>
        <w:t xml:space="preserve">[26]</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sz w:val="22"/>
          <w:szCs w:val="22"/>
          <w:highlight w:val="yellow"/>
        </w:rPr>
        <w:t xml:space="preserve">[27]</w:t>
      </w:r>
      <w:r>
        <w:rPr>
          <w:rFonts w:ascii="Times New Roman" w:cs="Times New Roman" w:eastAsia="Times New Roman" w:hAnsi="Times New Roman"/>
          <w:sz w:val="22"/>
          <w:szCs w:val="22"/>
        </w:rPr>
        <w:t xml:space="preserve"> reports guardian co-consent at registration time, and </w:t>
      </w:r>
      <w:r>
        <w:rPr>
          <w:rFonts w:ascii="Times New Roman" w:cs="Times New Roman" w:eastAsia="Times New Roman" w:hAnsi="Times New Roman"/>
          <w:sz w:val="22"/>
          <w:szCs w:val="22"/>
          <w:highlight w:val="yellow"/>
        </w:rPr>
        <w:t xml:space="preserve">[52]</w:t>
      </w:r>
      <w:r>
        <w:rPr>
          <w:rFonts w:ascii="Times New Roman" w:cs="Times New Roman" w:eastAsia="Times New Roman" w:hAnsi="Times New Roman"/>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jurisdictional conditions. This represents an important area addressed by the proposed framework.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Access control becomes more complex when policies must be connected directly to a decentralised consent process. Tith et al. </w:t>
      </w:r>
      <w:r>
        <w:rPr>
          <w:rFonts w:ascii="Times New Roman" w:cs="Times New Roman" w:eastAsia="Times New Roman" w:hAnsi="Times New Roman"/>
          <w:sz w:val="22"/>
          <w:szCs w:val="22"/>
          <w:highlight w:val="yellow"/>
        </w:rPr>
        <w:t xml:space="preserve">[24]</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highlight w:val="yellow"/>
        </w:rPr>
        <w:t xml:space="preserve">[47]</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highlight w:val="yellow"/>
        </w:rPr>
        <w:t xml:space="preserve">[48]</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highlight w:val="yellow"/>
        </w:rPr>
        <w:t xml:space="preserve">[30]</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highlight w:val="yellow"/>
        </w:rPr>
        <w:t xml:space="preserve">[24, 28–30, 47, 48]</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highlight w:val="yellow"/>
        </w:rPr>
        <w:t xml:space="preserve">[28]</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highlight w:val="yellow"/>
        </w:rPr>
        <w:t xml:space="preserve">[57]</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highlight w:val="yellow"/>
        </w:rPr>
        <w:t xml:space="preserve">[29]</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w:t>
      </w:r>
      <w:r>
        <w:rPr>
          <w:rFonts w:ascii="Times New Roman" w:cs="Times New Roman" w:eastAsia="Times New Roman" w:hAnsi="Times New Roman"/>
          <w:sz w:val="22"/>
          <w:szCs w:val="22"/>
          <w:highlight w:val="yellow"/>
        </w:rPr>
        <w:t xml:space="preserve">[21, 28, 29]</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w:t>
      </w:r>
      <w:r>
        <w:rPr>
          <w:rFonts w:ascii="Times New Roman" w:cs="Times New Roman" w:eastAsia="Times New Roman" w:hAnsi="Times New Roman"/>
          <w:sz w:val="22"/>
          <w:szCs w:val="22"/>
          <w:highlight w:val="yellow"/>
        </w:rPr>
        <w:t xml:space="preserve">[49]</w:t>
      </w:r>
      <w:r>
        <w:rPr>
          <w:rFonts w:ascii="Times New Roman" w:cs="Times New Roman" w:eastAsia="Times New Roman" w:hAnsi="Times New Roman"/>
          <w:sz w:val="22"/>
          <w:szCs w:val="22"/>
        </w:rPr>
        <w:t xml:space="preserve">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highlight w:val="yellow"/>
        </w:rPr>
        <w:t xml:space="preserve">[22]</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highlight w:val="yellow"/>
        </w:rPr>
        <w:t xml:space="preserve">[53]</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highlight w:val="yellow"/>
        </w:rPr>
        <w:t xml:space="preserve">[54]</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highlight w:val="yellow"/>
        </w:rPr>
        <w:t xml:space="preserve">[55]</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rPr>
        <w:t xml:space="preserve">We observed an inverse relation between predicate breadth and assurance strength.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 </w:t>
      </w:r>
      <w:r>
        <w:rPr>
          <w:rFonts w:ascii="Times New Roman" w:cs="Times New Roman" w:eastAsia="Times New Roman" w:hAnsi="Times New Roman"/>
          <w:sz w:val="22"/>
          <w:szCs w:val="22"/>
        </w:rPr>
        <w:t xml:space="preserve">Table 3 summarises the description and the issues and limitations of each primary study.</w:t>
      </w:r>
    </w:p>
    <w:p>
      <w:pPr>
        <w:keepNext/>
        <w:spacing w:after="80" w:before="200"/>
        <w:jc w:val="center"/>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w:t>
            </w:r>
            <w:r>
              <w:rPr>
                <w:rFonts w:ascii="Times New Roman" w:cs="Times New Roman" w:eastAsia="Times New Roman" w:hAnsi="Times New Roman"/>
                <w:b w:val="false"/>
                <w:bCs w:val="false"/>
                <w:sz w:val="17"/>
                <w:szCs w:val="17"/>
                <w:highlight w:val="yellow"/>
              </w:rPr>
              <w:t xml:space="preserve">[50]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w:t>
            </w:r>
            <w:r>
              <w:rPr>
                <w:rFonts w:ascii="Times New Roman" w:cs="Times New Roman" w:eastAsia="Times New Roman" w:hAnsi="Times New Roman"/>
                <w:b w:val="false"/>
                <w:bCs w:val="false"/>
                <w:sz w:val="17"/>
                <w:szCs w:val="17"/>
                <w:highlight w:val="yellow"/>
              </w:rPr>
              <w:t xml:space="preserve">[48]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w:t>
            </w:r>
            <w:r>
              <w:rPr>
                <w:rFonts w:ascii="Times New Roman" w:cs="Times New Roman" w:eastAsia="Times New Roman" w:hAnsi="Times New Roman"/>
                <w:b w:val="false"/>
                <w:bCs w:val="false"/>
                <w:sz w:val="17"/>
                <w:szCs w:val="17"/>
                <w:highlight w:val="yellow"/>
              </w:rPr>
              <w:t xml:space="preserve">[51]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w:t>
            </w:r>
            <w:r>
              <w:rPr>
                <w:rFonts w:ascii="Times New Roman" w:cs="Times New Roman" w:eastAsia="Times New Roman" w:hAnsi="Times New Roman"/>
                <w:b w:val="false"/>
                <w:bCs w:val="false"/>
                <w:sz w:val="17"/>
                <w:szCs w:val="17"/>
                <w:highlight w:val="yellow"/>
              </w:rPr>
              <w:t xml:space="preserve">[27]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w:t>
            </w:r>
            <w:r>
              <w:rPr>
                <w:rFonts w:ascii="Times New Roman" w:cs="Times New Roman" w:eastAsia="Times New Roman" w:hAnsi="Times New Roman"/>
                <w:b w:val="false"/>
                <w:bCs w:val="false"/>
                <w:sz w:val="17"/>
                <w:szCs w:val="17"/>
                <w:highlight w:val="yellow"/>
              </w:rPr>
              <w:t xml:space="preserve">[28]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w:t>
            </w:r>
            <w:r>
              <w:rPr>
                <w:rFonts w:ascii="Times New Roman" w:cs="Times New Roman" w:eastAsia="Times New Roman" w:hAnsi="Times New Roman"/>
                <w:b w:val="false"/>
                <w:bCs w:val="false"/>
                <w:sz w:val="17"/>
                <w:szCs w:val="17"/>
                <w:highlight w:val="yellow"/>
              </w:rPr>
              <w:t xml:space="preserve">[52]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w:t>
            </w:r>
            <w:r>
              <w:rPr>
                <w:rFonts w:ascii="Times New Roman" w:cs="Times New Roman" w:eastAsia="Times New Roman" w:hAnsi="Times New Roman"/>
                <w:b w:val="false"/>
                <w:bCs w:val="false"/>
                <w:sz w:val="17"/>
                <w:szCs w:val="17"/>
                <w:highlight w:val="yellow"/>
              </w:rPr>
              <w:t xml:space="preserve">[47]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w:t>
            </w:r>
            <w:r>
              <w:rPr>
                <w:rFonts w:ascii="Times New Roman" w:cs="Times New Roman" w:eastAsia="Times New Roman" w:hAnsi="Times New Roman"/>
                <w:b w:val="false"/>
                <w:bCs w:val="false"/>
                <w:sz w:val="17"/>
                <w:szCs w:val="17"/>
                <w:highlight w:val="yellow"/>
              </w:rPr>
              <w:t xml:space="preserve">[53]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w:t>
            </w:r>
            <w:r>
              <w:rPr>
                <w:rFonts w:ascii="Times New Roman" w:cs="Times New Roman" w:eastAsia="Times New Roman" w:hAnsi="Times New Roman"/>
                <w:b w:val="false"/>
                <w:bCs w:val="false"/>
                <w:sz w:val="17"/>
                <w:szCs w:val="17"/>
                <w:highlight w:val="yellow"/>
              </w:rPr>
              <w:t xml:space="preserve">[49]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w:t>
            </w:r>
            <w:r>
              <w:rPr>
                <w:rFonts w:ascii="Times New Roman" w:cs="Times New Roman" w:eastAsia="Times New Roman" w:hAnsi="Times New Roman"/>
                <w:b w:val="false"/>
                <w:bCs w:val="false"/>
                <w:sz w:val="17"/>
                <w:szCs w:val="17"/>
                <w:highlight w:val="yellow"/>
              </w:rPr>
              <w:t xml:space="preserve">[23]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w:t>
            </w:r>
            <w:r>
              <w:rPr>
                <w:rFonts w:ascii="Times New Roman" w:cs="Times New Roman" w:eastAsia="Times New Roman" w:hAnsi="Times New Roman"/>
                <w:b w:val="false"/>
                <w:bCs w:val="false"/>
                <w:sz w:val="17"/>
                <w:szCs w:val="17"/>
                <w:highlight w:val="yellow"/>
              </w:rPr>
              <w:t xml:space="preserve">[54]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w:t>
            </w:r>
            <w:r>
              <w:rPr>
                <w:rFonts w:ascii="Times New Roman" w:cs="Times New Roman" w:eastAsia="Times New Roman" w:hAnsi="Times New Roman"/>
                <w:b w:val="false"/>
                <w:bCs w:val="false"/>
                <w:sz w:val="17"/>
                <w:szCs w:val="17"/>
                <w:highlight w:val="yellow"/>
              </w:rPr>
              <w:t xml:space="preserve">[55]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w:t>
            </w:r>
            <w:r>
              <w:rPr>
                <w:rFonts w:ascii="Times New Roman" w:cs="Times New Roman" w:eastAsia="Times New Roman" w:hAnsi="Times New Roman"/>
                <w:b w:val="false"/>
                <w:bCs w:val="false"/>
                <w:sz w:val="17"/>
                <w:szCs w:val="17"/>
                <w:highlight w:val="yellow"/>
              </w:rPr>
              <w:t xml:space="preserve">[29]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w:t>
            </w:r>
            <w:r>
              <w:rPr>
                <w:rFonts w:ascii="Times New Roman" w:cs="Times New Roman" w:eastAsia="Times New Roman" w:hAnsi="Times New Roman"/>
                <w:b w:val="false"/>
                <w:bCs w:val="false"/>
                <w:sz w:val="17"/>
                <w:szCs w:val="17"/>
                <w:highlight w:val="yellow"/>
              </w:rPr>
              <w:t xml:space="preserve">[21]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w:t>
            </w:r>
            <w:r>
              <w:rPr>
                <w:rFonts w:ascii="Times New Roman" w:cs="Times New Roman" w:eastAsia="Times New Roman" w:hAnsi="Times New Roman"/>
                <w:b w:val="false"/>
                <w:bCs w:val="false"/>
                <w:sz w:val="17"/>
                <w:szCs w:val="17"/>
                <w:highlight w:val="yellow"/>
              </w:rPr>
              <w:t xml:space="preserve">[56]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w:t>
            </w:r>
            <w:r>
              <w:rPr>
                <w:rFonts w:ascii="Times New Roman" w:cs="Times New Roman" w:eastAsia="Times New Roman" w:hAnsi="Times New Roman"/>
                <w:b w:val="false"/>
                <w:bCs w:val="false"/>
                <w:sz w:val="17"/>
                <w:szCs w:val="17"/>
                <w:highlight w:val="yellow"/>
              </w:rPr>
              <w:t xml:space="preserve">[25]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w:t>
            </w:r>
            <w:r>
              <w:rPr>
                <w:rFonts w:ascii="Times New Roman" w:cs="Times New Roman" w:eastAsia="Times New Roman" w:hAnsi="Times New Roman"/>
                <w:b w:val="false"/>
                <w:bCs w:val="false"/>
                <w:sz w:val="17"/>
                <w:szCs w:val="17"/>
                <w:highlight w:val="yellow"/>
              </w:rPr>
              <w:t xml:space="preserve">[30]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w:t>
            </w:r>
            <w:r>
              <w:rPr>
                <w:rFonts w:ascii="Times New Roman" w:cs="Times New Roman" w:eastAsia="Times New Roman" w:hAnsi="Times New Roman"/>
                <w:b w:val="false"/>
                <w:bCs w:val="false"/>
                <w:sz w:val="17"/>
                <w:szCs w:val="17"/>
                <w:highlight w:val="yellow"/>
              </w:rPr>
              <w:t xml:space="preserve">[57]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highlight w:val="yellow"/>
              </w:rPr>
              <w:t xml:space="preserve">[58]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w:t>
            </w:r>
            <w:r>
              <w:rPr>
                <w:rFonts w:ascii="Times New Roman" w:cs="Times New Roman" w:eastAsia="Times New Roman" w:hAnsi="Times New Roman"/>
                <w:b w:val="false"/>
                <w:bCs w:val="false"/>
                <w:sz w:val="17"/>
                <w:szCs w:val="17"/>
                <w:highlight w:val="yellow"/>
              </w:rPr>
              <w:t xml:space="preserve">[26]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w:t>
            </w:r>
            <w:r>
              <w:rPr>
                <w:rFonts w:ascii="Times New Roman" w:cs="Times New Roman" w:eastAsia="Times New Roman" w:hAnsi="Times New Roman"/>
                <w:b w:val="false"/>
                <w:bCs w:val="false"/>
                <w:sz w:val="17"/>
                <w:szCs w:val="17"/>
                <w:highlight w:val="yellow"/>
              </w:rPr>
              <w:t xml:space="preserve">[24]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w:t>
            </w:r>
            <w:r>
              <w:rPr>
                <w:rFonts w:ascii="Times New Roman" w:cs="Times New Roman" w:eastAsia="Times New Roman" w:hAnsi="Times New Roman"/>
                <w:b w:val="false"/>
                <w:bCs w:val="false"/>
                <w:sz w:val="17"/>
                <w:szCs w:val="17"/>
                <w:highlight w:val="yellow"/>
              </w:rPr>
              <w:t xml:space="preserve">[59]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w:t>
            </w:r>
            <w:r>
              <w:rPr>
                <w:rFonts w:ascii="Times New Roman" w:cs="Times New Roman" w:eastAsia="Times New Roman" w:hAnsi="Times New Roman"/>
                <w:b w:val="false"/>
                <w:bCs w:val="false"/>
                <w:sz w:val="17"/>
                <w:szCs w:val="17"/>
                <w:highlight w:val="yellow"/>
              </w:rPr>
              <w:t xml:space="preserve">[60]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w:t>
            </w:r>
            <w:r>
              <w:rPr>
                <w:rFonts w:ascii="Times New Roman" w:cs="Times New Roman" w:eastAsia="Times New Roman" w:hAnsi="Times New Roman"/>
                <w:b w:val="false"/>
                <w:bCs w:val="false"/>
                <w:sz w:val="17"/>
                <w:szCs w:val="17"/>
                <w:highlight w:val="yellow"/>
              </w:rPr>
              <w:t xml:space="preserve">[61]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w:t>
            </w:r>
            <w:r>
              <w:rPr>
                <w:rFonts w:ascii="Times New Roman" w:cs="Times New Roman" w:eastAsia="Times New Roman" w:hAnsi="Times New Roman"/>
                <w:b w:val="false"/>
                <w:bCs w:val="false"/>
                <w:sz w:val="17"/>
                <w:szCs w:val="17"/>
                <w:highlight w:val="yellow"/>
              </w:rPr>
              <w:t xml:space="preserve">[22]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The reviewed literature demonstrates that existing approaches provide strong solutions for individual dimensions of trustworthy data sharing. These contributions address different layers of the security problem.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sz w:val="22"/>
          <w:szCs w:val="22"/>
          <w:highlight w:val="yellow"/>
        </w:rPr>
        <w:t xml:space="preserve">[55]</w:t>
      </w:r>
      <w:r>
        <w:rPr>
          <w:rFonts w:ascii="Times New Roman" w:cs="Times New Roman" w:eastAsia="Times New Roman" w:hAnsi="Times New Roman"/>
          <w:sz w:val="22"/>
          <w:szCs w:val="22"/>
        </w:rPr>
        <w:t xml:space="preserve">, prove only a static encryption predicate.</w:t>
      </w:r>
      <w:r>
        <w:rPr>
          <w:rFonts w:ascii="Times New Roman" w:cs="Times New Roman" w:eastAsia="Times New Roman" w:hAnsi="Times New Roman"/>
          <w:sz w:val="22"/>
          <w:szCs w:val="22"/>
        </w:rPr>
        <w:t xml:space="preserve"> Table 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w:t>
            </w:r>
            <w:r>
              <w:rPr>
                <w:rFonts w:ascii="Times New Roman" w:cs="Times New Roman" w:eastAsia="Times New Roman" w:hAnsi="Times New Roman"/>
                <w:b w:val="false"/>
                <w:bCs w:val="false"/>
                <w:sz w:val="17"/>
                <w:szCs w:val="17"/>
                <w:highlight w:val="yellow"/>
              </w:rPr>
              <w:t xml:space="preserve">[50]</w:t>
            </w:r>
            <w:r>
              <w:rPr>
                <w:rFonts w:ascii="Times New Roman" w:cs="Times New Roman" w:eastAsia="Times New Roman" w:hAnsi="Times New Roman"/>
                <w:b w:val="false"/>
                <w:bCs w:val="false"/>
                <w:sz w:val="17"/>
                <w:szCs w:val="17"/>
              </w:rPr>
              <w:t xml:space="preserve">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w:t>
            </w:r>
            <w:r>
              <w:rPr>
                <w:rFonts w:ascii="Times New Roman" w:cs="Times New Roman" w:eastAsia="Times New Roman" w:hAnsi="Times New Roman"/>
                <w:b w:val="false"/>
                <w:bCs w:val="false"/>
                <w:sz w:val="17"/>
                <w:szCs w:val="17"/>
                <w:highlight w:val="yellow"/>
              </w:rPr>
              <w:t xml:space="preserve">[48]</w:t>
            </w:r>
            <w:r>
              <w:rPr>
                <w:rFonts w:ascii="Times New Roman" w:cs="Times New Roman" w:eastAsia="Times New Roman" w:hAnsi="Times New Roman"/>
                <w:b w:val="false"/>
                <w:bCs w:val="false"/>
                <w:sz w:val="17"/>
                <w:szCs w:val="17"/>
              </w:rPr>
              <w:t xml:space="preserve">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w:t>
            </w:r>
            <w:r>
              <w:rPr>
                <w:rFonts w:ascii="Times New Roman" w:cs="Times New Roman" w:eastAsia="Times New Roman" w:hAnsi="Times New Roman"/>
                <w:b w:val="false"/>
                <w:bCs w:val="false"/>
                <w:sz w:val="17"/>
                <w:szCs w:val="17"/>
                <w:highlight w:val="yellow"/>
              </w:rPr>
              <w:t xml:space="preserve">[51]</w:t>
            </w:r>
            <w:r>
              <w:rPr>
                <w:rFonts w:ascii="Times New Roman" w:cs="Times New Roman" w:eastAsia="Times New Roman" w:hAnsi="Times New Roman"/>
                <w:b w:val="false"/>
                <w:bCs w:val="false"/>
                <w:sz w:val="17"/>
                <w:szCs w:val="17"/>
              </w:rPr>
              <w:t xml:space="preserve">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w:t>
            </w:r>
            <w:r>
              <w:rPr>
                <w:rFonts w:ascii="Times New Roman" w:cs="Times New Roman" w:eastAsia="Times New Roman" w:hAnsi="Times New Roman"/>
                <w:b w:val="false"/>
                <w:bCs w:val="false"/>
                <w:sz w:val="17"/>
                <w:szCs w:val="17"/>
                <w:highlight w:val="yellow"/>
              </w:rPr>
              <w:t xml:space="preserve">[27]</w:t>
            </w:r>
            <w:r>
              <w:rPr>
                <w:rFonts w:ascii="Times New Roman" w:cs="Times New Roman" w:eastAsia="Times New Roman" w:hAnsi="Times New Roman"/>
                <w:b w:val="false"/>
                <w:bCs w:val="false"/>
                <w:sz w:val="17"/>
                <w:szCs w:val="17"/>
              </w:rPr>
              <w:t xml:space="preserve">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w:t>
            </w:r>
            <w:r>
              <w:rPr>
                <w:rFonts w:ascii="Times New Roman" w:cs="Times New Roman" w:eastAsia="Times New Roman" w:hAnsi="Times New Roman"/>
                <w:b w:val="false"/>
                <w:bCs w:val="false"/>
                <w:sz w:val="17"/>
                <w:szCs w:val="17"/>
                <w:highlight w:val="yellow"/>
              </w:rPr>
              <w:t xml:space="preserve">[28]</w:t>
            </w:r>
            <w:r>
              <w:rPr>
                <w:rFonts w:ascii="Times New Roman" w:cs="Times New Roman" w:eastAsia="Times New Roman" w:hAnsi="Times New Roman"/>
                <w:b w:val="false"/>
                <w:bCs w:val="false"/>
                <w:sz w:val="17"/>
                <w:szCs w:val="17"/>
              </w:rPr>
              <w:t xml:space="preserve">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w:t>
            </w:r>
            <w:r>
              <w:rPr>
                <w:rFonts w:ascii="Times New Roman" w:cs="Times New Roman" w:eastAsia="Times New Roman" w:hAnsi="Times New Roman"/>
                <w:b w:val="false"/>
                <w:bCs w:val="false"/>
                <w:sz w:val="17"/>
                <w:szCs w:val="17"/>
                <w:highlight w:val="yellow"/>
              </w:rPr>
              <w:t xml:space="preserve">[52]</w:t>
            </w:r>
            <w:r>
              <w:rPr>
                <w:rFonts w:ascii="Times New Roman" w:cs="Times New Roman" w:eastAsia="Times New Roman" w:hAnsi="Times New Roman"/>
                <w:b w:val="false"/>
                <w:bCs w:val="false"/>
                <w:sz w:val="17"/>
                <w:szCs w:val="17"/>
              </w:rPr>
              <w:t xml:space="preserve">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w:t>
            </w:r>
            <w:r>
              <w:rPr>
                <w:rFonts w:ascii="Times New Roman" w:cs="Times New Roman" w:eastAsia="Times New Roman" w:hAnsi="Times New Roman"/>
                <w:b w:val="false"/>
                <w:bCs w:val="false"/>
                <w:sz w:val="17"/>
                <w:szCs w:val="17"/>
                <w:highlight w:val="yellow"/>
              </w:rPr>
              <w:t xml:space="preserve">[47]</w:t>
            </w:r>
            <w:r>
              <w:rPr>
                <w:rFonts w:ascii="Times New Roman" w:cs="Times New Roman" w:eastAsia="Times New Roman" w:hAnsi="Times New Roman"/>
                <w:b w:val="false"/>
                <w:bCs w:val="false"/>
                <w:sz w:val="17"/>
                <w:szCs w:val="17"/>
              </w:rPr>
              <w:t xml:space="preserve">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w:t>
            </w:r>
            <w:r>
              <w:rPr>
                <w:rFonts w:ascii="Times New Roman" w:cs="Times New Roman" w:eastAsia="Times New Roman" w:hAnsi="Times New Roman"/>
                <w:b w:val="false"/>
                <w:bCs w:val="false"/>
                <w:sz w:val="17"/>
                <w:szCs w:val="17"/>
                <w:highlight w:val="yellow"/>
              </w:rPr>
              <w:t xml:space="preserve">[53]</w:t>
            </w:r>
            <w:r>
              <w:rPr>
                <w:rFonts w:ascii="Times New Roman" w:cs="Times New Roman" w:eastAsia="Times New Roman" w:hAnsi="Times New Roman"/>
                <w:b w:val="false"/>
                <w:bCs w:val="false"/>
                <w:sz w:val="17"/>
                <w:szCs w:val="17"/>
              </w:rPr>
              <w:t xml:space="preserve">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w:t>
            </w:r>
            <w:r>
              <w:rPr>
                <w:rFonts w:ascii="Times New Roman" w:cs="Times New Roman" w:eastAsia="Times New Roman" w:hAnsi="Times New Roman"/>
                <w:b w:val="false"/>
                <w:bCs w:val="false"/>
                <w:sz w:val="17"/>
                <w:szCs w:val="17"/>
                <w:highlight w:val="yellow"/>
              </w:rPr>
              <w:t xml:space="preserve">[49]</w:t>
            </w:r>
            <w:r>
              <w:rPr>
                <w:rFonts w:ascii="Times New Roman" w:cs="Times New Roman" w:eastAsia="Times New Roman" w:hAnsi="Times New Roman"/>
                <w:b w:val="false"/>
                <w:bCs w:val="false"/>
                <w:sz w:val="17"/>
                <w:szCs w:val="17"/>
              </w:rPr>
              <w:t xml:space="preserve"> Li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w:t>
            </w:r>
            <w:r>
              <w:rPr>
                <w:rFonts w:ascii="Times New Roman" w:cs="Times New Roman" w:eastAsia="Times New Roman" w:hAnsi="Times New Roman"/>
                <w:b w:val="false"/>
                <w:bCs w:val="false"/>
                <w:sz w:val="17"/>
                <w:szCs w:val="17"/>
                <w:highlight w:val="yellow"/>
              </w:rPr>
              <w:t xml:space="preserve">[23]</w:t>
            </w:r>
            <w:r>
              <w:rPr>
                <w:rFonts w:ascii="Times New Roman" w:cs="Times New Roman" w:eastAsia="Times New Roman" w:hAnsi="Times New Roman"/>
                <w:b w:val="false"/>
                <w:bCs w:val="false"/>
                <w:sz w:val="17"/>
                <w:szCs w:val="17"/>
              </w:rPr>
              <w:t xml:space="preserve">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w:t>
            </w:r>
            <w:r>
              <w:rPr>
                <w:rFonts w:ascii="Times New Roman" w:cs="Times New Roman" w:eastAsia="Times New Roman" w:hAnsi="Times New Roman"/>
                <w:b w:val="false"/>
                <w:bCs w:val="false"/>
                <w:sz w:val="17"/>
                <w:szCs w:val="17"/>
                <w:highlight w:val="yellow"/>
              </w:rPr>
              <w:t xml:space="preserve">[54]</w:t>
            </w:r>
            <w:r>
              <w:rPr>
                <w:rFonts w:ascii="Times New Roman" w:cs="Times New Roman" w:eastAsia="Times New Roman" w:hAnsi="Times New Roman"/>
                <w:b w:val="false"/>
                <w:bCs w:val="false"/>
                <w:sz w:val="17"/>
                <w:szCs w:val="17"/>
              </w:rPr>
              <w:t xml:space="preserve">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w:t>
            </w:r>
            <w:r>
              <w:rPr>
                <w:rFonts w:ascii="Times New Roman" w:cs="Times New Roman" w:eastAsia="Times New Roman" w:hAnsi="Times New Roman"/>
                <w:b w:val="false"/>
                <w:bCs w:val="false"/>
                <w:sz w:val="17"/>
                <w:szCs w:val="17"/>
                <w:highlight w:val="yellow"/>
              </w:rPr>
              <w:t xml:space="preserve">[55]</w:t>
            </w:r>
            <w:r>
              <w:rPr>
                <w:rFonts w:ascii="Times New Roman" w:cs="Times New Roman" w:eastAsia="Times New Roman" w:hAnsi="Times New Roman"/>
                <w:b w:val="false"/>
                <w:bCs w:val="false"/>
                <w:sz w:val="17"/>
                <w:szCs w:val="17"/>
              </w:rPr>
              <w:t xml:space="preserve">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w:t>
            </w:r>
            <w:r>
              <w:rPr>
                <w:rFonts w:ascii="Times New Roman" w:cs="Times New Roman" w:eastAsia="Times New Roman" w:hAnsi="Times New Roman"/>
                <w:b w:val="false"/>
                <w:bCs w:val="false"/>
                <w:sz w:val="17"/>
                <w:szCs w:val="17"/>
                <w:highlight w:val="yellow"/>
              </w:rPr>
              <w:t xml:space="preserve">[29]</w:t>
            </w:r>
            <w:r>
              <w:rPr>
                <w:rFonts w:ascii="Times New Roman" w:cs="Times New Roman" w:eastAsia="Times New Roman" w:hAnsi="Times New Roman"/>
                <w:b w:val="false"/>
                <w:bCs w:val="false"/>
                <w:sz w:val="17"/>
                <w:szCs w:val="17"/>
              </w:rPr>
              <w:t xml:space="preserve">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w:t>
            </w:r>
            <w:r>
              <w:rPr>
                <w:rFonts w:ascii="Times New Roman" w:cs="Times New Roman" w:eastAsia="Times New Roman" w:hAnsi="Times New Roman"/>
                <w:b w:val="false"/>
                <w:bCs w:val="false"/>
                <w:sz w:val="17"/>
                <w:szCs w:val="17"/>
                <w:highlight w:val="yellow"/>
              </w:rPr>
              <w:t xml:space="preserve">[21]</w:t>
            </w:r>
            <w:r>
              <w:rPr>
                <w:rFonts w:ascii="Times New Roman" w:cs="Times New Roman" w:eastAsia="Times New Roman" w:hAnsi="Times New Roman"/>
                <w:b w:val="false"/>
                <w:bCs w:val="false"/>
                <w:sz w:val="17"/>
                <w:szCs w:val="17"/>
              </w:rPr>
              <w:t xml:space="preserve">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w:t>
            </w:r>
            <w:r>
              <w:rPr>
                <w:rFonts w:ascii="Times New Roman" w:cs="Times New Roman" w:eastAsia="Times New Roman" w:hAnsi="Times New Roman"/>
                <w:b w:val="false"/>
                <w:bCs w:val="false"/>
                <w:sz w:val="17"/>
                <w:szCs w:val="17"/>
                <w:highlight w:val="yellow"/>
              </w:rPr>
              <w:t xml:space="preserve">[56]</w:t>
            </w:r>
            <w:r>
              <w:rPr>
                <w:rFonts w:ascii="Times New Roman" w:cs="Times New Roman" w:eastAsia="Times New Roman" w:hAnsi="Times New Roman"/>
                <w:b w:val="false"/>
                <w:bCs w:val="false"/>
                <w:sz w:val="17"/>
                <w:szCs w:val="17"/>
              </w:rPr>
              <w:t xml:space="preserve">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w:t>
            </w:r>
            <w:r>
              <w:rPr>
                <w:rFonts w:ascii="Times New Roman" w:cs="Times New Roman" w:eastAsia="Times New Roman" w:hAnsi="Times New Roman"/>
                <w:b w:val="false"/>
                <w:bCs w:val="false"/>
                <w:sz w:val="17"/>
                <w:szCs w:val="17"/>
                <w:highlight w:val="yellow"/>
              </w:rPr>
              <w:t xml:space="preserve">[25]</w:t>
            </w:r>
            <w:r>
              <w:rPr>
                <w:rFonts w:ascii="Times New Roman" w:cs="Times New Roman" w:eastAsia="Times New Roman" w:hAnsi="Times New Roman"/>
                <w:b w:val="false"/>
                <w:bCs w:val="false"/>
                <w:sz w:val="17"/>
                <w:szCs w:val="17"/>
              </w:rPr>
              <w:t xml:space="preserve">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w:t>
            </w:r>
            <w:r>
              <w:rPr>
                <w:rFonts w:ascii="Times New Roman" w:cs="Times New Roman" w:eastAsia="Times New Roman" w:hAnsi="Times New Roman"/>
                <w:b w:val="false"/>
                <w:bCs w:val="false"/>
                <w:sz w:val="17"/>
                <w:szCs w:val="17"/>
                <w:highlight w:val="yellow"/>
              </w:rPr>
              <w:t xml:space="preserve">[30]</w:t>
            </w:r>
            <w:r>
              <w:rPr>
                <w:rFonts w:ascii="Times New Roman" w:cs="Times New Roman" w:eastAsia="Times New Roman" w:hAnsi="Times New Roman"/>
                <w:b w:val="false"/>
                <w:bCs w:val="false"/>
                <w:sz w:val="17"/>
                <w:szCs w:val="17"/>
              </w:rPr>
              <w:t xml:space="preserve">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w:t>
            </w:r>
            <w:r>
              <w:rPr>
                <w:rFonts w:ascii="Times New Roman" w:cs="Times New Roman" w:eastAsia="Times New Roman" w:hAnsi="Times New Roman"/>
                <w:b w:val="false"/>
                <w:bCs w:val="false"/>
                <w:sz w:val="17"/>
                <w:szCs w:val="17"/>
                <w:highlight w:val="yellow"/>
              </w:rPr>
              <w:t xml:space="preserve">[57]</w:t>
            </w:r>
            <w:r>
              <w:rPr>
                <w:rFonts w:ascii="Times New Roman" w:cs="Times New Roman" w:eastAsia="Times New Roman" w:hAnsi="Times New Roman"/>
                <w:b w:val="false"/>
                <w:bCs w:val="false"/>
                <w:sz w:val="17"/>
                <w:szCs w:val="17"/>
              </w:rPr>
              <w:t xml:space="preserve">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highlight w:val="yellow"/>
              </w:rPr>
              <w:t xml:space="preserve">[58]</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w:t>
            </w:r>
            <w:r>
              <w:rPr>
                <w:rFonts w:ascii="Times New Roman" w:cs="Times New Roman" w:eastAsia="Times New Roman" w:hAnsi="Times New Roman"/>
                <w:b w:val="false"/>
                <w:bCs w:val="false"/>
                <w:sz w:val="17"/>
                <w:szCs w:val="17"/>
                <w:highlight w:val="yellow"/>
              </w:rPr>
              <w:t xml:space="preserve">[26]</w:t>
            </w:r>
            <w:r>
              <w:rPr>
                <w:rFonts w:ascii="Times New Roman" w:cs="Times New Roman" w:eastAsia="Times New Roman" w:hAnsi="Times New Roman"/>
                <w:b w:val="false"/>
                <w:bCs w:val="false"/>
                <w:sz w:val="17"/>
                <w:szCs w:val="17"/>
              </w:rPr>
              <w:t xml:space="preserve">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w:t>
            </w:r>
            <w:r>
              <w:rPr>
                <w:rFonts w:ascii="Times New Roman" w:cs="Times New Roman" w:eastAsia="Times New Roman" w:hAnsi="Times New Roman"/>
                <w:b w:val="false"/>
                <w:bCs w:val="false"/>
                <w:sz w:val="17"/>
                <w:szCs w:val="17"/>
                <w:highlight w:val="yellow"/>
              </w:rPr>
              <w:t xml:space="preserve">[24]</w:t>
            </w:r>
            <w:r>
              <w:rPr>
                <w:rFonts w:ascii="Times New Roman" w:cs="Times New Roman" w:eastAsia="Times New Roman" w:hAnsi="Times New Roman"/>
                <w:b w:val="false"/>
                <w:bCs w:val="false"/>
                <w:sz w:val="17"/>
                <w:szCs w:val="17"/>
              </w:rPr>
              <w:t xml:space="preserve">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w:t>
            </w:r>
            <w:r>
              <w:rPr>
                <w:rFonts w:ascii="Times New Roman" w:cs="Times New Roman" w:eastAsia="Times New Roman" w:hAnsi="Times New Roman"/>
                <w:b w:val="false"/>
                <w:bCs w:val="false"/>
                <w:sz w:val="17"/>
                <w:szCs w:val="17"/>
                <w:highlight w:val="yellow"/>
              </w:rPr>
              <w:t xml:space="preserve">[59]</w:t>
            </w:r>
            <w:r>
              <w:rPr>
                <w:rFonts w:ascii="Times New Roman" w:cs="Times New Roman" w:eastAsia="Times New Roman" w:hAnsi="Times New Roman"/>
                <w:b w:val="false"/>
                <w:bCs w:val="false"/>
                <w:sz w:val="17"/>
                <w:szCs w:val="17"/>
              </w:rPr>
              <w:t xml:space="preserve">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w:t>
            </w:r>
            <w:r>
              <w:rPr>
                <w:rFonts w:ascii="Times New Roman" w:cs="Times New Roman" w:eastAsia="Times New Roman" w:hAnsi="Times New Roman"/>
                <w:b w:val="false"/>
                <w:bCs w:val="false"/>
                <w:sz w:val="17"/>
                <w:szCs w:val="17"/>
                <w:highlight w:val="yellow"/>
              </w:rPr>
              <w:t xml:space="preserve">[60]</w:t>
            </w:r>
            <w:r>
              <w:rPr>
                <w:rFonts w:ascii="Times New Roman" w:cs="Times New Roman" w:eastAsia="Times New Roman" w:hAnsi="Times New Roman"/>
                <w:b w:val="false"/>
                <w:bCs w:val="false"/>
                <w:sz w:val="17"/>
                <w:szCs w:val="17"/>
              </w:rPr>
              <w:t xml:space="preserve">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sz w:val="17"/>
                <w:szCs w:val="17"/>
                <w:highlight w:val="yellow"/>
              </w:rPr>
              <w:t xml:space="preserve">[61]</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t>
            </w:r>
            <w:r>
              <w:rPr>
                <w:rFonts w:ascii="Times New Roman" w:cs="Times New Roman" w:eastAsia="Times New Roman" w:hAnsi="Times New Roman"/>
                <w:b w:val="false"/>
                <w:bCs w:val="false"/>
                <w:sz w:val="17"/>
                <w:szCs w:val="17"/>
                <w:highlight w:val="yellow"/>
              </w:rPr>
              <w:t xml:space="preserve">[22]</w:t>
            </w:r>
            <w:r>
              <w:rPr>
                <w:rFonts w:ascii="Times New Roman" w:cs="Times New Roman" w:eastAsia="Times New Roman" w:hAnsi="Times New Roman"/>
                <w:b w:val="false"/>
                <w:bCs w:val="false"/>
                <w:sz w:val="17"/>
                <w:szCs w:val="17"/>
              </w:rPr>
              <w:t xml:space="preserve">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highlight w:val="yellow"/>
        </w:rPr>
        <w:t xml:space="preserve">[23]</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highlight w:val="yellow"/>
        </w:rPr>
        <w:t xml:space="preserve">[29]</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highlight w:val="yellow"/>
        </w:rPr>
        <w:t xml:space="preserve">[25]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highlight w:val="yellow"/>
        </w:rPr>
        <w:t xml:space="preserve">[53, 54]</w:t>
      </w:r>
      <w:r>
        <w:rPr>
          <w:rFonts w:ascii="Times New Roman" w:cs="Times New Roman" w:eastAsia="Times New Roman" w:hAnsi="Times New Roman"/>
          <w:sz w:val="22"/>
          <w:szCs w:val="22"/>
        </w:rPr>
        <w:t xml:space="preserve">. Fourth, the two quadruples are complementary, since </w:t>
      </w:r>
      <w:r>
        <w:rPr>
          <w:rFonts w:ascii="Times New Roman" w:cs="Times New Roman" w:eastAsia="Times New Roman" w:hAnsi="Times New Roman"/>
          <w:sz w:val="22"/>
          <w:szCs w:val="22"/>
          <w:highlight w:val="yellow"/>
        </w:rPr>
        <w:t xml:space="preserve">[23]</w:t>
      </w:r>
      <w:r>
        <w:rPr>
          <w:rFonts w:ascii="Times New Roman" w:cs="Times New Roman" w:eastAsia="Times New Roman" w:hAnsi="Times New Roman"/>
          <w:sz w:val="22"/>
          <w:szCs w:val="22"/>
        </w:rPr>
        <w:t xml:space="preserve"> lacks policy and assurance, whereas </w:t>
      </w:r>
      <w:r>
        <w:rPr>
          <w:rFonts w:ascii="Times New Roman" w:cs="Times New Roman" w:eastAsia="Times New Roman" w:hAnsi="Times New Roman"/>
          <w:sz w:val="22"/>
          <w:szCs w:val="22"/>
          <w:highlight w:val="yellow"/>
        </w:rPr>
        <w:t xml:space="preserve">[29]</w:t>
      </w:r>
      <w:r>
        <w:rPr>
          <w:rFonts w:ascii="Times New Roman" w:cs="Times New Roman" w:eastAsia="Times New Roman" w:hAnsi="Times New Roman"/>
          <w:sz w:val="22"/>
          <w:szCs w:val="22"/>
        </w:rPr>
        <w:t xml:space="preserve"> lacks multi-party approval and identity depth.</w:t>
      </w:r>
    </w:p>
    <w:p>
      <w:pPr>
        <w:spacing w:after="110" w:line="264"/>
        <w:jc w:val="both"/>
      </w:pPr>
      <w:r>
        <w:rPr>
          <w:rFonts w:ascii="Times New Roman" w:cs="Times New Roman" w:eastAsia="Times New Roman" w:hAnsi="Times New Roman"/>
          <w:sz w:val="22"/>
          <w:szCs w:val="22"/>
        </w:rPr>
        <w:t xml:space="preserve">The comparison indicates that the principal contribution of the proposed research is not the replacement of existing technologies. Rather, it lies in establishing an explicit conceptual relationship among them.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4 rest on empirical validation.</w:t>
      </w:r>
      <w:r>
        <w:rPr>
          <w:rFonts w:ascii="Times New Roman" w:cs="Times New Roman" w:eastAsia="Times New Roman" w:hAnsi="Times New Roman"/>
          <w:sz w:val="22"/>
          <w:szCs w:val="22"/>
        </w:rPr>
        <w:t xml:space="preserve"> These proportions match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Existing literature provides useful foundations for collaborative governance and multi-party verification.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temporal, jurisdictional, and lifecycle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5715000" cy="2867025"/>
            <wp:effectExtent t="0" r="0" b="0" l="0"/>
            <wp:docPr id="1" name="F5.png" descr="Synthesis of the review: the conjunction gap and the assurance gap addressed by the proposed framework, with the number of the 25 analysed studies graded Yes for each requirement in Table 4" title="Synthesis of the review: the conjunction gap and the assurance gap addressed by the proposed framework, with the number of the 25 analysed studies graded Yes for each requirement in Tab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5 summarises how the proposed framework, implemented in the HALAH prototype, addresses each requirement, the research objective that delivers it, and its current status. A requirement with the status Done is addressed and validated at the current stage, whereas a requirement that is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2.</w:t>
            </w:r>
            <w:r>
              <w:rPr>
                <w:rFonts w:ascii="Times New Roman" w:cs="Times New Roman" w:eastAsia="Times New Roman" w:hAnsi="Times New Roman"/>
                <w:b w:val="false"/>
                <w:bCs w:val="false"/>
                <w:sz w:val="17"/>
                <w:szCs w:val="17"/>
              </w:rPr>
              <w:t xml:space="preserve"> The prototype checks the DID format, and full DID resolution and VC validation are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w:t>
            </w:r>
            <w:r>
              <w:rPr>
                <w:rFonts w:ascii="Times New Roman" w:cs="Times New Roman" w:eastAsia="Times New Roman" w:hAnsi="Times New Roman"/>
                <w:b w:val="false"/>
                <w:bCs w:val="false"/>
                <w:sz w:val="17"/>
                <w:szCs w:val="17"/>
                <w:highlight w:val="yellow"/>
              </w:rPr>
              <w:t xml:space="preserve">[66]</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through Algorithm 4, together with the jurisdiction condition V</w:t>
            </w:r>
            <w:r>
              <w:rPr>
                <w:rFonts w:ascii="Times New Roman" w:cs="Times New Roman" w:eastAsia="Times New Roman" w:hAnsi="Times New Roman"/>
                <w:b w:val="false"/>
                <w:bCs w:val="false"/>
                <w:sz w:val="17"/>
                <w:szCs w:val="17"/>
                <w:vertAlign w:val="subscript"/>
              </w:rPr>
              <w:t xml:space="preserve">L</w:t>
            </w:r>
            <w:r>
              <w:rPr>
                <w:rFonts w:ascii="Times New Roman" w:cs="Times New Roman" w:eastAsia="Times New Roman" w:hAnsi="Times New Roman"/>
                <w:b w:val="false"/>
                <w:bCs w:val="false"/>
                <w:sz w:val="17"/>
                <w:szCs w:val="17"/>
              </w:rPr>
              <w:t xml:space="preserve">(C, R).</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 The lifecycle transition check is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36 automated tests, and twelve unit-level attack scenarios.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indicates that substantial research has been conducted on individual mechanisms for securing healthcare data sharing. However, the literature also reveals a significant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highlight w:val="yellow"/>
        </w:rPr>
        <w:t xml:space="preserve">[21, 25, 29, 32, 67]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 not make multi-party approval a standing condition of that decision. Some of them test their own decisions empirically </w:t>
      </w:r>
      <w:r>
        <w:rPr>
          <w:rFonts w:ascii="Times New Roman" w:cs="Times New Roman" w:eastAsia="Times New Roman" w:hAnsi="Times New Roman"/>
          <w:sz w:val="22"/>
          <w:szCs w:val="22"/>
          <w:highlight w:val="yellow"/>
        </w:rPr>
        <w:t xml:space="preserve">[21, 29]</w:t>
      </w:r>
      <w:r>
        <w:rPr>
          <w:rFonts w:ascii="Times New Roman" w:cs="Times New Roman" w:eastAsia="Times New Roman" w:hAnsi="Times New Roman"/>
          <w:sz w:val="22"/>
          <w:szCs w:val="22"/>
        </w:rPr>
        <w:t xml:space="preserve">,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w:t>
      </w:r>
      <w:r>
        <w:rPr>
          <w:rFonts w:ascii="Times New Roman" w:cs="Times New Roman" w:eastAsia="Times New Roman" w:hAnsi="Times New Roman"/>
          <w:sz w:val="22"/>
          <w:szCs w:val="22"/>
          <w:highlight w:val="yellow"/>
        </w:rPr>
        <w:t xml:space="preserve">[62, 63]</w:t>
      </w:r>
      <w:r>
        <w:rPr>
          <w:rFonts w:ascii="Times New Roman" w:cs="Times New Roman" w:eastAsia="Times New Roman" w:hAnsi="Times New Roman"/>
          <w:sz w:val="22"/>
          <w:szCs w:val="22"/>
        </w:rPr>
        <w:t xml:space="preserve">, and some claim consent but leave it out of the access decision </w:t>
      </w:r>
      <w:r>
        <w:rPr>
          <w:rFonts w:ascii="Times New Roman" w:cs="Times New Roman" w:eastAsia="Times New Roman" w:hAnsi="Times New Roman"/>
          <w:sz w:val="22"/>
          <w:szCs w:val="22"/>
          <w:highlight w:val="yellow"/>
        </w:rPr>
        <w:t xml:space="preserve">[68]</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highlight w:val="yellow"/>
        </w:rPr>
        <w:t xml:space="preserve">[21, 24, 28, 48, 67]</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represent fundamentally different security problems. A blockchain may provide an immutable representation of a consent event </w:t>
      </w:r>
      <w:r>
        <w:rPr>
          <w:rFonts w:ascii="Times New Roman" w:cs="Times New Roman" w:eastAsia="Times New Roman" w:hAnsi="Times New Roman"/>
          <w:sz w:val="22"/>
          <w:szCs w:val="22"/>
          <w:highlight w:val="yellow"/>
        </w:rPr>
        <w:t xml:space="preserve">[10, 18]</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highlight w:val="yellow"/>
        </w:rPr>
        <w:t xml:space="preserve">[16]</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w:t>
      </w:r>
      <w:r>
        <w:rPr>
          <w:rFonts w:ascii="Times New Roman" w:cs="Times New Roman" w:eastAsia="Times New Roman" w:hAnsi="Times New Roman"/>
          <w:sz w:val="22"/>
          <w:szCs w:val="22"/>
          <w:highlight w:val="yellow"/>
        </w:rPr>
        <w:t xml:space="preserve">[23, 25, 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The research therefore conceptualises trust not as a static attribute possessed by a particular entity or technology, but as an emergent property of a verifiable authorisation process.</w:t>
      </w:r>
    </w:p>
    <w:p>
      <w:pPr>
        <w:spacing w:after="110" w:line="264"/>
        <w:jc w:val="both"/>
      </w:pPr>
      <w:r>
        <w:rPr>
          <w:rFonts w:ascii="Times New Roman" w:cs="Times New Roman" w:eastAsia="Times New Roman" w:hAnsi="Times New Roman"/>
          <w:sz w:val="22"/>
          <w:szCs w:val="22"/>
        </w:rPr>
        <w:t xml:space="preserve">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and enforcing the policy and data-scope constraints associated with the consent. In this framework, the consent object carries identity, authority, threshold, policy, temporal, jurisdictional, and lifecycle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highlight w:val="yellow"/>
        </w:rPr>
        <w:t xml:space="preserve">[25, 53, 61]</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highlight w:val="yellow"/>
        </w:rPr>
        <w:t xml:space="preserve">[26, 54]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Purpose, data-scope, and jurisdictional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Each guardian is checked to determine whether the individual or entity possesses the required authority to participate in consent-related decisions. The threshold N is the number of valid guardian approvals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The six questions collectively establish a progression from consent modelling to formal security assurance and empirical validation. 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L is the jurisdictional constraint, and E also records whether the consent remains active or has been revoked.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jurisdictional compliance, while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rPr>
        <w:t xml:space="preserve">requires the Groth16 ZK proof </w:t>
      </w:r>
      <w:r>
        <w:rPr>
          <w:rFonts w:ascii="Times New Roman" w:cs="Times New Roman" w:eastAsia="Times New Roman" w:hAnsi="Times New Roman"/>
          <w:sz w:val="22"/>
          <w:szCs w:val="22"/>
          <w:highlight w:val="yellow"/>
        </w:rPr>
        <w:t xml:space="preserve">[69]</w:t>
      </w:r>
      <w:r>
        <w:rPr>
          <w:rFonts w:ascii="Times New Roman" w:cs="Times New Roman" w:eastAsia="Times New Roman" w:hAnsi="Times New Roman"/>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the proof fails, as in attack A9 (Section 11.4).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translate the identified research gap into concrete research and development activities. Each objective represents a research contribution that can be examined conceptually, technically, and, where appropriate, empirically.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objective is to establish not only that the prototype can execute valid consent workflows, but also that it behaves correctly when one or more trust conditions are violated. RO6 is partially completed through the implementation and initial scenario-based validation of the HALAH prototype. In particular, 36 automated tests cover signature rejection, proof tampering, and twelve attack scenarios against the components of C and the contract. Preliminary measurements of on-chain cost, confirmation latency, and processing time have been obtained, and a live out-of-jurisdiction request against a consent anchored on the deployed Sepolia contract was refused by the application.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This correspondence ensures that every research question is addressed by a clearly defined research activity and that each objective contributes to the overall development of the proposed trust-oriented authorisation framework.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RO5 and RO6 are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3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jurisdictional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4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performs the Sepolia mint and revoke transactions as a background process. The Model correspondingly contains the ConsentSBTv3 soulbound contract deployed on Sepolia together with the application audit ledger, both of which an independent verification tool reads, as described in Section 11. It should be acknowledged that, in the present prototype, credential verification consists of a structural check that each DID is well formed,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this check with the EIP-712 verification of each listed guardian's signature. The requester's role and jurisdiction are declared in the interface rather than authenticated, and wallet-held signing keys and authenticated verifiable credentials are deferred to the production design.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R), determines whether the jurisdiction of the request satisfies the recorded jurisdictional constraint of the consent.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rather than within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The integrated decision can therefore be expressed as Equation (2).</w:t>
      </w:r>
    </w:p>
    <w:p>
      <w:pPr>
        <w:keepNext/>
        <w:spacing w:after="60" w:before="160"/>
        <w:jc w:val="center"/>
      </w:pPr>
      <w:r>
        <w:drawing>
          <wp:inline distT="0" distB="0" distL="0" distR="0">
            <wp:extent cx="2952750" cy="4286250"/>
            <wp:effectExtent t="0" r="0" b="0" l="0"/>
            <wp:docPr id="1" name="F8.png" descr="Trust predicate evaluation and authorisation decision flow (in the current prototype, VI also checks the EIP-712 signature of each listed guardian, and a refusal for a consent that is not ACTIVE is not recorded)" title="Trust predicate evaluation and authorisation decision flow (in the current prototype, VI also checks the EIP-712 signature of each listed guardian, and a refusal for a consent that is not ACTIVE is no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not recorded)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6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highlight w:val="yellow"/>
        </w:rPr>
        <w:t xml:space="preserve">[16]</w:t>
      </w:r>
      <w:r>
        <w:rPr>
          <w:rFonts w:ascii="Times New Roman" w:cs="Times New Roman" w:eastAsia="Times New Roman" w:hAnsi="Times New Roman"/>
          <w:sz w:val="22"/>
          <w:szCs w:val="22"/>
        </w:rPr>
        <w:t xml:space="preserve">. Importantly, the framework explicitly separates identity authentication from authorisation. A successfully verified DID or VC does not, by itself, grant permission to access patient data. The framework then collects </w:t>
      </w:r>
      <w:r>
        <w:rPr>
          <w:rFonts w:ascii="Times New Roman" w:cs="Times New Roman" w:eastAsia="Times New Roman" w:hAnsi="Times New Roman"/>
          <w:sz w:val="22"/>
          <w:szCs w:val="22"/>
        </w:rPr>
        <w:t xml:space="preserve">the guardians'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rPr>
        <w:t xml:space="preserve">guardians whose approvals have been verified</w:t>
      </w:r>
      <w:r>
        <w:rPr>
          <w:rFonts w:ascii="Times New Roman" w:cs="Times New Roman" w:eastAsia="Times New Roman" w:hAnsi="Times New Roman"/>
          <w:sz w:val="22"/>
          <w:szCs w:val="22"/>
        </w:rPr>
        <w:t xml:space="preserve"> and let N denote the required authorisation threshold, as in Equation (3). Here, Token(C) ≠ ∅ means that C has been assigned a token identifier, and Revoked(C) = 0 means that the consent has not been revoked.</w:t>
      </w:r>
    </w:p>
    <w:p>
      <w:pPr>
        <w:keepNext/>
        <w:spacing w:after="60" w:before="160"/>
        <w:jc w:val="center"/>
      </w:pPr>
      <w:r>
        <w:drawing>
          <wp:inline distT="0" distB="0" distL="0" distR="0">
            <wp:extent cx="2647950" cy="428625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(3)</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guardians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(4),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w:t>
      </w:r>
      <w:r>
        <w:rPr>
          <w:rFonts w:ascii="Times New Roman" w:cs="Times New Roman" w:eastAsia="Times New Roman" w:hAnsi="Times New Roman"/>
          <w:sz w:val="22"/>
          <w:szCs w:val="22"/>
          <w:highlight w:val="yellow"/>
        </w:rPr>
        <w:t xml:space="preserve">[23]</w:t>
      </w:r>
      <w:r>
        <w:rPr>
          <w:rFonts w:ascii="Times New Roman" w:cs="Times New Roman" w:eastAsia="Times New Roman" w:hAnsi="Times New Roman"/>
          <w:sz w:val="22"/>
          <w:szCs w:val="22"/>
        </w:rPr>
        <w:t xml:space="preserve">, a witness or notary threshold </w:t>
      </w:r>
      <w:r>
        <w:rPr>
          <w:rFonts w:ascii="Times New Roman" w:cs="Times New Roman" w:eastAsia="Times New Roman" w:hAnsi="Times New Roman"/>
          <w:sz w:val="22"/>
          <w:szCs w:val="22"/>
          <w:highlight w:val="yellow"/>
        </w:rPr>
        <w:t xml:space="preserve">[26]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registration-time co-consent </w:t>
      </w:r>
      <w:r>
        <w:rPr>
          <w:rFonts w:ascii="Times New Roman" w:cs="Times New Roman" w:eastAsia="Times New Roman" w:hAnsi="Times New Roman"/>
          <w:sz w:val="22"/>
          <w:szCs w:val="22"/>
          <w:highlight w:val="yellow"/>
        </w:rPr>
        <w:t xml:space="preserve">[27]</w:t>
      </w:r>
      <w:r>
        <w:rPr>
          <w:rFonts w:ascii="Times New Roman" w:cs="Times New Roman" w:eastAsia="Times New Roman" w:hAnsi="Times New Roman"/>
          <w:sz w:val="22"/>
          <w:szCs w:val="22"/>
        </w:rPr>
        <w:t xml:space="preserve">, a documentation-time gate on guardian access </w:t>
      </w:r>
      <w:r>
        <w:rPr>
          <w:rFonts w:ascii="Times New Roman" w:cs="Times New Roman" w:eastAsia="Times New Roman" w:hAnsi="Times New Roman"/>
          <w:sz w:val="22"/>
          <w:szCs w:val="22"/>
          <w:highlight w:val="yellow"/>
        </w:rPr>
        <w:t xml:space="preserve">[52]</w:t>
      </w:r>
      <w:r>
        <w:rPr>
          <w:rFonts w:ascii="Times New Roman" w:cs="Times New Roman" w:eastAsia="Times New Roman" w:hAnsi="Times New Roman"/>
          <w:sz w:val="22"/>
          <w:szCs w:val="22"/>
        </w:rPr>
        <w:t xml:space="preserve">, an institution-side admission gate </w:t>
      </w:r>
      <w:r>
        <w:rPr>
          <w:rFonts w:ascii="Times New Roman" w:cs="Times New Roman" w:eastAsia="Times New Roman" w:hAnsi="Times New Roman"/>
          <w:sz w:val="22"/>
          <w:szCs w:val="22"/>
          <w:highlight w:val="yellow"/>
        </w:rPr>
        <w:t xml:space="preserve">[61]</w:t>
      </w:r>
      <w:r>
        <w:rPr>
          <w:rFonts w:ascii="Times New Roman" w:cs="Times New Roman" w:eastAsia="Times New Roman" w:hAnsi="Times New Roman"/>
          <w:sz w:val="22"/>
          <w:szCs w:val="22"/>
        </w:rPr>
        <w:t xml:space="preserve">, a custodial M-of-N signature </w:t>
      </w:r>
      <w:r>
        <w:rPr>
          <w:rFonts w:ascii="Times New Roman" w:cs="Times New Roman" w:eastAsia="Times New Roman" w:hAnsi="Times New Roman"/>
          <w:sz w:val="22"/>
          <w:szCs w:val="22"/>
          <w:highlight w:val="yellow"/>
        </w:rPr>
        <w:t xml:space="preserve">[25]</w:t>
      </w:r>
      <w:r>
        <w:rPr>
          <w:rFonts w:ascii="Times New Roman" w:cs="Times New Roman" w:eastAsia="Times New Roman" w:hAnsi="Times New Roman"/>
          <w:sz w:val="22"/>
          <w:szCs w:val="22"/>
        </w:rPr>
        <w:t xml:space="preserve">, a key-share reconstruction </w:t>
      </w:r>
      <w:r>
        <w:rPr>
          <w:rFonts w:ascii="Times New Roman" w:cs="Times New Roman" w:eastAsia="Times New Roman" w:hAnsi="Times New Roman"/>
          <w:sz w:val="22"/>
          <w:szCs w:val="22"/>
          <w:highlight w:val="yellow"/>
        </w:rPr>
        <w:t xml:space="preserve">[50]</w:t>
      </w:r>
      <w:r>
        <w:rPr>
          <w:rFonts w:ascii="Times New Roman" w:cs="Times New Roman" w:eastAsia="Times New Roman" w:hAnsi="Times New Roman"/>
          <w:sz w:val="22"/>
          <w:szCs w:val="22"/>
        </w:rPr>
        <w:t xml:space="preserve">, or a threshold proxy re-encryption </w:t>
      </w:r>
      <w:r>
        <w:rPr>
          <w:rFonts w:ascii="Times New Roman" w:cs="Times New Roman" w:eastAsia="Times New Roman" w:hAnsi="Times New Roman"/>
          <w:sz w:val="22"/>
          <w:szCs w:val="22"/>
          <w:highlight w:val="yellow"/>
        </w:rPr>
        <w:t xml:space="preserve">[54]</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(4)</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The temporal check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the jurisdictional check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6,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requested purpose must be consistent with the purpose specified in the consent.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6.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is</w:t>
      </w:r>
      <w:r>
        <w:rPr>
          <w:rFonts w:ascii="Times New Roman" w:cs="Times New Roman" w:eastAsia="Times New Roman" w:hAnsi="Times New Roman"/>
          <w:sz w:val="22"/>
          <w:szCs w:val="22"/>
        </w:rPr>
        <w:t xml:space="preserve"> evaluated by the Controller before an access decision is produced</w:t>
      </w:r>
      <w:r>
        <w:rPr>
          <w:rFonts w:ascii="Times New Roman" w:cs="Times New Roman" w:eastAsia="Times New Roman" w:hAnsi="Times New Roman"/>
          <w:sz w:val="22"/>
          <w:szCs w:val="22"/>
        </w:rPr>
        <w:t xml:space="preserve">, and the jurisdiction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of RO4 is evaluated in the same step</w:t>
      </w:r>
      <w:r>
        <w:rPr>
          <w:rFonts w:ascii="Times New Roman" w:cs="Times New Roman" w:eastAsia="Times New Roman" w:hAnsi="Times New Roman"/>
          <w:sz w:val="22"/>
          <w:szCs w:val="22"/>
        </w:rPr>
        <w:t xml:space="preserve">.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evaluates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principal contribution of the proposed architecture is not the use of MVC itself, but the way in which MVC is employed to operationalise a trust-oriented authorisation model. This design transforms multi-party consent management from a conventional record-management problem into a distributed security-governance problem. The evaluable consent object as such is already present in the literature </w:t>
      </w:r>
      <w:r>
        <w:rPr>
          <w:rFonts w:ascii="Times New Roman" w:cs="Times New Roman" w:eastAsia="Times New Roman" w:hAnsi="Times New Roman"/>
          <w:sz w:val="22"/>
          <w:szCs w:val="22"/>
          <w:highlight w:val="yellow"/>
        </w:rPr>
        <w:t xml:space="preserve">[21, 24, 28, 48, 67]</w:t>
      </w:r>
      <w:r>
        <w:rPr>
          <w:rFonts w:ascii="Times New Roman" w:cs="Times New Roman" w:eastAsia="Times New Roman" w:hAnsi="Times New Roman"/>
          <w:sz w:val="22"/>
          <w:szCs w:val="22"/>
        </w:rPr>
        <w:t xml:space="preserve">. The key innovation is that consent effectiveness depends on the joint satisfaction of identity, authority, collective approval, policy, temporal, and jurisdictional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w:t>
      </w:r>
      <w:r>
        <w:rPr>
          <w:rFonts w:ascii="Times New Roman" w:cs="Times New Roman" w:eastAsia="Times New Roman" w:hAnsi="Times New Roman"/>
          <w:sz w:val="22"/>
          <w:szCs w:val="22"/>
          <w:highlight w:val="yellow"/>
        </w:rPr>
        <w:t xml:space="preserve">[10, 18]</w:t>
      </w:r>
      <w:r>
        <w:rPr>
          <w:rFonts w:ascii="Times New Roman" w:cs="Times New Roman" w:eastAsia="Times New Roman" w:hAnsi="Times New Roman"/>
          <w:sz w:val="22"/>
          <w:szCs w:val="22"/>
        </w:rPr>
        <w:t xml:space="preserve">.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(5)</w:t>
      </w:r>
    </w:p>
    <w:p>
      <w:pPr>
        <w:spacing w:after="110" w:line="264"/>
        <w:jc w:val="both"/>
      </w:pPr>
      <w:r>
        <w:rPr>
          <w:rFonts w:ascii="Times New Roman" w:cs="Times New Roman" w:eastAsia="Times New Roman" w:hAnsi="Times New Roman"/>
          <w:sz w:val="22"/>
          <w:szCs w:val="22"/>
        </w:rPr>
        <w:t xml:space="preserve">In Equation (5), I represents patient and participant identity information, A represents authorisation requirements, P represents policy constraints, and E represents authorisation evidence. T represents the temporal validity window, and L represents the jurisdiction in which the consent may be exercised.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7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219325" cy="428625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193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The declared jurisdiction L is validated as a well-formed ISO alpha-2 territory code, AU in the demonstrated transactions, and is bound to the consent object at creation because the subsequent access decision is evaluated against it.</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8 shows how the validated information is combined to construct the consent object. The resulting object therefore captures not only the patient's preference but also the evidence required to support subsequent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title="Six-component consent model C = (I, A, P, T, L, E) with the content and supplier of each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Existing</w:t>
      </w:r>
      <w:r>
        <w:rPr>
          <w:rFonts w:ascii="Times New Roman" w:cs="Times New Roman" w:eastAsia="Times New Roman" w:hAnsi="Times New Roman"/>
          <w:sz w:val="22"/>
          <w:szCs w:val="22"/>
        </w:rPr>
        <w:t xml:space="preserve"> approaches provide limited treatment of patient consent as a security-bearing and policy-aware authorisation object whose validity depends on coordinated conditions concerning participant identity, authority, collective approval, and contextual policy compliance. Unlike the consent objects reported in the literature </w:t>
      </w:r>
      <w:r>
        <w:rPr>
          <w:rFonts w:ascii="Times New Roman" w:cs="Times New Roman" w:eastAsia="Times New Roman" w:hAnsi="Times New Roman"/>
          <w:sz w:val="22"/>
          <w:szCs w:val="22"/>
          <w:highlight w:val="yellow"/>
        </w:rPr>
        <w:t xml:space="preserve">[21, 24, 28, 48, 67]</w:t>
      </w:r>
      <w:r>
        <w:rPr>
          <w:rFonts w:ascii="Times New Roman" w:cs="Times New Roman" w:eastAsia="Times New Roman" w:hAnsi="Times New Roman"/>
          <w:sz w:val="22"/>
          <w:szCs w:val="22"/>
        </w:rPr>
        <w:t xml:space="preserve">, this object carries the guardian set and threshold together with the purpose, data scope, validity interval, jurisdiction,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z w:val="22"/>
          <w:szCs w:val="22"/>
        </w:rPr>
        <w:t xml:space="preserve">be non-empty, and every guardian in it must have a well-formed DID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T → L → A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This sequence ensures that consent is created only after the relevant identity, authority, purpose, scope, and temporal constraints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validity interval T, jurisdiction L</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Validate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in the prototype, D is checked for DID format only at the access decision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 any member of G is invalid,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is invalid, or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Validate jurisdiction L and 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sz w:val="19"/>
          <w:szCs w:val="19"/>
        </w:rPr>
        <w:t xml:space="preserve">Construct C = (I, A, P, T, L, E)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where I holds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and D, A holds G and the threshold N = |G|, and P holds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S</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state ← PENDING_SIGNATURE   ▷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consent is placed in the PENDING_SIGNATURE state,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The main contribution of RO1 is the transformation of consent from a static permission record into a structured authorisation object. The current result demonstrates that consent can be represented as an evaluable authorisation object rather than as a binary permission. In the current prototype, the identity validation of the first three steps is structural. In particular, the patient DID is selected from the loaded record set, and each guardian DID must be a well-formed DID before the consent is stored, whereas the doctor DID is checked for DID format only when the access decision is evaluated, as qualified in Section 7. The validation evidence for consent creation, including the demonstration scenarios and the unit-level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(6).</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(6)</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w:t>
      </w:r>
      <w:r>
        <w:rPr>
          <w:rFonts w:ascii="Times New Roman" w:cs="Times New Roman" w:eastAsia="Times New Roman" w:hAnsi="Times New Roman"/>
          <w:sz w:val="22"/>
          <w:szCs w:val="22"/>
          <w:highlight w:val="yellow"/>
        </w:rPr>
        <w:t xml:space="preserve">[16]</w:t>
      </w:r>
      <w:r>
        <w:rPr>
          <w:rFonts w:ascii="Times New Roman" w:cs="Times New Roman" w:eastAsia="Times New Roman" w:hAnsi="Times New Roman"/>
          <w:sz w:val="22"/>
          <w:szCs w:val="22"/>
        </w:rPr>
        <w:t xml:space="preserve">. Neither mechanism should automatically grant access to patient data. Instead, the verified identity and authority information become inputs to the subsequent authorisation process. The identity and authority verification condition can be expressed as Equation (7), where u is the requesting participant and Authority(u, C) establishes whether the verified authority matches the role required by the consent.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As shown in Figure 9,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2876550" cy="4286250"/>
            <wp:effectExtent t="0" r="0" b="0" l="0"/>
            <wp:docPr id="1" name="F12.png" descr="RO2 workflow for decentralised identity and authority verification (target design; the current prototype performs a DID-format check and EIP-712 signature recovery)" title="RO2 workflow for decentralised identity and authority verification (target design; the current prototype performs a DID-format check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current prototype performs a DID-format check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In the target design,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The purpose of this comparison is to ensure that possession of a valid identity or credential is not automatically interpreted as permission to access healthcare information. 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2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2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a structural DID and credential-format check with EIP-712 verification of the signature of each listed guardian, and its outcome is recorded in the audit ledger. The condition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therefore defines the target verification model rather than the behaviour presently exercised by the demonstration. The doctor is not independently authenticated at consent creation, because the doctor DID is checked for DID format only when the access decision is evaluated. Cryptographic DID resolution against a registry, cryptographic validation of verifiable credentials, and authentication of the requester are acknowledged limitations reserved for the next stage. The validation evidence for RO2, including the scenarios and the unit-level adversarial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rPr>
        <w:t xml:space="preserve">approving guardians</w:t>
      </w:r>
      <w:r>
        <w:rPr>
          <w:rFonts w:ascii="Times New Roman" w:cs="Times New Roman" w:eastAsia="Times New Roman" w:hAnsi="Times New Roman"/>
          <w:sz w:val="22"/>
          <w:szCs w:val="22"/>
        </w:rPr>
        <w:t xml:space="preserve"> and N represent the required approval threshold. The authorisation condition can then be represented as Equation (8),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have demonstrated the potential to strengthen the process through which identity claims are established or validated </w:t>
      </w:r>
      <w:r>
        <w:rPr>
          <w:rFonts w:ascii="Times New Roman" w:cs="Times New Roman" w:eastAsia="Times New Roman" w:hAnsi="Times New Roman"/>
          <w:sz w:val="22"/>
          <w:szCs w:val="22"/>
          <w:highlight w:val="yellow"/>
        </w:rPr>
        <w:t xml:space="preserve">[40, 41]</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10, the Guardian workflow verifies the guardian VC,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w:t>
      </w:r>
    </w:p>
    <w:p>
      <w:pPr>
        <w:keepNext/>
        <w:spacing w:after="60" w:before="160"/>
        <w:jc w:val="center"/>
      </w:pPr>
      <w:r>
        <w:drawing>
          <wp:inline distT="0" distB="0" distL="0" distR="0">
            <wp:extent cx="2790825" cy="428625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is presently a DID-format check, and the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their guardian g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(9).</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(9)</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(10).</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(10)</w:t>
      </w:r>
    </w:p>
    <w:p>
      <w:pPr>
        <w:spacing w:after="110" w:line="264"/>
        <w:jc w:val="both"/>
      </w:pPr>
      <w:r>
        <w:rPr>
          <w:rFonts w:ascii="Times New Roman" w:cs="Times New Roman" w:eastAsia="Times New Roman" w:hAnsi="Times New Roman"/>
          <w:sz w:val="22"/>
          <w:szCs w:val="22"/>
        </w:rPr>
        <w:t xml:space="preserve">Algorithm 3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3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jurisdiction L,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w:t>
      </w:r>
      <w:r>
        <w:rPr>
          <w:rFonts w:ascii="Times New Roman" w:cs="Times New Roman" w:eastAsia="Times New Roman" w:hAnsi="Times New Roman"/>
          <w:sz w:val="19"/>
          <w:szCs w:val="19"/>
        </w:rPr>
        <w:t xml:space="preserve">, signing address Addr(g) of each guardian, burn authorisation burnAuth = 2 (the issuer and the owner may both burn the token)</w:t>
      </w:r>
      <w:r>
        <w:rPr>
          <w:rFonts w:ascii="Times New Roman" w:cs="Times New Roman" w:eastAsia="Times New Roman" w:hAnsi="Times New Roman"/>
          <w:sz w:val="19"/>
          <w:szCs w:val="19"/>
        </w:rPr>
        <w:t xml:space="preserve">,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2,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G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w:t>
      </w:r>
      <w:r>
        <w:rPr>
          <w:rFonts w:ascii="Times New Roman" w:cs="Times New Roman" w:eastAsia="Times New Roman" w:hAnsi="Times New Roman"/>
          <w:sz w:val="19"/>
          <w:szCs w:val="19"/>
        </w:rPr>
        <w:t xml:space="preserve">▷ in the prototype, only members of G can be selected in the guardian view, and a signature from any other signer is not counted towards 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has already approved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rPr>
        <w:t xml:space="preserve">approver</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w:t>
      </w:r>
      <w:r>
        <w:rPr>
          <w:rFonts w:ascii="Times New Roman" w:cs="Times New Roman" w:eastAsia="Times New Roman" w:hAnsi="Times New Roman"/>
          <w:sz w:val="19"/>
          <w:szCs w:val="19"/>
        </w:rPr>
        <w:t xml:space="preserve">ecord a local token identifier and set state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L,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On confirmation,</w:t>
      </w:r>
      <w:r>
        <w:rPr>
          <w:rFonts w:ascii="Times New Roman" w:cs="Times New Roman" w:eastAsia="Times New Roman" w:hAnsi="Times New Roman"/>
          <w:sz w:val="19"/>
          <w:szCs w:val="19"/>
        </w:rPr>
        <w:t xml:space="preserve">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(11).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(11)</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(12) holds for a consent that has a token identifier and has not been revoked, whereas Equation (13)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(12)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(13)</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(14)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(14)</w:t>
      </w:r>
    </w:p>
    <w:p>
      <w:pPr>
        <w:spacing w:after="110" w:line="264"/>
        <w:jc w:val="both"/>
      </w:pPr>
      <w:r>
        <w:rPr>
          <w:rFonts w:ascii="Times New Roman" w:cs="Times New Roman" w:eastAsia="Times New Roman" w:hAnsi="Times New Roman"/>
          <w:sz w:val="22"/>
          <w:szCs w:val="22"/>
        </w:rPr>
        <w:t xml:space="preserve">The policy condition can therefore be expressed as Equation (15)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(15)</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the five verification predicates in Equation (16)</w:t>
      </w:r>
      <w:r>
        <w:rPr>
          <w:rFonts w:ascii="Times New Roman" w:cs="Times New Roman" w:eastAsia="Times New Roman" w:hAnsi="Times New Roman"/>
          <w:sz w:val="22"/>
          <w:szCs w:val="22"/>
        </w:rPr>
        <w:t xml:space="preserve">, where the jurisdiction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belongs to this objective and is written out in Equation (21)</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 against an ACTIVE consent has its decision matrix recorded in the audit ledger with the GRANTED or DENIED outcome, although the three earliest grants of 22 September 2026 predate this logging. Importantly, both successful and denied decisions should be recorded because a trustworthy authorisation framework requires accountability not only for data that were released but also for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(16)</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The final decision therefore combines the decision matrix with that scope check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requested purpose and data scope. The HALAH implementation provides a concrete basis for this objective. As shown in Figure 11, the Doctor interface retrieves a consent, evaluates its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rPr>
        <w:t xml:space="preserve">Suppose that a consent permits access to the data categories given in Equation (17), and a healthcare professional then requests the categories given in Equation (18).</w:t>
      </w:r>
    </w:p>
    <w:p>
      <w:pPr>
        <w:keepNext/>
        <w:spacing w:after="60" w:before="160"/>
        <w:jc w:val="center"/>
      </w:pPr>
      <w:r>
        <w:drawing>
          <wp:inline distT="0" distB="0" distL="0" distR="0">
            <wp:extent cx="3324225" cy="590550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itl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24225" cy="5905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 </w:t>
      </w:r>
      <w:r>
        <w:rPr>
          <w:rFonts w:ascii="Times New Roman" w:cs="Times New Roman" w:eastAsia="Times New Roman" w:hAnsi="Times New Roman"/>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(17)</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(18)</w:t>
      </w:r>
    </w:p>
    <w:p>
      <w:pPr>
        <w:spacing w:after="110" w:line="264"/>
        <w:jc w:val="both"/>
      </w:pPr>
      <w:r>
        <w:rPr>
          <w:rFonts w:ascii="Times New Roman" w:cs="Times New Roman" w:eastAsia="Times New Roman" w:hAnsi="Times New Roman"/>
          <w:sz w:val="22"/>
          <w:szCs w:val="22"/>
        </w:rPr>
        <w:t xml:space="preserve">In this case, Equation (19)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This step is particularly important for fine-grained healthcare data access because authorisation to access one category of healthcare information does not imply authorisation to access all categories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(19)</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4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z w:val="22"/>
          <w:szCs w:val="22"/>
        </w:rPr>
        <w:t xml:space="preserve">There are two exceptions in the prototype: a consent that is not ACTIVE, whose refusal is reported only in the doctor interface, and an empty request, which the interface stops before it reaches the ledger.</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4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consent state</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Jur(C) ≠ ∅ and </w:t>
      </w:r>
      <w:r>
        <w:rPr>
          <w:rFonts w:ascii="Times New Roman" w:cs="Times New Roman" w:eastAsia="Times New Roman" w:hAnsi="Times New Roman"/>
          <w:sz w:val="19"/>
          <w:szCs w:val="19"/>
        </w:rPr>
        <w:t xml:space="preserve">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in the prototype, the proof is generated and verified before the decision matrix is evaluated</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proof does not verify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sz w:val="19"/>
          <w:szCs w:val="19"/>
        </w:rPr>
        <w:t xml:space="preserve">Record granted decision</w:t>
      </w:r>
      <w:r>
        <w:rPr>
          <w:rFonts w:ascii="Times New Roman" w:cs="Times New Roman" w:eastAsia="Times New Roman" w:hAnsi="Times New Roman"/>
          <w:sz w:val="19"/>
          <w:szCs w:val="19"/>
        </w:rPr>
        <w:t xml:space="preserve"> with proof_mode = groth16</w:t>
      </w:r>
    </w:p>
    <w:p>
      <w:pPr>
        <w:keepNext w:val="false"/>
        <w:spacing w:after="10"/>
        <w:ind w:left="240"/>
      </w:pPr>
      <w:r>
        <w:rPr>
          <w:rFonts w:ascii="Times New Roman" w:cs="Times New Roman" w:eastAsia="Times New Roman" w:hAnsi="Times New Roman"/>
          <w:color w:val="555555"/>
          <w:sz w:val="16"/>
          <w:szCs w:val="16"/>
        </w:rPr>
        <w:t xml:space="preserve">32: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This ordering is important because it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temporal validity, and jurisdictional match.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in the prototype, the doctor subsystem generates and verifies this proof before the decision matrix is evaluated</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w:t>
      </w:r>
      <w:r>
        <w:rPr>
          <w:rFonts w:ascii="Times New Roman" w:cs="Times New Roman" w:eastAsia="Times New Roman" w:hAnsi="Times New Roman"/>
          <w:sz w:val="22"/>
          <w:szCs w:val="22"/>
          <w:highlight w:val="yellow"/>
        </w:rPr>
        <w:t xml:space="preserve">[70]</w:t>
      </w:r>
      <w:r>
        <w:rPr>
          <w:rFonts w:ascii="Times New Roman" w:cs="Times New Roman" w:eastAsia="Times New Roman" w:hAnsi="Times New Roman"/>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but is not written to the audit ledger in the current prototype.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is particularly important because a framework should not only demonstrate that legitimate requests succeed, but also demonstrate resilience against foreseeable attempts to bypass its security controls.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names the failed checks in the interface. Each consent specification and access request is accepted only when the required fields are valid. Malformed identifiers, scopes, and jurisdictions therefore do not reach the decision logic.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Section 11 demonstrates on the live system that a request is permitted only when the requested data scope is contained within the authorised scope.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rPr>
        <w:t xml:space="preserve">Trust Conditions</w:t>
      </w:r>
    </w:p>
    <w:p>
      <w:pPr>
        <w:spacing w:after="110" w:line="264"/>
        <w:jc w:val="both"/>
      </w:pPr>
      <w:r>
        <w:rPr>
          <w:rFonts w:ascii="Times New Roman" w:cs="Times New Roman" w:eastAsia="Times New Roman" w:hAnsi="Times New Roman"/>
          <w:sz w:val="22"/>
          <w:szCs w:val="22"/>
        </w:rPr>
        <w:t xml:space="preserve">Trustworthy authorisation is inherently dynamic. A consent that is valid at one point in time cannot necessarily be assumed to remain valid indefinitely. The system compares the current time t with the consent validity interval, and Equation (20)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(20)</w:t>
      </w:r>
    </w:p>
    <w:p>
      <w:pPr>
        <w:spacing w:after="110" w:line="264"/>
        <w:jc w:val="both"/>
      </w:pPr>
      <w:r>
        <w:rPr>
          <w:rFonts w:ascii="Times New Roman" w:cs="Times New Roman" w:eastAsia="Times New Roman" w:hAnsi="Times New Roman"/>
          <w:sz w:val="22"/>
          <w:szCs w:val="22"/>
        </w:rPr>
        <w:t xml:space="preserve">Equation (21) defines the jurisdictional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which compares the jurisdiction of request R with the consent jurisdiction L, </w:t>
      </w:r>
      <w:r>
        <w:rPr>
          <w:rFonts w:ascii="Times New Roman" w:cs="Times New Roman" w:eastAsia="Times New Roman" w:hAnsi="Times New Roman"/>
          <w:sz w:val="22"/>
          <w:szCs w:val="22"/>
        </w:rPr>
        <w:t xml:space="preserve">where Jur(C) = L is the two-letter ISO code recorded with the consent and stored on-chain, and Jur(R) is the two-letter code declared with the request.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R) = 1 ⟺ Jur(R) = Jur(C) ∨ Jur(C) = ∅.</w:t>
      </w:r>
      <w:r>
        <w:rPr>
          <w:rFonts w:ascii="Times New Roman" w:cs="Times New Roman" w:eastAsia="Times New Roman" w:hAnsi="Times New Roman"/>
          <w:sz w:val="22"/>
          <w:szCs w:val="22"/>
        </w:rPr>
        <w:t xml:space="preserve">	(21)</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and L is one of these fields. The disjunct Jur(C) = ∅ is therefore not reached for any consent created through the current interface, and the predicate reduces to strict equality. </w:t>
      </w:r>
      <w:r>
        <w:rPr>
          <w:rFonts w:ascii="Times New Roman" w:cs="Times New Roman" w:eastAsia="Times New Roman" w:hAnsi="Times New Roman"/>
          <w:sz w:val="22"/>
          <w:szCs w:val="22"/>
        </w:rPr>
        <w:t xml:space="preserve">As in Section 5.2, revocation and the token state remain part of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while the time-based states are evaluated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 authorisation decision consequently requires both temporal and lifecycle validity. The extended authorisation decision is therefore given by Equation (22). A valid authorisation decision requires the simultaneous satisfaction of all relevant trust conditions. Consequently, failure of any individual condition results in denial. Temporal and lifecycle controls contribute dynamic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(22)</w:t>
      </w:r>
    </w:p>
    <w:p>
      <w:pPr>
        <w:spacing w:after="110" w:line="264"/>
        <w:jc w:val="both"/>
      </w:pPr>
      <w:r>
        <w:rPr>
          <w:rFonts w:ascii="Times New Roman" w:cs="Times New Roman" w:eastAsia="Times New Roman" w:hAnsi="Times New Roman"/>
          <w:sz w:val="22"/>
          <w:szCs w:val="22"/>
        </w:rPr>
        <w:t xml:space="preserve">Authorisation is not necessarily permanent. A consent that was valid when initially approved may subsequently become invalid due to expiration or revocation. This establishes that consent validity is not a static property. 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12 presents the RO5 workflow, which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from the application record,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2990850" cy="428625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12: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implementation performs the two in one step, which is why Algorithm 3 and Figure 10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 The current state is used to determine whether the requested operation can legally and logically be performed.</w:t>
      </w:r>
    </w:p>
    <w:p>
      <w:pPr>
        <w:spacing w:after="110" w:line="264"/>
        <w:jc w:val="both"/>
      </w:pPr>
      <w:r>
        <w:rPr>
          <w:rFonts w:ascii="Times New Roman" w:cs="Times New Roman" w:eastAsia="Times New Roman" w:hAnsi="Times New Roman"/>
          <w:sz w:val="22"/>
          <w:szCs w:val="22"/>
        </w:rPr>
        <w:t xml:space="preserve">Figure 13 summarises the implemented lifecycle. Each STATE_CHECK event in the audit ledger, recorded at every access request evaluated against an ACTIVE consent, establishes an auditable relationship between the consent’s lifecycle state and the operation performed at a particular point in time. Rather than treating authorisation as a one-time event, this approach enables the system to determine whether authorisation remains valid at the precise time an operation is requested.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This work will be a major part of the next stage. The main activities of the next stage</w:t>
      </w:r>
      <w:r>
        <w:rPr>
          <w:rFonts w:ascii="Times New Roman" w:cs="Times New Roman" w:eastAsia="Times New Roman" w:hAnsi="Times New Roman"/>
          <w:sz w:val="22"/>
          <w:szCs w:val="22"/>
        </w:rPr>
        <w:t xml:space="preserve"> and their expected outcomes are summarised in Section 13.</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The complete formal analysis and comprehensive empirical validation </w:t>
      </w:r>
      <w:r>
        <w:rPr>
          <w:rFonts w:ascii="Times New Roman" w:cs="Times New Roman" w:eastAsia="Times New Roman" w:hAnsi="Times New Roman"/>
          <w:sz w:val="22"/>
          <w:szCs w:val="22"/>
        </w:rPr>
        <w:t xml:space="preserve">will be conducted in the next stage.</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14 presents the RO6 workflow for formal security assurance and empirical validation. The formal and empirical components are complementary.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3819525" cy="428625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95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14: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This procedure establishes a distinction between functional correctness and security correctness. The proposed validation therefore does not treat successful execution as sufficient evidence of correctness. Equation (23)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(23)</w:t>
      </w:r>
    </w:p>
    <w:p>
      <w:pPr>
        <w:spacing w:after="110" w:line="264"/>
        <w:jc w:val="both"/>
      </w:pPr>
      <w:r>
        <w:rPr>
          <w:rFonts w:ascii="Times New Roman" w:cs="Times New Roman" w:eastAsia="Times New Roman" w:hAnsi="Times New Roman"/>
          <w:sz w:val="22"/>
          <w:szCs w:val="22"/>
        </w:rPr>
        <w:t xml:space="preserve">Equivalently, Equation (24), the contrapositive of Equation (23), states that if any mandatory condition is violated, the request must be denied. Equation (23) is therefore examined through the granted requests and Equation (24) through the negative scenarios, while the valid scenarios examine the opposite direction, namely that a request satisfying all conditions is granted. A valid authorisation decision requires the simultaneous satisfaction of all relevant trust conditions. Each predicate of Section 10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(24)</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Its 23 functional and regression tests examine whether access is denied when identity verification fails, when the required authorisation threshold is not satisfied, or when the requested purpose or data scope violates the consent policy. They also cover invalid EIP-712 guardian signatures and tampered or expired zero-knowledge proofs, whereas the 13 adversarial tests cover a baseline and twelve attack scenarios.</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role-based consent management platform. The current system includes separate patient, guardian, doctor, and auditor interfaces. It also records consent creation, guardian approval, token minting, state checks, and data-access events. Following successful threshold satisfaction, the system generates activation or token evidence associated with the authorisation decision through ConsentSBTv3, compiled in Remix and deployed via MetaMask.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w:t>
      </w:r>
      <w:r>
        <w:rPr>
          <w:rFonts w:ascii="Times New Roman" w:cs="Times New Roman" w:eastAsia="Times New Roman" w:hAnsi="Times New Roman"/>
          <w:sz w:val="22"/>
          <w:szCs w:val="22"/>
          <w:highlight w:val="yellow"/>
        </w:rPr>
        <w:t xml:space="preserve">[71]</w:t>
      </w:r>
      <w:r>
        <w:rPr>
          <w:rFonts w:ascii="Times New Roman" w:cs="Times New Roman" w:eastAsia="Times New Roman" w:hAnsi="Times New Roman"/>
          <w:sz w:val="22"/>
          <w:szCs w:val="22"/>
        </w:rPr>
        <w:t xml:space="preserve"> that follows ERC-5484 </w:t>
      </w:r>
      <w:r>
        <w:rPr>
          <w:rFonts w:ascii="Times New Roman" w:cs="Times New Roman" w:eastAsia="Times New Roman" w:hAnsi="Times New Roman"/>
          <w:sz w:val="22"/>
          <w:szCs w:val="22"/>
          <w:highlight w:val="yellow"/>
        </w:rPr>
        <w:t xml:space="preserve">[72]</w:t>
      </w:r>
      <w:r>
        <w:rPr>
          <w:rFonts w:ascii="Times New Roman" w:cs="Times New Roman" w:eastAsia="Times New Roman" w:hAnsi="Times New Roman"/>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 Synthetic healthcare records derived from the Synthea dataset are used to construct representative consent workflows.</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The creation, approval, and record-display screens (Figure 15, Figure 16 and Figure 18) were captured from a second lifecycle, 04da25f5, which used the same code, contract, and configuration and was anchored as token #2. Figure 17 shows the evaluated consent f050c29a.</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15,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This process ensures that the consent object contains sufficient information for subsequent identity verification, multi-party authorisation, policy evaluation, and auditability. Consequently, the resulting consent object serves not merely as a record of patient preference, but as a structured authorisation artefact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15: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16. </w:t>
      </w:r>
      <w:r>
        <w:rPr>
          <w:rFonts w:ascii="Times New Roman" w:cs="Times New Roman" w:eastAsia="Times New Roman" w:hAnsi="Times New Roman"/>
          <w:sz w:val="22"/>
          <w:szCs w:val="22"/>
        </w:rPr>
        <w:t xml:space="preserve">The public anchoring of the evaluated consent f050c29a in block 11,771,243 (block 11,771,581 for consent 04da25f5 in Figure 16)</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16: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17,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18, once the request has been successfully authorised, the system retrieves only the healthcare data satisfying the authorised scope and displays them per EMR module. This rule prevents a legitimate participant from obtaining data outside the patient’s authorised scope.</w:t>
      </w:r>
    </w:p>
    <w:p>
      <w:pPr>
        <w:keepNext/>
        <w:spacing w:after="60" w:before="160"/>
        <w:jc w:val="center"/>
      </w:pPr>
      <w:r>
        <w:drawing>
          <wp:inline distT="0" distB="0" distL="0" distR="0">
            <wp:extent cx="4476750" cy="3524250"/>
            <wp:effectExtent t="0" r="0" b="0" l="0"/>
            <wp:docPr id="1" name="F27.png" descr="Doctor subsystem for the evaluated consent f050c29a with requester jurisdiction AU: all five checks pass" title="Doctor subsystem for the evaluated consent f050c29a with requester jurisdiction AU: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17: </w:t>
      </w:r>
      <w:r>
        <w:rPr>
          <w:rFonts w:ascii="Times New Roman" w:cs="Times New Roman" w:eastAsia="Times New Roman" w:hAnsi="Times New Roman"/>
          <w:sz w:val="18"/>
          <w:szCs w:val="18"/>
        </w:rPr>
        <w:t xml:space="preserve">Doctor subsystem for the evaluated consent f050c29a with requester jurisdiction AU: all five checks pass</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3352800" cy="3810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52800" cy="3810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18: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(validates RQ4).</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passed. Here,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19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VL as the failed check" title="Refused request naming VL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19: </w:t>
      </w:r>
      <w:r>
        <w:rPr>
          <w:rFonts w:ascii="Times New Roman" w:cs="Times New Roman" w:eastAsia="Times New Roman" w:hAnsi="Times New Roman"/>
          <w:sz w:val="18"/>
          <w:szCs w:val="18"/>
        </w:rPr>
        <w:t xml:space="preserve">Refused request naming V</w:t>
      </w:r>
      <w:r>
        <w:rPr>
          <w:rFonts w:ascii="Times New Roman" w:cs="Times New Roman" w:eastAsia="Times New Roman" w:hAnsi="Times New Roman"/>
          <w:sz w:val="18"/>
          <w:szCs w:val="18"/>
          <w:vertAlign w:val="subscript"/>
        </w:rPr>
        <w:t xml:space="preserve">L</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20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20: </w:t>
      </w:r>
      <w:r>
        <w:rPr>
          <w:rFonts w:ascii="Times New Roman" w:cs="Times New Roman" w:eastAsia="Times New Roman" w:hAnsi="Times New Roman"/>
          <w:sz w:val="18"/>
          <w:szCs w:val="18"/>
        </w:rPr>
        <w:t xml:space="preserve">Revocation transaction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As shown in Figure 21,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22.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7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represent different interaction responsibilities but share the same architectural principle: none of them independently determines whether access should be granted.</w:t>
      </w:r>
    </w:p>
    <w:p>
      <w:pPr>
        <w:keepNext/>
        <w:spacing w:after="80" w:before="200"/>
        <w:jc w:val="center"/>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Jurisdictional Constraint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Authorisation Evidence / Revocation (E)</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Table 8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23,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23: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9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mode itself is written only on granted rows, which is why Table 9 shows it as not logged for that row</w:t>
      </w:r>
      <w:r>
        <w:rPr>
          <w:rFonts w:ascii="Times New Roman" w:cs="Times New Roman" w:eastAsia="Times New Roman" w:hAnsi="Times New Roman"/>
          <w:sz w:val="22"/>
          <w:szCs w:val="22"/>
        </w:rPr>
        <w:t xml:space="preserve">. In each of the six logged evaluations, the recorded audit evidence is consistent with the actual authorisation decision. Consequently, validation does not merely determine whether the final output is ALLOW or DENY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it also determines whether the underlying evidence is consistent with the decision.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9: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L</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10 summarises the processing time of the decision components, with the decision rule timed over 1,000 evaluations of the five predicates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10: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 with the anchoring confirmation taken from Table 8</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predicates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24, the time taken to evaluate the decision rule is negligible,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is the slowest step, but it runs in the background, so it delays neither the guardians nor the doctor.</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he checkValid read of Table 10 is not plotted, as its values are close to those of the checkValidAt read" title="Processing time of the decision components on a logarithmic axis (median and minimum to maximum). The checkValid read of Table 10 is not plotted, as its values are close to those of the checkValidA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24: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10 is not plotted, as its values are close to those of the checkValidAt read</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is particularly important because a framework should not only demonstrate that legitimate requests succeed, but also demonstrate resilience against foreseeable attempts to bypass its security controls. The adversarial tests assume honest infrastructure and exercise the decision functions,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 Each scenario is associated with an expected authorisation outcome and the security properties that it is intended to evaluate.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 and Figure 25 record whether each scenario has passed or failed. Before the hardening, three attacks, A1, A3, and A5, were accepted when the service functions were called directly. This confirms that a system may be conceptually correct but incorrectly implemented, or may pass functional tests while failing under invalid or adversarial conditions. Any failed scenario is analysed to determine the source and significance of the failure. The purpose of this analysis is not to conceal unsuccessful cases but to determine whether observed failures represent violations of the intended security properties or limitations that should be addressed in future work.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11: </w:t>
      </w:r>
      <w:r>
        <w:rPr>
          <w:rFonts w:ascii="Times New Roman" w:cs="Times New Roman" w:eastAsia="Times New Roman" w:hAnsi="Times New Roman"/>
          <w:sz w:val="18"/>
          <w:szCs w:val="18"/>
        </w:rPr>
        <w:t xml:space="preserve">Unit-level adversarial tests A1 to A12, their targeted component and their outcome before the hardening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19</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25: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rPr>
        <w:t xml:space="preserve">The analysis distinguishes between implementation defects, policy-definition errors, integration problems, incomplete security controls, and limitations of the experimental environment.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twelve attack scenarios will be extended to larger sets of positive, negative, and adversarial scenarios, and enforcement accuracy will be reported over this extended set. Particular attention will be given to the relationship between the formal security model and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cryptographic DID resolution and VC validation,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12: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 The second publication extends Section 2 into a stand-alone review, and the third publication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26,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and RO6, will build upon the foundational trust-oriented authorisation framework established during current stage and extend the research towards dynamic consent governance, formal security assurance, and comprehensive empirical validation. </w:t>
      </w:r>
      <w:r>
        <w:rPr>
          <w:rFonts w:ascii="Times New Roman" w:cs="Times New Roman" w:eastAsia="Times New Roman" w:hAnsi="Times New Roman"/>
          <w:sz w:val="22"/>
          <w:szCs w:val="22"/>
        </w:rPr>
        <w:t xml:space="preserve">The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26: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14.</w:t>
      </w:r>
    </w:p>
    <w:p>
      <w:pPr>
        <w:keepNext/>
        <w:spacing w:after="80" w:before="200"/>
        <w:jc w:val="center"/>
      </w:pPr>
      <w:r>
        <w:rPr>
          <w:rFonts w:ascii="Times New Roman" w:cs="Times New Roman" w:eastAsia="Times New Roman" w:hAnsi="Times New Roman"/>
          <w:b/>
          <w:bCs/>
          <w:sz w:val="18"/>
          <w:szCs w:val="18"/>
        </w:rPr>
        <w:t xml:space="preserve">Table 14: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w:t>
            </w:r>
            <w:r>
              <w:rPr>
                <w:rFonts w:ascii="Times New Roman" w:cs="Times New Roman" w:eastAsia="Times New Roman" w:hAnsi="Times New Roman"/>
                <w:b w:val="false"/>
                <w:bCs w:val="false"/>
                <w:sz w:val="17"/>
                <w:szCs w:val="17"/>
              </w:rPr>
              <w:t xml:space="preserve">, a declared request purpose</w:t>
            </w:r>
            <w:r>
              <w:rPr>
                <w:rFonts w:ascii="Times New Roman" w:cs="Times New Roman" w:eastAsia="Times New Roman" w:hAnsi="Times New Roman"/>
                <w:b w:val="false"/>
                <w:bCs w:val="false"/>
                <w:sz w:val="17"/>
                <w:szCs w:val="17"/>
              </w:rPr>
              <w:t xml:space="preserve"> and guardian-set changes,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tabs>
          <w:tab w:val="left" w:pos="560"/>
        </w:tabs>
        <w:spacing w:after="50" w:line="240"/>
        <w:ind w:left="560" w:hanging="56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 Ghafoor, I. Symeonidis, A. Rydberg, C. Lindahl, and A. Q. Abbasi. Towards empowering stakeholders through decentralized trust and secure livestock data sharing. Cryptography, 9(3):52, 2025. doi:10.3390/cryptography9030052</w:t>
      </w:r>
    </w:p>
    <w:p>
      <w:pPr>
        <w:tabs>
          <w:tab w:val="left" w:pos="560"/>
        </w:tabs>
        <w:spacing w:after="50" w:line="240"/>
        <w:ind w:left="560" w:hanging="56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R. K. Lomotey, S. Kumi, and R. Deters. Data trusts as a service: Providing a platform for multi-party data sharing. International Journal of Information Management Data Insights, 2(1):100075, 2022. doi:10.1016/j.jjimei.2022.100075</w:t>
      </w:r>
    </w:p>
    <w:p>
      <w:pPr>
        <w:tabs>
          <w:tab w:val="left" w:pos="560"/>
        </w:tabs>
        <w:spacing w:after="50" w:line="240"/>
        <w:ind w:left="560" w:hanging="56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T. L. Nguyen, L. Nguyen, T. Hoang, D. Bandara, Q. Wang, Q. Lu, et al. Blockchain-empowered trustworthy data sharing: Fundamentals, applications, and challenges. ACM Computing Surveys, 57(8):195, 2025. doi:10.1145/3718082</w:t>
      </w:r>
    </w:p>
    <w:p>
      <w:pPr>
        <w:tabs>
          <w:tab w:val="left" w:pos="560"/>
        </w:tabs>
        <w:spacing w:after="50" w:line="240"/>
        <w:ind w:left="560" w:hanging="56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E. C. Webber, D. Brick, J. P. Scibilia, P. Dehnel, Council on Clinical Information Technology, et al. Electronic communication of the health record and information with pediatric patients and their guardians. Pediatrics, 144(1):e20191359, 2019. doi:10.1542/peds.2019-1359</w:t>
      </w:r>
    </w:p>
    <w:p>
      <w:pPr>
        <w:tabs>
          <w:tab w:val="left" w:pos="560"/>
        </w:tabs>
        <w:spacing w:after="50" w:line="240"/>
        <w:ind w:left="560" w:hanging="56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C. Welzel, M. Ostermann, H. L. Smith, T. Minssen, T. Kirsten, and S. Gilbert. Enabling secure and self determined health data sharing and consent management. npj Digital Medicine, 8(1):560, 2025. doi:10.1038/s41746-025-01945-z</w:t>
      </w:r>
    </w:p>
    <w:p>
      <w:pPr>
        <w:tabs>
          <w:tab w:val="left" w:pos="560"/>
        </w:tabs>
        <w:spacing w:after="50" w:line="240"/>
        <w:ind w:left="560" w:hanging="56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M. R. Narkhede, N. I. Wankhede, and A. M. Kamble. Enhancing patient autonomy in data ownership: Privacy models and consent frameworks for healthcare. Journal of Digital Health, 4(1):1–23, 2025. doi:10.55976/jdh.4202513361-23</w:t>
      </w:r>
    </w:p>
    <w:p>
      <w:pPr>
        <w:tabs>
          <w:tab w:val="left" w:pos="560"/>
        </w:tabs>
        <w:spacing w:after="50" w:line="240"/>
        <w:ind w:left="560" w:hanging="56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R. McClelland and C. M. Harper. Information privacy in healthcare — the vital role of informed consent. European Journal of Health Law, 30(4):469–480, 2023. doi:10.1163/15718093-bja10097</w:t>
      </w:r>
    </w:p>
    <w:p>
      <w:pPr>
        <w:tabs>
          <w:tab w:val="left" w:pos="560"/>
        </w:tabs>
        <w:spacing w:after="50" w:line="240"/>
        <w:ind w:left="560" w:hanging="56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K. Kaplow, M. Downey, D. Stewart, A. B. Massie, J. D. Motter, L. Taylor, et al. Data professionals’ attitudes on data privacy, sharing, and consent in healthcare and research. Digital Health, 10:20552076241290964, 2024. doi:10.1177/20552076241290964</w:t>
      </w:r>
    </w:p>
    <w:p>
      <w:pPr>
        <w:tabs>
          <w:tab w:val="left" w:pos="560"/>
        </w:tabs>
        <w:spacing w:after="50" w:line="240"/>
        <w:ind w:left="560" w:hanging="56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Nazir, M. H. Rehmani, B. Butler, and D. O’Shea. Access control in healthcare IoT: A comprehensive survey. Engineering Reports, 8(4):e70766, 2026. doi:10.1002/eng2.70766</w:t>
      </w:r>
    </w:p>
    <w:p>
      <w:pPr>
        <w:tabs>
          <w:tab w:val="left" w:pos="560"/>
        </w:tabs>
        <w:spacing w:after="50" w:line="240"/>
        <w:ind w:left="560" w:hanging="56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M. Tawfik, A. Al-Ahwal, A. S. Tag Eldien, and H. H. Zayed. Blockchain-based access control and privacy preservation in healthcare: A comprehensive survey. Cluster Computing, 28:529, 2025. doi:10.1007/s10586-025-05308-x</w:t>
      </w:r>
    </w:p>
    <w:p>
      <w:pPr>
        <w:tabs>
          <w:tab w:val="left" w:pos="560"/>
        </w:tabs>
        <w:spacing w:after="50" w:line="240"/>
        <w:ind w:left="560" w:hanging="56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 M. Ibrahim, H. R. Abdel-Aziz, H. A. H. Mohamed, D. E. F. Zaghamir, N. M. I. Wahba, G. A. Hassan, et al. Balancing confidentiality and care coordination: Challenges in patient privacy. BMC Nursing, 23(1):564, 2024. doi:10.1186/s12912-024-02231-1</w:t>
      </w:r>
    </w:p>
    <w:p>
      <w:pPr>
        <w:tabs>
          <w:tab w:val="left" w:pos="560"/>
        </w:tabs>
        <w:spacing w:after="50" w:line="240"/>
        <w:ind w:left="560" w:hanging="56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L. Theodorakopoulos, A. Theodoropoulou, and C. Halkiopoulos. Enhancing decentralized decision-making with big data and blockchain technology: A comprehensive review. Applied Sciences, 14(16):7007, 2024. doi:10.3390/app14167007</w:t>
      </w:r>
    </w:p>
    <w:p>
      <w:pPr>
        <w:tabs>
          <w:tab w:val="left" w:pos="560"/>
        </w:tabs>
        <w:spacing w:after="50" w:line="240"/>
        <w:ind w:left="560" w:hanging="56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A. Al Mamun, S. Azam, and C. Gritti. Blockchain-based electronic health records management: A comprehensive review and future research direction. IEEE Access, 10:5768–5789, 2022. doi:10.1109/ACCESS.2022.3141079</w:t>
      </w:r>
    </w:p>
    <w:p>
      <w:pPr>
        <w:tabs>
          <w:tab w:val="left" w:pos="560"/>
        </w:tabs>
        <w:spacing w:after="50" w:line="240"/>
        <w:ind w:left="560" w:hanging="56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R. Hellstern, D. C. Park, V. Lemieux, and G. Salimjan. Leveraging blockchain-based archival solutions for sensitive documentation: A Xinjiang case study. Digital Society, 1(1):4, 2022. doi:10.1007/s44206-022-00007-1</w:t>
      </w:r>
    </w:p>
    <w:p>
      <w:pPr>
        <w:tabs>
          <w:tab w:val="left" w:pos="560"/>
        </w:tabs>
        <w:spacing w:after="50" w:line="240"/>
        <w:ind w:left="560" w:hanging="56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L. Li, C. Z. Liu, and S. Shrestha. Analytical entropy approach for measuring blockchain immutability and tamper-resilient trust. Entropy, 28(6):690, 2026. doi:10.3390/e28060690</w:t>
      </w:r>
    </w:p>
    <w:p>
      <w:pPr>
        <w:tabs>
          <w:tab w:val="left" w:pos="560"/>
        </w:tabs>
        <w:spacing w:after="50" w:line="240"/>
        <w:ind w:left="560" w:hanging="56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C. Mazzocca, A. Acar, A. S. Uluagac, R. Montanari, P. Bellavista, and M. Conti. A survey on decentralized identifiers and verifiable credentials. IEEE Communications Surveys &amp; Tutorials, 27(6):3641–3671, 2025. doi:10.1109/COMST.2025.3543197</w:t>
      </w:r>
    </w:p>
    <w:p>
      <w:pPr>
        <w:tabs>
          <w:tab w:val="left" w:pos="560"/>
        </w:tabs>
        <w:spacing w:after="50" w:line="240"/>
        <w:ind w:left="560" w:hanging="56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A. Flamini, G. Sciarretta, M. Scuro, A. Sharif, A. Tomasi, and S. Ranise. On cryptographic mechanisms for the selective disclosure of verifiable credentials. Journal of Information Security and Applications, 83:103789, 2024. doi:10.1016/j.jisa.2024.103789</w:t>
      </w:r>
    </w:p>
    <w:p>
      <w:pPr>
        <w:tabs>
          <w:tab w:val="left" w:pos="560"/>
        </w:tabs>
        <w:spacing w:after="50" w:line="240"/>
        <w:ind w:left="560" w:hanging="56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J. Andrew, D. P. Isravel, K. M. Sagayam, B. Bhushan, Y. Sei, and J. Eunice. Blockchain for healthcare systems: Architecture, security challenges, trends and future directions. Journal of Network and Computer Applications, 215:103633, 2023. doi:10.1016/j.jnca.2023.103633</w:t>
      </w:r>
    </w:p>
    <w:p>
      <w:pPr>
        <w:tabs>
          <w:tab w:val="left" w:pos="560"/>
        </w:tabs>
        <w:spacing w:after="50" w:line="240"/>
        <w:ind w:left="560" w:hanging="56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M. I. Khalid, M. Ahmed, M. Helfert, and J. Kim. Privacy-first paradigm for dynamic consent management systems: Empowering data subjects through decentralized data controllers and privacy-preserving techniques. Electronics, 12(24):4973, 2023. doi:10.3390/electronics12244973</w:t>
      </w:r>
    </w:p>
    <w:p>
      <w:pPr>
        <w:tabs>
          <w:tab w:val="left" w:pos="560"/>
        </w:tabs>
        <w:spacing w:after="50" w:line="240"/>
        <w:ind w:left="560" w:hanging="560"/>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V. Jesus and H. J. Pandit. Consent receipts for a usable and auditable web of personal data. IEEE Access, 10:28545–28563, 2022. doi:10.1109/ACCESS.2022.3157850</w:t>
      </w:r>
    </w:p>
    <w:p>
      <w:pPr>
        <w:tabs>
          <w:tab w:val="left" w:pos="560"/>
        </w:tabs>
        <w:spacing w:after="50" w:line="240"/>
        <w:ind w:left="560" w:hanging="56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S. Phuyal, M. Bhandari, R. Bista, and J. C. Ferreira. Enabling cross-institution health data sharing in Norway: EUDI wallets, on-chain consent, and openEHR↔FHIR translation. IEEE Access, 14:20309–20327, 2026. doi:10.1109/ACCESS.2026.3661642</w:t>
      </w:r>
    </w:p>
    <w:p>
      <w:pPr>
        <w:tabs>
          <w:tab w:val="left" w:pos="560"/>
        </w:tabs>
        <w:spacing w:after="50" w:line="240"/>
        <w:ind w:left="560" w:hanging="56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Z. Wu and D. Zhang. HealthDID: An efficient and authorizable multi-party privacy-preserving EMR sharing system based on DID. Computer Standards &amp; Interfaces, 93:103967, 2025. doi:10.1016/j.csi.2024.103967</w:t>
      </w:r>
    </w:p>
    <w:p>
      <w:pPr>
        <w:tabs>
          <w:tab w:val="left" w:pos="560"/>
        </w:tabs>
        <w:spacing w:after="50" w:line="240"/>
        <w:ind w:left="560" w:hanging="56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M. M. Madine, K. Salah, R. Jayaraman, I. Yaqoob, Y. Al-Hammadi, S. Ellahham, et al. Fully decentralized multi-party consent management for secure sharing of patient health records. IEEE Access, 8:225777–225791, 2020. doi:10.1109/ACCESS.2020.3045048</w:t>
      </w:r>
    </w:p>
    <w:p>
      <w:pPr>
        <w:tabs>
          <w:tab w:val="left" w:pos="560"/>
        </w:tabs>
        <w:spacing w:after="50" w:line="240"/>
        <w:ind w:left="560" w:hanging="56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D. Tith, J.-S. Lee, H. Suzuki, W. M. A. B. Wijesundara, N. Taira, T. Obi, et al. Patient consent management by a purpose-based consent model for electronic health record based on blockchain technology. Healthcare Informatics Research, 26(4):265–273, 2020. doi:10.4258/hir.2020.26.4.265</w:t>
      </w:r>
    </w:p>
    <w:p>
      <w:pPr>
        <w:tabs>
          <w:tab w:val="left" w:pos="560"/>
        </w:tabs>
        <w:spacing w:after="50" w:line="240"/>
        <w:ind w:left="560" w:hanging="56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A. Punia, P. Gulia, N. S. Gill, D. Kaushik, N. Alduaiji, P. K. Shukla, et al. An access control system for cloud-based healthcare systems driven by blockchain. Journal of Cloud Computing, 14(1):78, 2025. doi:10.1186/s13677-025-00831-z</w:t>
      </w:r>
    </w:p>
    <w:p>
      <w:pPr>
        <w:tabs>
          <w:tab w:val="left" w:pos="560"/>
        </w:tabs>
        <w:spacing w:after="50" w:line="240"/>
        <w:ind w:left="560" w:hanging="560"/>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K.-L. Tan, C.-H. Chi, and K.-Y. Lam. Secure and privacy-preserving sharing of personal health records with multi-party pre-authorization verification. Wireless Networks, 30(4):4773–4795, 2024. doi:10.1007/s11276-022-03114-6</w:t>
      </w:r>
    </w:p>
    <w:p>
      <w:pPr>
        <w:tabs>
          <w:tab w:val="left" w:pos="560"/>
        </w:tabs>
        <w:spacing w:after="50" w:line="240"/>
        <w:ind w:left="560" w:hanging="560"/>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K. Ekholm, A. Augustinsson, J. Sundström, C. Johansen, M. Storgärds, L. Ljöstad, et al. Implementing electronic informed consent in rare disease genomics. Scientific Reports, 15(1):44419, 2025. doi:10.1038/s41598-025-32740-1</w:t>
      </w:r>
    </w:p>
    <w:p>
      <w:pPr>
        <w:tabs>
          <w:tab w:val="left" w:pos="560"/>
        </w:tabs>
        <w:spacing w:after="50" w:line="240"/>
        <w:ind w:left="560" w:hanging="560"/>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A. U. Eneh, L. A. C. Ahakonye, J. M. Lee, and D.-S. Kim. Demo: EdgeConsent: On-chain attribute-based access control for data consent management. In 2026 IEEE International Conference on Blockchain and Cryptocurrency (ICBC), </w:t>
      </w:r>
      <w:r>
        <w:rPr>
          <w:rFonts w:ascii="Times New Roman" w:cs="Times New Roman" w:eastAsia="Times New Roman" w:hAnsi="Times New Roman"/>
          <w:sz w:val="18"/>
          <w:szCs w:val="18"/>
        </w:rPr>
        <w:t xml:space="preserve">pages 1–2, </w:t>
      </w:r>
      <w:r>
        <w:rPr>
          <w:rFonts w:ascii="Times New Roman" w:cs="Times New Roman" w:eastAsia="Times New Roman" w:hAnsi="Times New Roman"/>
          <w:sz w:val="18"/>
          <w:szCs w:val="18"/>
        </w:rPr>
        <w:t xml:space="preserve">2026. doi:10.1109/ICBC67748.2026.11575534</w:t>
      </w:r>
    </w:p>
    <w:p>
      <w:pPr>
        <w:tabs>
          <w:tab w:val="left" w:pos="560"/>
        </w:tabs>
        <w:spacing w:after="50" w:line="240"/>
        <w:ind w:left="560" w:hanging="560"/>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D. P. Panagoulias, A. I. Damian, C. Stamate, V. Toderian, P. Butusina, A. De Franceschi, et al. Blockchain-enabled trust and compliance for clinical AI: Decentralized governance without decentralized data storage. Electronics, 15(14):3046, 2026. doi:10.3390/electronics15143046</w:t>
      </w:r>
    </w:p>
    <w:p>
      <w:pPr>
        <w:tabs>
          <w:tab w:val="left" w:pos="560"/>
        </w:tabs>
        <w:spacing w:after="50" w:line="240"/>
        <w:ind w:left="560" w:hanging="560"/>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I. Román-Martínez, J. Calvillo-Arbizu, V. J. Mayor-Gallego, G. Madinabeitia-Luque, A. J. Estepa-Alonso, and R. M. Estepa-Alonso. Blockchain-based service-oriented architecture for consent management, access control, and auditing. IEEE Access, 11:12727–12741, 2023. doi:10.1109/ACCESS.2023.3242605</w:t>
      </w:r>
    </w:p>
    <w:p>
      <w:pPr>
        <w:tabs>
          <w:tab w:val="left" w:pos="560"/>
        </w:tabs>
        <w:spacing w:after="50" w:line="240"/>
        <w:ind w:left="560" w:hanging="560"/>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B. Khayer, S. Mirzaei, H. Alavizadeh, and A. Salehi Shahraki. Blockchain for secure IoT: A review of identity management, access control, and trust mechanisms. IoT, 6(4):65, 2025. doi:10.3390/iot6040065</w:t>
      </w:r>
    </w:p>
    <w:p>
      <w:pPr>
        <w:tabs>
          <w:tab w:val="left" w:pos="560"/>
        </w:tabs>
        <w:spacing w:after="50" w:line="240"/>
        <w:ind w:left="560" w:hanging="560"/>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J. C. Ferreira, R. Correia, L. Rosário, and A. Vila. Blockchain integration for trust and consent management in MCP-enabled FHIR systems. In 2025 IEEE International Conference on Distributed Ledger Technologies (ICDLT), pages 1–10, 2025. doi:10.1109/ICDLT66400.2025.11466653</w:t>
      </w:r>
    </w:p>
    <w:p>
      <w:pPr>
        <w:tabs>
          <w:tab w:val="left" w:pos="560"/>
        </w:tabs>
        <w:spacing w:after="50" w:line="240"/>
        <w:ind w:left="560" w:hanging="560"/>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J. Ménétrey, C. Göttel, A. Khurshid, M. Pasin, P. Felber, V. Schiavoni, et al. Attestation mechanisms for trusted execution environments demystified. In IFIP International Conference on Distributed Applications and Interoperable Systems (DAIS 2022), LNCS, vol. 13272, pages 95–113. Springer, 2022. doi:10.1007/978-3-031-16092-9_7</w:t>
      </w:r>
    </w:p>
    <w:p>
      <w:pPr>
        <w:tabs>
          <w:tab w:val="left" w:pos="560"/>
        </w:tabs>
        <w:spacing w:after="50" w:line="240"/>
        <w:ind w:left="560" w:hanging="560"/>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L. Li, C. Z. Liu, K. Huang, R. Deng, M. A. Alrowaily, M. Alghamdi, et al. Trust-aware environmental state consensus for smart agriculture with TEE-enabled sensing and Byzantine-resilient blockchain coordination. Sensors, 26(14):4577, 2026. doi:10.3390/s26144577</w:t>
      </w:r>
    </w:p>
    <w:p>
      <w:pPr>
        <w:tabs>
          <w:tab w:val="left" w:pos="560"/>
        </w:tabs>
        <w:spacing w:after="50" w:line="240"/>
        <w:ind w:left="560" w:hanging="560"/>
        <w:jc w:val="left"/>
      </w:pPr>
      <w:r>
        <w:rPr>
          <w:rFonts w:ascii="Times New Roman" w:cs="Times New Roman" w:eastAsia="Times New Roman" w:hAnsi="Times New Roman"/>
          <w:sz w:val="18"/>
          <w:szCs w:val="18"/>
        </w:rPr>
        <w:t xml:space="preserve">[35]	</w:t>
      </w:r>
      <w:r>
        <w:rPr>
          <w:rFonts w:ascii="Times New Roman" w:cs="Times New Roman" w:eastAsia="Times New Roman" w:hAnsi="Times New Roman"/>
          <w:sz w:val="18"/>
          <w:szCs w:val="18"/>
        </w:rPr>
        <w:t xml:space="preserve">J. Walonoski, M. Kramer, J. Nichols, A. Quina, C. Moesel, D. Hall, et al. Synthea: An approach, method, and software mechanism for generating synthetic patients and the synthetic electronic health care record. Journal of the American Medical Informatics Association, 25(3):230–238, 2018. doi:10.1093/jamia/ocx079</w:t>
      </w:r>
    </w:p>
    <w:p>
      <w:pPr>
        <w:tabs>
          <w:tab w:val="left" w:pos="560"/>
        </w:tabs>
        <w:spacing w:after="50" w:line="240"/>
        <w:ind w:left="560" w:hanging="560"/>
        <w:jc w:val="left"/>
      </w:pPr>
      <w:r>
        <w:rPr>
          <w:rFonts w:ascii="Times New Roman" w:cs="Times New Roman" w:eastAsia="Times New Roman" w:hAnsi="Times New Roman"/>
          <w:sz w:val="18"/>
          <w:szCs w:val="18"/>
        </w:rPr>
        <w:t xml:space="preserve">[36]	</w:t>
      </w:r>
      <w:r>
        <w:rPr>
          <w:rFonts w:ascii="Times New Roman" w:cs="Times New Roman" w:eastAsia="Times New Roman" w:hAnsi="Times New Roman"/>
          <w:sz w:val="18"/>
          <w:szCs w:val="18"/>
        </w:rPr>
        <w:t xml:space="preserve">A. Kharlamov, R. Hohmann, and G. Parry. Data sharing decisions: Perceptions and intentions in healthcare. Strategic Change, 32(6):223–237, 2023. doi:10.1002/jsc.2558</w:t>
      </w:r>
    </w:p>
    <w:p>
      <w:pPr>
        <w:tabs>
          <w:tab w:val="left" w:pos="560"/>
        </w:tabs>
        <w:spacing w:after="50" w:line="240"/>
        <w:ind w:left="560" w:hanging="560"/>
        <w:jc w:val="left"/>
      </w:pPr>
      <w:r>
        <w:rPr>
          <w:rFonts w:ascii="Times New Roman" w:cs="Times New Roman" w:eastAsia="Times New Roman" w:hAnsi="Times New Roman"/>
          <w:sz w:val="18"/>
          <w:szCs w:val="18"/>
        </w:rPr>
        <w:t xml:space="preserve">[37]	</w:t>
      </w:r>
      <w:r>
        <w:rPr>
          <w:rFonts w:ascii="Times New Roman" w:cs="Times New Roman" w:eastAsia="Times New Roman" w:hAnsi="Times New Roman"/>
          <w:sz w:val="18"/>
          <w:szCs w:val="18"/>
        </w:rPr>
        <w:t xml:space="preserve">P. K. Ghosh, A. Chakraborty, M. Hasan, K. Rashid, and A. H. Siddique. Blockchain application in healthcare systems: A review. Systems, 11(1):38, 2023. doi:10.3390/systems11010038</w:t>
      </w:r>
    </w:p>
    <w:p>
      <w:pPr>
        <w:tabs>
          <w:tab w:val="left" w:pos="560"/>
        </w:tabs>
        <w:spacing w:after="50" w:line="240"/>
        <w:ind w:left="560" w:hanging="560"/>
        <w:jc w:val="left"/>
      </w:pPr>
      <w:r>
        <w:rPr>
          <w:rFonts w:ascii="Times New Roman" w:cs="Times New Roman" w:eastAsia="Times New Roman" w:hAnsi="Times New Roman"/>
          <w:sz w:val="18"/>
          <w:szCs w:val="18"/>
        </w:rPr>
        <w:t xml:space="preserve">[38]	</w:t>
      </w:r>
      <w:r>
        <w:rPr>
          <w:rFonts w:ascii="Times New Roman" w:cs="Times New Roman" w:eastAsia="Times New Roman" w:hAnsi="Times New Roman"/>
          <w:sz w:val="18"/>
          <w:szCs w:val="18"/>
        </w:rPr>
        <w:t xml:space="preserve">M. S. Arbabi, C. Lal, N. R. Veeraragavan, D. Marijan, J. F. Nygård, and R. Vitenberg. A survey on blockchain for healthcare: Challenges, benefits, and future directions. IEEE Communications Surveys &amp; Tutorials, 25(1):386–424, 2023. doi:10.1109/COMST.2022.3224644</w:t>
      </w:r>
    </w:p>
    <w:p>
      <w:pPr>
        <w:tabs>
          <w:tab w:val="left" w:pos="560"/>
        </w:tabs>
        <w:spacing w:after="50" w:line="240"/>
        <w:ind w:left="560" w:hanging="560"/>
        <w:jc w:val="left"/>
      </w:pPr>
      <w:r>
        <w:rPr>
          <w:rFonts w:ascii="Times New Roman" w:cs="Times New Roman" w:eastAsia="Times New Roman" w:hAnsi="Times New Roman"/>
          <w:sz w:val="18"/>
          <w:szCs w:val="18"/>
        </w:rPr>
        <w:t xml:space="preserve">[39]	</w:t>
      </w:r>
      <w:r>
        <w:rPr>
          <w:rFonts w:ascii="Times New Roman" w:cs="Times New Roman" w:eastAsia="Times New Roman" w:hAnsi="Times New Roman"/>
          <w:sz w:val="18"/>
          <w:szCs w:val="18"/>
        </w:rPr>
        <w:t xml:space="preserve">M. N. Turan, I. A. Hashimzai, and M. Q. Qiam. A blockchain-based framework for secure and transparent environmental data sharing in smart cities: Enhancing trust, integrity, and interoperability in urban sustainability systems. Nata Palemahan: Journal of Environmental Engineering Innovations, 2(2):70–79, 2025. doi:10.38043/natapalemahan.v2i2.6996</w:t>
      </w:r>
    </w:p>
    <w:p>
      <w:pPr>
        <w:tabs>
          <w:tab w:val="left" w:pos="560"/>
        </w:tabs>
        <w:spacing w:after="50" w:line="240"/>
        <w:ind w:left="560" w:hanging="560"/>
        <w:jc w:val="left"/>
      </w:pPr>
      <w:r>
        <w:rPr>
          <w:rFonts w:ascii="Times New Roman" w:cs="Times New Roman" w:eastAsia="Times New Roman" w:hAnsi="Times New Roman"/>
          <w:sz w:val="18"/>
          <w:szCs w:val="18"/>
        </w:rPr>
        <w:t xml:space="preserve">[40]	</w:t>
      </w:r>
      <w:r>
        <w:rPr>
          <w:rFonts w:ascii="Times New Roman" w:cs="Times New Roman" w:eastAsia="Times New Roman" w:hAnsi="Times New Roman"/>
          <w:sz w:val="18"/>
          <w:szCs w:val="18"/>
        </w:rPr>
        <w:t xml:space="preserve">J. Yin, Y. Xiao, Q. Chen, Y. Z. Lim, X. Liu, Q. Pei, et al. DP-DID: A dynamic and proactive decentralized identity system. IEEE Transactions on Information Forensics and Security, 20:4999–5014, 2025. doi:10.1109/TIFS.2025.3561662</w:t>
      </w:r>
    </w:p>
    <w:p>
      <w:pPr>
        <w:tabs>
          <w:tab w:val="left" w:pos="560"/>
        </w:tabs>
        <w:spacing w:after="50" w:line="240"/>
        <w:ind w:left="560" w:hanging="560"/>
        <w:jc w:val="left"/>
      </w:pPr>
      <w:r>
        <w:rPr>
          <w:rFonts w:ascii="Times New Roman" w:cs="Times New Roman" w:eastAsia="Times New Roman" w:hAnsi="Times New Roman"/>
          <w:sz w:val="18"/>
          <w:szCs w:val="18"/>
        </w:rPr>
        <w:t xml:space="preserve">[41]	</w:t>
      </w:r>
      <w:r>
        <w:rPr>
          <w:rFonts w:ascii="Times New Roman" w:cs="Times New Roman" w:eastAsia="Times New Roman" w:hAnsi="Times New Roman"/>
          <w:sz w:val="18"/>
          <w:szCs w:val="18"/>
        </w:rPr>
        <w:t xml:space="preserve">H. Deng, J. Liang, C. Zhang, X. Liu, L. Zhu, and S. Guo. FutureDID: A fully decentralized identity system with multi-party verification. IEEE Transactions on Computers, 73(8):2051–2065, 2024. doi:10.1109/TC.2024.3398509</w:t>
      </w:r>
    </w:p>
    <w:p>
      <w:pPr>
        <w:tabs>
          <w:tab w:val="left" w:pos="560"/>
        </w:tabs>
        <w:spacing w:after="50" w:line="240"/>
        <w:ind w:left="560" w:hanging="560"/>
        <w:jc w:val="left"/>
      </w:pPr>
      <w:r>
        <w:rPr>
          <w:rFonts w:ascii="Times New Roman" w:cs="Times New Roman" w:eastAsia="Times New Roman" w:hAnsi="Times New Roman"/>
          <w:sz w:val="18"/>
          <w:szCs w:val="18"/>
        </w:rPr>
        <w:t xml:space="preserve">[42]	</w:t>
      </w:r>
      <w:r>
        <w:rPr>
          <w:rFonts w:ascii="Times New Roman" w:cs="Times New Roman" w:eastAsia="Times New Roman" w:hAnsi="Times New Roman"/>
          <w:sz w:val="18"/>
          <w:szCs w:val="18"/>
        </w:rPr>
        <w:t xml:space="preserve">C. D. Nassar Kyriakidou, A. M. Papathanasiou, and G. C. Polyzos. Decentralized identity with applications to security and privacy for the internet of things. Computer Networks and Communications, 1(2):244–271, 2023. doi:10.37256/cnc.1220233048</w:t>
      </w:r>
    </w:p>
    <w:p>
      <w:pPr>
        <w:tabs>
          <w:tab w:val="left" w:pos="560"/>
        </w:tabs>
        <w:spacing w:after="50" w:line="240"/>
        <w:ind w:left="560" w:hanging="560"/>
        <w:jc w:val="left"/>
      </w:pPr>
      <w:r>
        <w:rPr>
          <w:rFonts w:ascii="Times New Roman" w:cs="Times New Roman" w:eastAsia="Times New Roman" w:hAnsi="Times New Roman"/>
          <w:sz w:val="18"/>
          <w:szCs w:val="18"/>
        </w:rPr>
        <w:t xml:space="preserve">[43]	</w:t>
      </w:r>
      <w:r>
        <w:rPr>
          <w:rFonts w:ascii="Times New Roman" w:cs="Times New Roman" w:eastAsia="Times New Roman" w:hAnsi="Times New Roman"/>
          <w:sz w:val="18"/>
          <w:szCs w:val="18"/>
        </w:rPr>
        <w:t xml:space="preserve">R. P. Parameswarath, P. Gope, and B. Sikdar. User-empowered privacy-preserving authentication protocol for electric vehicle charging based on decentralized identity and verifiable credential. ACM Transactions on Management Information Systems, 13(4):44, 2022. doi:10.1145/3532869</w:t>
      </w:r>
    </w:p>
    <w:p>
      <w:pPr>
        <w:tabs>
          <w:tab w:val="left" w:pos="560"/>
        </w:tabs>
        <w:spacing w:after="50" w:line="240"/>
        <w:ind w:left="560" w:hanging="560"/>
        <w:jc w:val="left"/>
      </w:pPr>
      <w:r>
        <w:rPr>
          <w:rFonts w:ascii="Times New Roman" w:cs="Times New Roman" w:eastAsia="Times New Roman" w:hAnsi="Times New Roman"/>
          <w:sz w:val="18"/>
          <w:szCs w:val="18"/>
        </w:rPr>
        <w:t xml:space="preserve">[44]	</w:t>
      </w:r>
      <w:r>
        <w:rPr>
          <w:rFonts w:ascii="Times New Roman" w:cs="Times New Roman" w:eastAsia="Times New Roman" w:hAnsi="Times New Roman"/>
          <w:sz w:val="18"/>
          <w:szCs w:val="18"/>
        </w:rPr>
        <w:t xml:space="preserve">H. Yin, Y. Zhao, L. Zhang, B. Qiao, W. Chen, and H. Wang. Attribute-based searchable encryption with decentralized key management for healthcare data sharing. Journal of Systems Architecture, 148:103081, 2024. doi:10.1016/j.sysarc.2024.103081</w:t>
      </w:r>
    </w:p>
    <w:p>
      <w:pPr>
        <w:tabs>
          <w:tab w:val="left" w:pos="560"/>
        </w:tabs>
        <w:spacing w:after="50" w:line="240"/>
        <w:ind w:left="560" w:hanging="560"/>
        <w:jc w:val="left"/>
      </w:pPr>
      <w:r>
        <w:rPr>
          <w:rFonts w:ascii="Times New Roman" w:cs="Times New Roman" w:eastAsia="Times New Roman" w:hAnsi="Times New Roman"/>
          <w:sz w:val="18"/>
          <w:szCs w:val="18"/>
        </w:rPr>
        <w:t xml:space="preserve">[45]	</w:t>
      </w:r>
      <w:r>
        <w:rPr>
          <w:rFonts w:ascii="Times New Roman" w:cs="Times New Roman" w:eastAsia="Times New Roman" w:hAnsi="Times New Roman"/>
          <w:sz w:val="18"/>
          <w:szCs w:val="18"/>
        </w:rPr>
        <w:t xml:space="preserve">R. Jiang, X. Chen, Y. Yu, Y. Zhang, and W. Ding. Risk and UCON-based access control model for healthcare big data. Journal of Big Data, 10(1):104, 2023. doi:10.1186/s40537-023-00783-8</w:t>
      </w:r>
    </w:p>
    <w:p>
      <w:pPr>
        <w:tabs>
          <w:tab w:val="left" w:pos="560"/>
        </w:tabs>
        <w:spacing w:after="50" w:line="240"/>
        <w:ind w:left="560" w:hanging="560"/>
        <w:jc w:val="left"/>
      </w:pPr>
      <w:r>
        <w:rPr>
          <w:rFonts w:ascii="Times New Roman" w:cs="Times New Roman" w:eastAsia="Times New Roman" w:hAnsi="Times New Roman"/>
          <w:sz w:val="18"/>
          <w:szCs w:val="18"/>
        </w:rPr>
        <w:t xml:space="preserve">[46]	</w:t>
      </w:r>
      <w:r>
        <w:rPr>
          <w:rFonts w:ascii="Times New Roman" w:cs="Times New Roman" w:eastAsia="Times New Roman" w:hAnsi="Times New Roman"/>
          <w:sz w:val="18"/>
          <w:szCs w:val="18"/>
        </w:rPr>
        <w:t xml:space="preserve">M. J. Page, J. E. McKenzie, P. M. Bossuyt, I. Boutron, T. C. Hoffmann, C. D. Mulrow, et al. The PRISMA 2020 statement: An updated guideline for reporting systematic reviews. BMJ, 372:n71, 2021. doi:10.1136/bmj.n71</w:t>
      </w:r>
    </w:p>
    <w:p>
      <w:pPr>
        <w:tabs>
          <w:tab w:val="left" w:pos="560"/>
        </w:tabs>
        <w:spacing w:after="50" w:line="240"/>
        <w:ind w:left="560" w:hanging="560"/>
        <w:jc w:val="left"/>
      </w:pPr>
      <w:r>
        <w:rPr>
          <w:rFonts w:ascii="Times New Roman" w:cs="Times New Roman" w:eastAsia="Times New Roman" w:hAnsi="Times New Roman"/>
          <w:sz w:val="18"/>
          <w:szCs w:val="18"/>
        </w:rPr>
        <w:t xml:space="preserve">[47]	</w:t>
      </w:r>
      <w:r>
        <w:rPr>
          <w:rFonts w:ascii="Times New Roman" w:cs="Times New Roman" w:eastAsia="Times New Roman" w:hAnsi="Times New Roman"/>
          <w:sz w:val="18"/>
          <w:szCs w:val="18"/>
        </w:rPr>
        <w:t xml:space="preserve">V. Jaiman and V. Urovi. A consent model for blockchain-based health data sharing platforms. IEEE Access, 8:143734–143745, 2020. doi:10.1109/ACCESS.2020.3014565</w:t>
      </w:r>
    </w:p>
    <w:p>
      <w:pPr>
        <w:tabs>
          <w:tab w:val="left" w:pos="560"/>
        </w:tabs>
        <w:spacing w:after="50" w:line="240"/>
        <w:ind w:left="560" w:hanging="560"/>
        <w:jc w:val="left"/>
      </w:pPr>
      <w:r>
        <w:rPr>
          <w:rFonts w:ascii="Times New Roman" w:cs="Times New Roman" w:eastAsia="Times New Roman" w:hAnsi="Times New Roman"/>
          <w:sz w:val="18"/>
          <w:szCs w:val="18"/>
        </w:rPr>
        <w:t xml:space="preserve">[48]	</w:t>
      </w:r>
      <w:r>
        <w:rPr>
          <w:rFonts w:ascii="Times New Roman" w:cs="Times New Roman" w:eastAsia="Times New Roman" w:hAnsi="Times New Roman"/>
          <w:sz w:val="18"/>
          <w:szCs w:val="18"/>
        </w:rPr>
        <w:t xml:space="preserve">F. Albalwy, A. Brass, and A. Davies. A blockchain-based dynamic consent architecture to support clinical genomic data sharing (ConsentChain): Proof-of-concept study. JMIR Medical Informatics, 9(11):e27816, 2021. doi:10.2196/27816</w:t>
      </w:r>
    </w:p>
    <w:p>
      <w:pPr>
        <w:tabs>
          <w:tab w:val="left" w:pos="560"/>
        </w:tabs>
        <w:spacing w:after="50" w:line="240"/>
        <w:ind w:left="560" w:hanging="560"/>
        <w:jc w:val="left"/>
      </w:pPr>
      <w:r>
        <w:rPr>
          <w:rFonts w:ascii="Times New Roman" w:cs="Times New Roman" w:eastAsia="Times New Roman" w:hAnsi="Times New Roman"/>
          <w:sz w:val="18"/>
          <w:szCs w:val="18"/>
        </w:rPr>
        <w:t xml:space="preserve">[49]	</w:t>
      </w:r>
      <w:r>
        <w:rPr>
          <w:rFonts w:ascii="Times New Roman" w:cs="Times New Roman" w:eastAsia="Times New Roman" w:hAnsi="Times New Roman"/>
          <w:sz w:val="18"/>
          <w:szCs w:val="18"/>
        </w:rPr>
        <w:t xml:space="preserve">H. Li, D. Li, G. Lv, N. Crespi, R. Minerva, W. Shao, et al. Privacy-preserving fine-grained EMR access control for IoMT: A hybrid RBAC-smart contract scheme with attribute-based authorization. IEEE Internet of Things Journal, 13(2):2970–2987, 2026. doi:10.1109/JIOT.2025.3633504</w:t>
      </w:r>
    </w:p>
    <w:p>
      <w:pPr>
        <w:tabs>
          <w:tab w:val="left" w:pos="560"/>
        </w:tabs>
        <w:spacing w:after="50" w:line="240"/>
        <w:ind w:left="560" w:hanging="560"/>
        <w:jc w:val="left"/>
      </w:pPr>
      <w:r>
        <w:rPr>
          <w:rFonts w:ascii="Times New Roman" w:cs="Times New Roman" w:eastAsia="Times New Roman" w:hAnsi="Times New Roman"/>
          <w:sz w:val="18"/>
          <w:szCs w:val="18"/>
        </w:rPr>
        <w:t xml:space="preserve">[50]	</w:t>
      </w:r>
      <w:r>
        <w:rPr>
          <w:rFonts w:ascii="Times New Roman" w:cs="Times New Roman" w:eastAsia="Times New Roman" w:hAnsi="Times New Roman"/>
          <w:sz w:val="18"/>
          <w:szCs w:val="18"/>
        </w:rPr>
        <w:t xml:space="preserve">A. Abbasi, M. N. Humeidi, and Q. Wang. Nexa: Enabling secure, scalable, and decentralized management of electronic health records using threshold cryptography and public blockchains. IEEE Access, 14:50791–50810, 2026. doi:10.1109/ACCESS.2026.3677499</w:t>
      </w:r>
    </w:p>
    <w:p>
      <w:pPr>
        <w:tabs>
          <w:tab w:val="left" w:pos="560"/>
        </w:tabs>
        <w:spacing w:after="50" w:line="240"/>
        <w:ind w:left="560" w:hanging="560"/>
        <w:jc w:val="left"/>
      </w:pPr>
      <w:r>
        <w:rPr>
          <w:rFonts w:ascii="Times New Roman" w:cs="Times New Roman" w:eastAsia="Times New Roman" w:hAnsi="Times New Roman"/>
          <w:sz w:val="18"/>
          <w:szCs w:val="18"/>
        </w:rPr>
        <w:t xml:space="preserve">[51]	</w:t>
      </w:r>
      <w:r>
        <w:rPr>
          <w:rFonts w:ascii="Times New Roman" w:cs="Times New Roman" w:eastAsia="Times New Roman" w:hAnsi="Times New Roman"/>
          <w:sz w:val="18"/>
          <w:szCs w:val="18"/>
        </w:rPr>
        <w:t xml:space="preserve">M. Al Amin, A. Altarawneh, and I. Ray. Informed consent as patient driven policy for clinical diagnosis and treatment: A smart contract based approach. In Proceedings of the 20th International Conference on Security and Cryptography (SECRYPT 2023), pages 159–170. SciTePress, 2023. doi:10.5220/0012090600003555</w:t>
      </w:r>
    </w:p>
    <w:p>
      <w:pPr>
        <w:tabs>
          <w:tab w:val="left" w:pos="560"/>
        </w:tabs>
        <w:spacing w:after="50" w:line="240"/>
        <w:ind w:left="560" w:hanging="560"/>
        <w:jc w:val="left"/>
      </w:pPr>
      <w:r>
        <w:rPr>
          <w:rFonts w:ascii="Times New Roman" w:cs="Times New Roman" w:eastAsia="Times New Roman" w:hAnsi="Times New Roman"/>
          <w:sz w:val="18"/>
          <w:szCs w:val="18"/>
        </w:rPr>
        <w:t xml:space="preserve">[52]	</w:t>
      </w:r>
      <w:r>
        <w:rPr>
          <w:rFonts w:ascii="Times New Roman" w:cs="Times New Roman" w:eastAsia="Times New Roman" w:hAnsi="Times New Roman"/>
          <w:sz w:val="18"/>
          <w:szCs w:val="18"/>
        </w:rPr>
        <w:t xml:space="preserve">J. Hagström, M. Hägglund, M. Holmroos, P. Lähteenmäki, and I. Hörhammer. Minors’ and guardian access to and use of a national patient portal: A retrospective comparative case study of Sweden and Finland. International Journal of Medical Informatics, 187:105465, 2024. doi:10.1016/j.ijmedinf.2024.105465</w:t>
      </w:r>
    </w:p>
    <w:p>
      <w:pPr>
        <w:tabs>
          <w:tab w:val="left" w:pos="560"/>
        </w:tabs>
        <w:spacing w:after="50" w:line="240"/>
        <w:ind w:left="560" w:hanging="560"/>
        <w:jc w:val="left"/>
      </w:pPr>
      <w:r>
        <w:rPr>
          <w:rFonts w:ascii="Times New Roman" w:cs="Times New Roman" w:eastAsia="Times New Roman" w:hAnsi="Times New Roman"/>
          <w:sz w:val="18"/>
          <w:szCs w:val="18"/>
        </w:rPr>
        <w:t xml:space="preserve">[53]	</w:t>
      </w:r>
      <w:r>
        <w:rPr>
          <w:rFonts w:ascii="Times New Roman" w:cs="Times New Roman" w:eastAsia="Times New Roman" w:hAnsi="Times New Roman"/>
          <w:sz w:val="18"/>
          <w:szCs w:val="18"/>
        </w:rPr>
        <w:t xml:space="preserve">J. Zhao and Q. Su. A threshold traceable delegation authorization scheme for data sharing in healthcare. Computers &amp; Security, 139:103686, 2024. doi:10.1016/j.cose.2023.103686</w:t>
      </w:r>
    </w:p>
    <w:p>
      <w:pPr>
        <w:tabs>
          <w:tab w:val="left" w:pos="560"/>
        </w:tabs>
        <w:spacing w:after="50" w:line="240"/>
        <w:ind w:left="560" w:hanging="560"/>
        <w:jc w:val="left"/>
      </w:pPr>
      <w:r>
        <w:rPr>
          <w:rFonts w:ascii="Times New Roman" w:cs="Times New Roman" w:eastAsia="Times New Roman" w:hAnsi="Times New Roman"/>
          <w:sz w:val="18"/>
          <w:szCs w:val="18"/>
        </w:rPr>
        <w:t xml:space="preserve">[54]	</w:t>
      </w:r>
      <w:r>
        <w:rPr>
          <w:rFonts w:ascii="Times New Roman" w:cs="Times New Roman" w:eastAsia="Times New Roman" w:hAnsi="Times New Roman"/>
          <w:sz w:val="18"/>
          <w:szCs w:val="18"/>
        </w:rPr>
        <w:t xml:space="preserve">V. Maruthi and K. Singh. Enhancing security and privacy of IoMT data for unconscious patient with blockchain. IEEE Transactions on Network and Service Management, 22(6):5223–5238, 2025. doi:10.1109/TNSM.2025.3602117</w:t>
      </w:r>
    </w:p>
    <w:p>
      <w:pPr>
        <w:tabs>
          <w:tab w:val="left" w:pos="560"/>
        </w:tabs>
        <w:spacing w:after="50" w:line="240"/>
        <w:ind w:left="560" w:hanging="560"/>
        <w:jc w:val="left"/>
      </w:pPr>
      <w:r>
        <w:rPr>
          <w:rFonts w:ascii="Times New Roman" w:cs="Times New Roman" w:eastAsia="Times New Roman" w:hAnsi="Times New Roman"/>
          <w:sz w:val="18"/>
          <w:szCs w:val="18"/>
        </w:rPr>
        <w:t xml:space="preserve">[55]	</w:t>
      </w:r>
      <w:r>
        <w:rPr>
          <w:rFonts w:ascii="Times New Roman" w:cs="Times New Roman" w:eastAsia="Times New Roman" w:hAnsi="Times New Roman"/>
          <w:sz w:val="18"/>
          <w:szCs w:val="18"/>
        </w:rPr>
        <w:t xml:space="preserve">L. Mei, K. Huang, X. Li, H. Wang, and X. Zhang. Efficient dual-revocation CP-ABE for secure and fine-grained data sharing in IoMT. IEEE Internet of Things Journal, 13(14):30933–30940, 2026. doi:10.1109/JIOT.2026.3685269</w:t>
      </w:r>
    </w:p>
    <w:p>
      <w:pPr>
        <w:tabs>
          <w:tab w:val="left" w:pos="560"/>
        </w:tabs>
        <w:spacing w:after="50" w:line="240"/>
        <w:ind w:left="560" w:hanging="560"/>
        <w:jc w:val="left"/>
      </w:pPr>
      <w:r>
        <w:rPr>
          <w:rFonts w:ascii="Times New Roman" w:cs="Times New Roman" w:eastAsia="Times New Roman" w:hAnsi="Times New Roman"/>
          <w:sz w:val="18"/>
          <w:szCs w:val="18"/>
        </w:rPr>
        <w:t xml:space="preserve">[56]	</w:t>
      </w:r>
      <w:r>
        <w:rPr>
          <w:rFonts w:ascii="Times New Roman" w:cs="Times New Roman" w:eastAsia="Times New Roman" w:hAnsi="Times New Roman"/>
          <w:sz w:val="18"/>
          <w:szCs w:val="18"/>
        </w:rPr>
        <w:t xml:space="preserve">S. Phuyal, M. Bhandari, R. Bista, and J. C. Ferreira. A blockchain-based architecture for dynamic and auditable patient consent in secondary use of health data. Blockchain in Healthcare Today, 9(1)</w:t>
      </w:r>
      <w:r>
        <w:rPr>
          <w:rFonts w:ascii="Times New Roman" w:cs="Times New Roman" w:eastAsia="Times New Roman" w:hAnsi="Times New Roman"/>
          <w:sz w:val="18"/>
          <w:szCs w:val="18"/>
        </w:rPr>
        <w:t xml:space="preserve">:491</w:t>
      </w:r>
      <w:r>
        <w:rPr>
          <w:rFonts w:ascii="Times New Roman" w:cs="Times New Roman" w:eastAsia="Times New Roman" w:hAnsi="Times New Roman"/>
          <w:sz w:val="18"/>
          <w:szCs w:val="18"/>
        </w:rPr>
        <w:t xml:space="preserve">, 2026. doi:10.30953/bhty.v9.491</w:t>
      </w:r>
    </w:p>
    <w:p>
      <w:pPr>
        <w:tabs>
          <w:tab w:val="left" w:pos="560"/>
        </w:tabs>
        <w:spacing w:after="50" w:line="240"/>
        <w:ind w:left="560" w:hanging="560"/>
        <w:jc w:val="left"/>
      </w:pPr>
      <w:r>
        <w:rPr>
          <w:rFonts w:ascii="Times New Roman" w:cs="Times New Roman" w:eastAsia="Times New Roman" w:hAnsi="Times New Roman"/>
          <w:sz w:val="18"/>
          <w:szCs w:val="18"/>
        </w:rPr>
        <w:t xml:space="preserve">[57]	</w:t>
      </w:r>
      <w:r>
        <w:rPr>
          <w:rFonts w:ascii="Times New Roman" w:cs="Times New Roman" w:eastAsia="Times New Roman" w:hAnsi="Times New Roman"/>
          <w:sz w:val="18"/>
          <w:szCs w:val="18"/>
        </w:rPr>
        <w:t xml:space="preserve">S. Hema, G. B. S. Reddy, and R. Shalini. Patient centric cryptographic protection of cloud electronic health records. In 2026 6th International Conference on Expert Clouds and Applications (ICOECA), pages 293–300, 2026. doi:10.1109/ICOECA68095.2026.11485301</w:t>
      </w:r>
    </w:p>
    <w:p>
      <w:pPr>
        <w:tabs>
          <w:tab w:val="left" w:pos="560"/>
        </w:tabs>
        <w:spacing w:after="50" w:line="240"/>
        <w:ind w:left="560" w:hanging="560"/>
        <w:jc w:val="left"/>
      </w:pPr>
      <w:r>
        <w:rPr>
          <w:rFonts w:ascii="Times New Roman" w:cs="Times New Roman" w:eastAsia="Times New Roman" w:hAnsi="Times New Roman"/>
          <w:sz w:val="18"/>
          <w:szCs w:val="18"/>
        </w:rPr>
        <w:t xml:space="preserve">[58]	</w:t>
      </w:r>
      <w:r>
        <w:rPr>
          <w:rFonts w:ascii="Times New Roman" w:cs="Times New Roman" w:eastAsia="Times New Roman" w:hAnsi="Times New Roman"/>
          <w:sz w:val="18"/>
          <w:szCs w:val="18"/>
        </w:rPr>
        <w:t xml:space="preserve">S. L. SooHoo, M. S. Keller, Y. Chen, D. Hu, S.-C. Huang, T.-T. Kuo, et al. Development of the authentication and authorization processes for the iAgree portal, a platform for patient-controlled data sharing across health systems. JAMIA Open, 9(3):ooag111, 2026. doi:10.1093/jamiaopen/ooag111</w:t>
      </w:r>
    </w:p>
    <w:p>
      <w:pPr>
        <w:tabs>
          <w:tab w:val="left" w:pos="560"/>
        </w:tabs>
        <w:spacing w:after="50" w:line="240"/>
        <w:ind w:left="560" w:hanging="560"/>
        <w:jc w:val="left"/>
      </w:pPr>
      <w:r>
        <w:rPr>
          <w:rFonts w:ascii="Times New Roman" w:cs="Times New Roman" w:eastAsia="Times New Roman" w:hAnsi="Times New Roman"/>
          <w:sz w:val="18"/>
          <w:szCs w:val="18"/>
        </w:rPr>
        <w:t xml:space="preserve">[59]	</w:t>
      </w:r>
      <w:r>
        <w:rPr>
          <w:rFonts w:ascii="Times New Roman" w:cs="Times New Roman" w:eastAsia="Times New Roman" w:hAnsi="Times New Roman"/>
          <w:sz w:val="18"/>
          <w:szCs w:val="18"/>
        </w:rPr>
        <w:t xml:space="preserve">G. Tremper, T. Brenner, M. Ben Amor, T. Kussel, and M. Lablans. Mainzelliste: Ten years of pseudonymization, record linkage, and informed consent management. Patterns, 7(1):101432, 2026. doi:10.1016/j.patter.2025.101432</w:t>
      </w:r>
    </w:p>
    <w:p>
      <w:pPr>
        <w:tabs>
          <w:tab w:val="left" w:pos="560"/>
        </w:tabs>
        <w:spacing w:after="50" w:line="240"/>
        <w:ind w:left="560" w:hanging="560"/>
        <w:jc w:val="left"/>
      </w:pPr>
      <w:r>
        <w:rPr>
          <w:rFonts w:ascii="Times New Roman" w:cs="Times New Roman" w:eastAsia="Times New Roman" w:hAnsi="Times New Roman"/>
          <w:sz w:val="18"/>
          <w:szCs w:val="18"/>
        </w:rPr>
        <w:t xml:space="preserve">[60]	</w:t>
      </w:r>
      <w:r>
        <w:rPr>
          <w:rFonts w:ascii="Times New Roman" w:cs="Times New Roman" w:eastAsia="Times New Roman" w:hAnsi="Times New Roman"/>
          <w:sz w:val="18"/>
          <w:szCs w:val="18"/>
        </w:rPr>
        <w:t xml:space="preserve">C.-H. Tseng, Y.-H. Hsieh, H.-Y. Lin, and S.-M. Yuan. EMR-Chain: Decentralized electronic medical record exchange system. Technologies, 13(10):446, 2025. doi:10.3390/technologies13100446</w:t>
      </w:r>
    </w:p>
    <w:p>
      <w:pPr>
        <w:tabs>
          <w:tab w:val="left" w:pos="560"/>
        </w:tabs>
        <w:spacing w:after="50" w:line="240"/>
        <w:ind w:left="560" w:hanging="560"/>
        <w:jc w:val="left"/>
      </w:pPr>
      <w:r>
        <w:rPr>
          <w:rFonts w:ascii="Times New Roman" w:cs="Times New Roman" w:eastAsia="Times New Roman" w:hAnsi="Times New Roman"/>
          <w:sz w:val="18"/>
          <w:szCs w:val="18"/>
        </w:rPr>
        <w:t xml:space="preserve">[61]	</w:t>
      </w:r>
      <w:r>
        <w:rPr>
          <w:rFonts w:ascii="Times New Roman" w:cs="Times New Roman" w:eastAsia="Times New Roman" w:hAnsi="Times New Roman"/>
          <w:sz w:val="18"/>
          <w:szCs w:val="18"/>
        </w:rPr>
        <w:t xml:space="preserve">Y. Wu, C. Liu, L. Sebald, P. Nguyen, and Y. Yesha. Apply trust computing and privacy preserving smart contracts to manage, share, and analyze multi-site clinical trial data. In Proceedings of the International Conference on Deep Learning, Big Data and Blockchain (DBB 2022), LNNS, vol. 541, pages 3–14. Springer, 2022. doi:10.1007/978-3-031-16035-6_1</w:t>
      </w:r>
    </w:p>
    <w:p>
      <w:pPr>
        <w:tabs>
          <w:tab w:val="left" w:pos="560"/>
        </w:tabs>
        <w:spacing w:after="50" w:line="240"/>
        <w:ind w:left="560" w:hanging="560"/>
        <w:jc w:val="left"/>
      </w:pPr>
      <w:r>
        <w:rPr>
          <w:rFonts w:ascii="Times New Roman" w:cs="Times New Roman" w:eastAsia="Times New Roman" w:hAnsi="Times New Roman"/>
          <w:sz w:val="18"/>
          <w:szCs w:val="18"/>
        </w:rPr>
        <w:t xml:space="preserve">[62]	</w:t>
      </w:r>
      <w:r>
        <w:rPr>
          <w:rFonts w:ascii="Times New Roman" w:cs="Times New Roman" w:eastAsia="Times New Roman" w:hAnsi="Times New Roman"/>
          <w:sz w:val="18"/>
          <w:szCs w:val="18"/>
        </w:rPr>
        <w:t xml:space="preserve">S. Akter and T. F. Sanam. A blockchain framework for secure healthcare data management using role-based access control and smart contracts. In 2025 International Conference on Electrical, Computer and Communication Engineering (ECCE), pages 1–6, 2025. doi:10.1109/ECCE64574.2025.11013162</w:t>
      </w:r>
    </w:p>
    <w:p>
      <w:pPr>
        <w:tabs>
          <w:tab w:val="left" w:pos="560"/>
        </w:tabs>
        <w:spacing w:after="50" w:line="240"/>
        <w:ind w:left="560" w:hanging="560"/>
        <w:jc w:val="left"/>
      </w:pPr>
      <w:r>
        <w:rPr>
          <w:rFonts w:ascii="Times New Roman" w:cs="Times New Roman" w:eastAsia="Times New Roman" w:hAnsi="Times New Roman"/>
          <w:sz w:val="18"/>
          <w:szCs w:val="18"/>
        </w:rPr>
        <w:t xml:space="preserve">[63]	</w:t>
      </w:r>
      <w:r>
        <w:rPr>
          <w:rFonts w:ascii="Times New Roman" w:cs="Times New Roman" w:eastAsia="Times New Roman" w:hAnsi="Times New Roman"/>
          <w:sz w:val="18"/>
          <w:szCs w:val="18"/>
        </w:rPr>
        <w:t xml:space="preserve">M. S. Prashanth, R. Karnati, M. S. Velpuru, and H. Venkateshwara Reddy. Enhancing health record security and privacy with blockchain-based access management. In Pervasive Knowledge and Collective Intelligence on Web and Social Media (PerSOM 2023), LNICST, vol. 517, pages 182–202. Springer, 2024. doi:10.1007/978-3-031-66044-3_13</w:t>
      </w:r>
    </w:p>
    <w:p>
      <w:pPr>
        <w:tabs>
          <w:tab w:val="left" w:pos="560"/>
        </w:tabs>
        <w:spacing w:after="50" w:line="240"/>
        <w:ind w:left="560" w:hanging="560"/>
        <w:jc w:val="left"/>
      </w:pPr>
      <w:r>
        <w:rPr>
          <w:rFonts w:ascii="Times New Roman" w:cs="Times New Roman" w:eastAsia="Times New Roman" w:hAnsi="Times New Roman"/>
          <w:sz w:val="18"/>
          <w:szCs w:val="18"/>
        </w:rPr>
        <w:t xml:space="preserve">[64]	</w:t>
      </w:r>
      <w:r>
        <w:rPr>
          <w:rFonts w:ascii="Times New Roman" w:cs="Times New Roman" w:eastAsia="Times New Roman" w:hAnsi="Times New Roman"/>
          <w:sz w:val="18"/>
          <w:szCs w:val="18"/>
        </w:rPr>
        <w:t xml:space="preserve">L. Zhang, H. Kan, and H. Huang. Patient-centered cross-enterprise document sharing and dynamic consent framework using consortium blockchain and ciphertext-policy attribute-based encryption. In Proceedings of the 19th ACM International Conference on Computing Frontiers (CF ’22), pages 58–66, 2022. doi:10.1145/3528416.3530228</w:t>
      </w:r>
    </w:p>
    <w:p>
      <w:pPr>
        <w:tabs>
          <w:tab w:val="left" w:pos="560"/>
        </w:tabs>
        <w:spacing w:after="50" w:line="240"/>
        <w:ind w:left="560" w:hanging="560"/>
        <w:jc w:val="left"/>
      </w:pPr>
      <w:r>
        <w:rPr>
          <w:rFonts w:ascii="Times New Roman" w:cs="Times New Roman" w:eastAsia="Times New Roman" w:hAnsi="Times New Roman"/>
          <w:sz w:val="18"/>
          <w:szCs w:val="18"/>
        </w:rPr>
        <w:t xml:space="preserve">[65]	</w:t>
      </w:r>
      <w:r>
        <w:rPr>
          <w:rFonts w:ascii="Times New Roman" w:cs="Times New Roman" w:eastAsia="Times New Roman" w:hAnsi="Times New Roman"/>
          <w:sz w:val="18"/>
          <w:szCs w:val="18"/>
        </w:rPr>
        <w:t xml:space="preserve">A. Teeda and Y. V. Subba Rao. A patient-centric blockchain based electronic health records for data privacy and confidentiality. In International Conference on Smart Computing and Informatics, LNNS, vol. 1684, pages 179–192. Springer, 2026. doi:10.1007/978-3-032-08246-6_15</w:t>
      </w:r>
    </w:p>
    <w:p>
      <w:pPr>
        <w:tabs>
          <w:tab w:val="left" w:pos="560"/>
        </w:tabs>
        <w:spacing w:after="50" w:line="240"/>
        <w:ind w:left="560" w:hanging="560"/>
        <w:jc w:val="left"/>
      </w:pPr>
      <w:r>
        <w:rPr>
          <w:rFonts w:ascii="Times New Roman" w:cs="Times New Roman" w:eastAsia="Times New Roman" w:hAnsi="Times New Roman"/>
          <w:sz w:val="18"/>
          <w:szCs w:val="18"/>
        </w:rPr>
        <w:t xml:space="preserve">[66]	</w:t>
      </w:r>
      <w:r>
        <w:rPr>
          <w:rFonts w:ascii="Times New Roman" w:cs="Times New Roman" w:eastAsia="Times New Roman" w:hAnsi="Times New Roman"/>
          <w:sz w:val="18"/>
          <w:szCs w:val="18"/>
        </w:rPr>
        <w:t xml:space="preserve">R. Bloemen, L. Logvinov, and J. Evans. EIP-712: Typed structured data hashing and signing. Ethereum Improvement Proposals, no. 712, 2017.</w:t>
      </w:r>
    </w:p>
    <w:p>
      <w:pPr>
        <w:tabs>
          <w:tab w:val="left" w:pos="560"/>
        </w:tabs>
        <w:spacing w:after="50" w:line="240"/>
        <w:ind w:left="560" w:hanging="560"/>
        <w:jc w:val="left"/>
      </w:pPr>
      <w:r>
        <w:rPr>
          <w:rFonts w:ascii="Times New Roman" w:cs="Times New Roman" w:eastAsia="Times New Roman" w:hAnsi="Times New Roman"/>
          <w:sz w:val="18"/>
          <w:szCs w:val="18"/>
        </w:rPr>
        <w:t xml:space="preserve">[67]	</w:t>
      </w:r>
      <w:r>
        <w:rPr>
          <w:rFonts w:ascii="Times New Roman" w:cs="Times New Roman" w:eastAsia="Times New Roman" w:hAnsi="Times New Roman"/>
          <w:sz w:val="18"/>
          <w:szCs w:val="18"/>
        </w:rPr>
        <w:t xml:space="preserve">M. Shanmugham and C. Senthilkumar. Blockchain enabled self-sovereign identity and consent framework for secure healthcare data access. In 2026 3rd International Conference on Emerging Trends in Engineering and Medical Sciences (ICETEMS), pages 1–6, 2026. doi:10.1109/ICETEMS66917.2026.11469586</w:t>
      </w:r>
    </w:p>
    <w:p>
      <w:pPr>
        <w:tabs>
          <w:tab w:val="left" w:pos="560"/>
        </w:tabs>
        <w:spacing w:after="50" w:line="240"/>
        <w:ind w:left="560" w:hanging="560"/>
        <w:jc w:val="left"/>
      </w:pPr>
      <w:r>
        <w:rPr>
          <w:rFonts w:ascii="Times New Roman" w:cs="Times New Roman" w:eastAsia="Times New Roman" w:hAnsi="Times New Roman"/>
          <w:sz w:val="18"/>
          <w:szCs w:val="18"/>
        </w:rPr>
        <w:t xml:space="preserve">[68]	</w:t>
      </w:r>
      <w:r>
        <w:rPr>
          <w:rFonts w:ascii="Times New Roman" w:cs="Times New Roman" w:eastAsia="Times New Roman" w:hAnsi="Times New Roman"/>
          <w:sz w:val="18"/>
          <w:szCs w:val="18"/>
        </w:rPr>
        <w:t xml:space="preserve">N. M. Sawant and J. Gomes. A decentralized solution for smarter and safer healthcare systems with FabricMedChain. Iranian Journal of Science and Technology, Transactions of Electrical Engineering, 50:2843–2869, 2026. doi:10.1007/s40998-025-00994-0</w:t>
      </w:r>
    </w:p>
    <w:p>
      <w:pPr>
        <w:tabs>
          <w:tab w:val="left" w:pos="560"/>
        </w:tabs>
        <w:spacing w:after="50" w:line="240"/>
        <w:ind w:left="560" w:hanging="560"/>
        <w:jc w:val="left"/>
      </w:pPr>
      <w:r>
        <w:rPr>
          <w:rFonts w:ascii="Times New Roman" w:cs="Times New Roman" w:eastAsia="Times New Roman" w:hAnsi="Times New Roman"/>
          <w:sz w:val="18"/>
          <w:szCs w:val="18"/>
        </w:rPr>
        <w:t xml:space="preserve">[69]	</w:t>
      </w:r>
      <w:r>
        <w:rPr>
          <w:rFonts w:ascii="Times New Roman" w:cs="Times New Roman" w:eastAsia="Times New Roman" w:hAnsi="Times New Roman"/>
          <w:sz w:val="18"/>
          <w:szCs w:val="18"/>
        </w:rPr>
        <w:t xml:space="preserve">J. Groth. On the size of pairing-based non-interactive arguments. In Advances in Cryptology – EUROCRYPT 2016, LNCS, vol. 9666, pages 305–326. Springer, 2016. doi:10.1007/978-3-662-49896-5_11</w:t>
      </w:r>
    </w:p>
    <w:p>
      <w:pPr>
        <w:tabs>
          <w:tab w:val="left" w:pos="560"/>
        </w:tabs>
        <w:spacing w:after="50" w:line="240"/>
        <w:ind w:left="560" w:hanging="560"/>
        <w:jc w:val="left"/>
      </w:pPr>
      <w:r>
        <w:rPr>
          <w:rFonts w:ascii="Times New Roman" w:cs="Times New Roman" w:eastAsia="Times New Roman" w:hAnsi="Times New Roman"/>
          <w:sz w:val="18"/>
          <w:szCs w:val="18"/>
        </w:rPr>
        <w:t xml:space="preserve">[70]	</w:t>
      </w:r>
      <w:r>
        <w:rPr>
          <w:rFonts w:ascii="Times New Roman" w:cs="Times New Roman" w:eastAsia="Times New Roman" w:hAnsi="Times New Roman"/>
          <w:sz w:val="18"/>
          <w:szCs w:val="18"/>
        </w:rPr>
        <w:t xml:space="preserve">L. Grassi, D. Khovratovich, C. Rechberger, A. Roy, and M. Schofnegger. Poseidon: A new hash function for zero-knowledge proof systems. In Proceedings of the 30th USENIX Security Symposium, pages 519–535, 2021.</w:t>
      </w:r>
    </w:p>
    <w:p>
      <w:pPr>
        <w:tabs>
          <w:tab w:val="left" w:pos="560"/>
        </w:tabs>
        <w:spacing w:after="50" w:line="240"/>
        <w:ind w:left="560" w:hanging="560"/>
        <w:jc w:val="left"/>
      </w:pPr>
      <w:r>
        <w:rPr>
          <w:rFonts w:ascii="Times New Roman" w:cs="Times New Roman" w:eastAsia="Times New Roman" w:hAnsi="Times New Roman"/>
          <w:sz w:val="18"/>
          <w:szCs w:val="18"/>
        </w:rPr>
        <w:t xml:space="preserve">[71]	</w:t>
      </w:r>
      <w:r>
        <w:rPr>
          <w:rFonts w:ascii="Times New Roman" w:cs="Times New Roman" w:eastAsia="Times New Roman" w:hAnsi="Times New Roman"/>
          <w:sz w:val="18"/>
          <w:szCs w:val="18"/>
        </w:rPr>
        <w:t xml:space="preserve">W. Entriken, D. Shirley, J. Evans, and N. Sachs. ERC-721: Non-fungible token standard. Ethereum Improvement Proposals, no. 721, 2018.</w:t>
      </w:r>
    </w:p>
    <w:p>
      <w:pPr>
        <w:tabs>
          <w:tab w:val="left" w:pos="560"/>
        </w:tabs>
        <w:spacing w:after="50" w:line="240"/>
        <w:ind w:left="560" w:hanging="560"/>
        <w:jc w:val="left"/>
      </w:pPr>
      <w:r>
        <w:rPr>
          <w:rFonts w:ascii="Times New Roman" w:cs="Times New Roman" w:eastAsia="Times New Roman" w:hAnsi="Times New Roman"/>
          <w:sz w:val="18"/>
          <w:szCs w:val="18"/>
        </w:rPr>
        <w:t xml:space="preserve">[72]	</w:t>
      </w:r>
      <w:r>
        <w:rPr>
          <w:rFonts w:ascii="Times New Roman" w:cs="Times New Roman" w:eastAsia="Times New Roman" w:hAnsi="Times New Roman"/>
          <w:sz w:val="18"/>
          <w:szCs w:val="18"/>
        </w:rPr>
        <w:t xml:space="preserve">B. Cai. ERC-5484: Consensual soulbound tokens. Ethereum Improvement Proposals, no. 5484, 2022.</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39225f74fe21ad7e7b7c1673918fe98415414719.png"/><Relationship Id="rId13" Type="http://schemas.openxmlformats.org/officeDocument/2006/relationships/image" Target="media/4f75743c835265daafdcbac66f2bdd6c1034f620.png"/><Relationship Id="rId14" Type="http://schemas.openxmlformats.org/officeDocument/2006/relationships/image" Target="media/03c920405551cc59ae0ad5edcc55300e0a8ed15e.png"/><Relationship Id="rId15" Type="http://schemas.openxmlformats.org/officeDocument/2006/relationships/image" Target="media/2b20591a43c6eb19bfdab74102d4f7f1165b386f.png"/><Relationship Id="rId16" Type="http://schemas.openxmlformats.org/officeDocument/2006/relationships/image" Target="media/11081a2422bebced6d030d22f0ebf13798832173.png"/><Relationship Id="rId17" Type="http://schemas.openxmlformats.org/officeDocument/2006/relationships/image" Target="media/fc5a6be7647fd964b300798307c832eee656672b.png"/><Relationship Id="rId18" Type="http://schemas.openxmlformats.org/officeDocument/2006/relationships/image" Target="media/7ce013ee8724e8dcb1576e7f068db7f8890e5be3.png"/><Relationship Id="rId19" Type="http://schemas.openxmlformats.org/officeDocument/2006/relationships/image" Target="media/f1f163df8a47e4df987495706c8e057d78128af6.png"/><Relationship Id="rId20" Type="http://schemas.openxmlformats.org/officeDocument/2006/relationships/image" Target="media/565ce8f785f06ceab5330ae7f258bb86738f6482.png"/><Relationship Id="rId21" Type="http://schemas.openxmlformats.org/officeDocument/2006/relationships/image" Target="media/2bdcc233d9d5ad41e4df5ec32cccb0f936be6fdd.png"/><Relationship Id="rId22" Type="http://schemas.openxmlformats.org/officeDocument/2006/relationships/image" Target="media/3b43f208c34e619a9b1fcd7a8da9990014f117c8.png"/><Relationship Id="rId23" Type="http://schemas.openxmlformats.org/officeDocument/2006/relationships/image" Target="media/00d6986401b6325763b2855292d411f63286ea76.png"/><Relationship Id="rId24" Type="http://schemas.openxmlformats.org/officeDocument/2006/relationships/image" Target="media/b448f93524a4a532be2db1c766d2e48892487b60.png"/><Relationship Id="rId25" Type="http://schemas.openxmlformats.org/officeDocument/2006/relationships/image" Target="media/551744d4db41183fe0c9b4d913479007233462c1.png"/><Relationship Id="rId26" Type="http://schemas.openxmlformats.org/officeDocument/2006/relationships/image" Target="media/379af060121c595b8dab938b017503bf01d94543.png"/><Relationship Id="rId27" Type="http://schemas.openxmlformats.org/officeDocument/2006/relationships/image" Target="media/8b0dede8cf949138f1ca18f2a0be3b9f91a5a8b2.png"/><Relationship Id="rId28" Type="http://schemas.openxmlformats.org/officeDocument/2006/relationships/image" Target="media/f0af766d9de14575067307b6f7dccaf71ca25b88.png"/><Relationship Id="rId29" Type="http://schemas.openxmlformats.org/officeDocument/2006/relationships/image" Target="media/32a920cb8d148805391dcda55782af93c6edfd51.png"/><Relationship Id="rId30" Type="http://schemas.openxmlformats.org/officeDocument/2006/relationships/image" Target="media/06dd8d4f71199a2b46751bf3ced20974c9f60efc.png"/><Relationship Id="rId31" Type="http://schemas.openxmlformats.org/officeDocument/2006/relationships/image" Target="media/4315c9b43325fa22d4a470efde68b53ff388ded2.png"/><Relationship Id="rId32" Type="http://schemas.openxmlformats.org/officeDocument/2006/relationships/image" Target="media/8d37ec6dfd7b5ada41ed458b574790aaa33c10b0.png"/><Relationship Id="rId33" Type="http://schemas.openxmlformats.org/officeDocument/2006/relationships/image" Target="media/0a67ab0366ae1729f7207a8df5eb71a59d233df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CA2 Report: A Trusted Authorization Framework for Multi-Party Patient Consent in Healthcare Data Sharing</dc:title>
  <dc:creator>Yasir Dhaifallah O Alyoubi</dc:creator>
  <cp:lastModifiedBy>Un-named</cp:lastModifiedBy>
  <cp:revision>1</cp:revision>
  <dcterms:created xsi:type="dcterms:W3CDTF">2026-10-06T06:19:46.861Z</dcterms:created>
  <dcterms:modified xsi:type="dcterms:W3CDTF">2026-10-06T06:19:46.862Z</dcterms:modified>
</cp:coreProperties>
</file>

<file path=docProps/custom.xml><?xml version="1.0" encoding="utf-8"?>
<Properties xmlns="http://schemas.openxmlformats.org/officeDocument/2006/custom-properties" xmlns:vt="http://schemas.openxmlformats.org/officeDocument/2006/docPropsVTypes"/>
</file>