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Authorization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16</w:t>
      </w:r>
    </w:p>
    <w:p>
      <w:pPr>
        <w:tabs>
          <w:tab w:val="right" w:pos="9128" w:leader="dot"/>
        </w:tabs>
        <w:spacing w:after="100"/>
      </w:pPr>
      <w:r>
        <w:rPr>
          <w:rFonts w:ascii="Times New Roman" w:cs="Times New Roman" w:eastAsia="Times New Roman" w:hAnsi="Times New Roman"/>
          <w:sz w:val="22"/>
          <w:szCs w:val="22"/>
        </w:rPr>
        <w:t xml:space="preserve">4. Research Objectives	19</w:t>
      </w:r>
    </w:p>
    <w:p>
      <w:pPr>
        <w:tabs>
          <w:tab w:val="right" w:pos="9128" w:leader="dot"/>
        </w:tabs>
        <w:spacing w:after="100"/>
      </w:pPr>
      <w:r>
        <w:rPr>
          <w:rFonts w:ascii="Times New Roman" w:cs="Times New Roman" w:eastAsia="Times New Roman" w:hAnsi="Times New Roman"/>
          <w:sz w:val="22"/>
          <w:szCs w:val="22"/>
        </w:rPr>
        <w:t xml:space="preserve">5. Research Architecture: MVC	21</w:t>
      </w:r>
    </w:p>
    <w:p>
      <w:pPr>
        <w:tabs>
          <w:tab w:val="right" w:pos="9128" w:leader="dot"/>
        </w:tabs>
        <w:spacing w:after="100"/>
      </w:pPr>
      <w:r>
        <w:rPr>
          <w:rFonts w:ascii="Times New Roman" w:cs="Times New Roman" w:eastAsia="Times New Roman" w:hAnsi="Times New Roman"/>
          <w:sz w:val="22"/>
          <w:szCs w:val="22"/>
        </w:rPr>
        <w:t xml:space="preserve">6. The Proposed Solution for RO1	27</w:t>
      </w:r>
    </w:p>
    <w:p>
      <w:pPr>
        <w:tabs>
          <w:tab w:val="right" w:pos="9128" w:leader="dot"/>
        </w:tabs>
        <w:spacing w:after="100"/>
      </w:pPr>
      <w:r>
        <w:rPr>
          <w:rFonts w:ascii="Times New Roman" w:cs="Times New Roman" w:eastAsia="Times New Roman" w:hAnsi="Times New Roman"/>
          <w:sz w:val="22"/>
          <w:szCs w:val="22"/>
        </w:rPr>
        <w:t xml:space="preserve">7. The Proposed Solution for RO2	31</w:t>
      </w:r>
    </w:p>
    <w:p>
      <w:pPr>
        <w:tabs>
          <w:tab w:val="right" w:pos="9128" w:leader="dot"/>
        </w:tabs>
        <w:spacing w:after="100"/>
      </w:pPr>
      <w:r>
        <w:rPr>
          <w:rFonts w:ascii="Times New Roman" w:cs="Times New Roman" w:eastAsia="Times New Roman" w:hAnsi="Times New Roman"/>
          <w:sz w:val="22"/>
          <w:szCs w:val="22"/>
        </w:rPr>
        <w:t xml:space="preserve">8. The Proposed Solution for RO3	34</w:t>
      </w:r>
    </w:p>
    <w:p>
      <w:pPr>
        <w:tabs>
          <w:tab w:val="right" w:pos="9128" w:leader="dot"/>
        </w:tabs>
        <w:spacing w:after="100"/>
      </w:pPr>
      <w:r>
        <w:rPr>
          <w:rFonts w:ascii="Times New Roman" w:cs="Times New Roman" w:eastAsia="Times New Roman" w:hAnsi="Times New Roman"/>
          <w:sz w:val="22"/>
          <w:szCs w:val="22"/>
        </w:rPr>
        <w:t xml:space="preserve">9. The Proposed Solution for RO4	39</w:t>
      </w:r>
    </w:p>
    <w:p>
      <w:pPr>
        <w:tabs>
          <w:tab w:val="right" w:pos="9128" w:leader="dot"/>
        </w:tabs>
        <w:spacing w:after="100"/>
      </w:pPr>
      <w:r>
        <w:rPr>
          <w:rFonts w:ascii="Times New Roman" w:cs="Times New Roman" w:eastAsia="Times New Roman" w:hAnsi="Times New Roman"/>
          <w:sz w:val="22"/>
          <w:szCs w:val="22"/>
        </w:rPr>
        <w:t xml:space="preserve">10. The Proposed Solution for RO5	43</w:t>
      </w:r>
    </w:p>
    <w:p>
      <w:pPr>
        <w:tabs>
          <w:tab w:val="right" w:pos="9128" w:leader="dot"/>
        </w:tabs>
        <w:spacing w:after="100"/>
      </w:pPr>
      <w:r>
        <w:rPr>
          <w:rFonts w:ascii="Times New Roman" w:cs="Times New Roman" w:eastAsia="Times New Roman" w:hAnsi="Times New Roman"/>
          <w:sz w:val="22"/>
          <w:szCs w:val="22"/>
        </w:rPr>
        <w:t xml:space="preserve">11. The Proposed Solution for RO6	46</w:t>
      </w:r>
    </w:p>
    <w:p>
      <w:pPr>
        <w:tabs>
          <w:tab w:val="right" w:pos="9128" w:leader="dot"/>
        </w:tabs>
        <w:spacing w:after="100"/>
      </w:pPr>
      <w:r>
        <w:rPr>
          <w:rFonts w:ascii="Times New Roman" w:cs="Times New Roman" w:eastAsia="Times New Roman" w:hAnsi="Times New Roman"/>
          <w:sz w:val="22"/>
          <w:szCs w:val="22"/>
        </w:rPr>
        <w:t xml:space="preserve">12. Publications Summary	59</w:t>
      </w:r>
    </w:p>
    <w:p>
      <w:pPr>
        <w:tabs>
          <w:tab w:val="right" w:pos="9128" w:leader="dot"/>
        </w:tabs>
        <w:spacing w:after="100"/>
      </w:pPr>
      <w:r>
        <w:rPr>
          <w:rFonts w:ascii="Times New Roman" w:cs="Times New Roman" w:eastAsia="Times New Roman" w:hAnsi="Times New Roman"/>
          <w:sz w:val="22"/>
          <w:szCs w:val="22"/>
        </w:rPr>
        <w:t xml:space="preserve">13. Research Plan	60</w:t>
      </w:r>
    </w:p>
    <w:p>
      <w:pPr>
        <w:tabs>
          <w:tab w:val="right" w:pos="9128" w:leader="dot"/>
        </w:tabs>
        <w:spacing w:after="100"/>
      </w:pPr>
      <w:r>
        <w:rPr>
          <w:rFonts w:ascii="Times New Roman" w:cs="Times New Roman" w:eastAsia="Times New Roman" w:hAnsi="Times New Roman"/>
          <w:sz w:val="22"/>
          <w:szCs w:val="22"/>
        </w:rPr>
        <w:t xml:space="preserve">References	62</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Research Context</w:t>
      </w:r>
    </w:p>
    <w:p>
      <w:pPr>
        <w:spacing w:after="110" w:line="264"/>
        <w:jc w:val="both"/>
      </w:pPr>
      <w:r>
        <w:rPr>
          <w:rFonts w:ascii="Times New Roman" w:cs="Times New Roman" w:eastAsia="Times New Roman" w:hAnsi="Times New Roman"/>
          <w:sz w:val="22"/>
          <w:szCs w:val="22"/>
        </w:rPr>
        <w:t xml:space="preserve">The digitalisation of society has created an increasing demand for secure and trustworthy data sharing across organisational boundaries.</w:t>
      </w:r>
      <w:r>
        <w:rPr>
          <w:rFonts w:ascii="Times New Roman" w:cs="Times New Roman" w:eastAsia="Times New Roman" w:hAnsi="Times New Roman"/>
          <w:sz w:val="22"/>
          <w:szCs w:val="22"/>
        </w:rPr>
        <w:t xml:space="preserve"> Modern digital ecosystems involve multiple independent stakeholders, including individuals, healthcare providers, regulatory authorities, researchers, and third-party data processors [1–3].</w:t>
      </w:r>
      <w:r>
        <w:rPr>
          <w:rFonts w:ascii="Times New Roman" w:cs="Times New Roman" w:eastAsia="Times New Roman" w:hAnsi="Times New Roman"/>
          <w:sz w:val="22"/>
          <w:szCs w:val="22"/>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r>
        <w:rPr>
          <w:rFonts w:ascii="Times New Roman" w:cs="Times New Roman" w:eastAsia="Times New Roman" w:hAnsi="Times New Roman"/>
          <w:sz w:val="22"/>
          <w:szCs w:val="22"/>
        </w:rPr>
        <w:t xml:space="preserve"> Healthcare represents a particularly important and challenging example of this broader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[4, 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w:t>
      </w:r>
      <w:r>
        <w:rPr>
          <w:rFonts w:ascii="Times New Roman" w:cs="Times New Roman" w:eastAsia="Times New Roman" w:hAnsi="Times New Roman"/>
          <w:sz w:val="22"/>
          <w:szCs w:val="22"/>
        </w:rPr>
        <w:t xml:space="preserve"> Its exchange therefore raises complex questions concerning identity, authority, patient consent, privacy protection, accountability, and fine-grained access control [6–9].</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[9, 10].</w:t>
      </w:r>
      <w:r>
        <w:rPr>
          <w:rFonts w:ascii="Times New Roman" w:cs="Times New Roman" w:eastAsia="Times New Roman" w:hAnsi="Times New Roman"/>
          <w:sz w:val="22"/>
          <w:szCs w:val="22"/>
        </w:rPr>
        <w:t xml:space="preserve"> These approaches can provide effective access control within an organisational boundary, but they become difficult to apply when authorisation decisions involve multiple independent entities.</w:t>
      </w:r>
      <w:r>
        <w:rPr>
          <w:rFonts w:ascii="Times New Roman" w:cs="Times New Roman" w:eastAsia="Times New Roman" w:hAnsi="Times New Roman"/>
          <w:sz w:val="22"/>
          <w:szCs w:val="22"/>
        </w:rPr>
        <w:t xml:space="preserve"> In such settings, no single participant may possess sufficient authority to determine access independently, and trust cannot necessarily be assumed on the basis of membership in a common administrative domain.</w:t>
      </w:r>
      <w:r>
        <w:rPr>
          <w:rFonts w:ascii="Times New Roman" w:cs="Times New Roman" w:eastAsia="Times New Roman" w:hAnsi="Times New Roman"/>
          <w:sz w:val="22"/>
          <w:szCs w:val="22"/>
        </w:rPr>
        <w:t xml:space="preserve"> This problem is particularly relevant in healthcare, where data-sharing decisions may require the coordinated participation of patients, guardians, healthcare professionals, and institutional authorities [4, 11].</w:t>
      </w:r>
      <w:r>
        <w:rPr>
          <w:rFonts w:ascii="Times New Roman" w:cs="Times New Roman" w:eastAsia="Times New Roman" w:hAnsi="Times New Roman"/>
          <w:sz w:val="22"/>
          <w:szCs w:val="22"/>
        </w:rPr>
        <w:t xml:space="preserve"> These scenarios demonstrate that authorisation is increasingly a distributed governance problem rather than simply a process of authenticating a user and checking a static permission [12].</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[3, 13–15], while decentralised identifiers can support the identification of participants without relying exclusively on a central identity provider.</w:t>
      </w:r>
      <w:r>
        <w:rPr>
          <w:rFonts w:ascii="Times New Roman" w:cs="Times New Roman" w:eastAsia="Times New Roman" w:hAnsi="Times New Roman"/>
          <w:sz w:val="22"/>
          <w:szCs w:val="22"/>
        </w:rPr>
        <w:t xml:space="preserve"> Verifiable credentials can provide cryptographically verifiable evidence concerning roles or authority [16, 17], and policy-based access-control mechanisms can restrict access to authorised resources [9, 10, 18].</w:t>
      </w:r>
      <w:r>
        <w:rPr>
          <w:rFonts w:ascii="Times New Roman" w:cs="Times New Roman" w:eastAsia="Times New Roman" w:hAnsi="Times New Roman"/>
          <w:sz w:val="22"/>
          <w:szCs w:val="22"/>
        </w:rPr>
        <w:t xml:space="preserve"> However, an immutable record does not necessarily demonstrate that the participating entities were legitimate, that they possessed the required authority, or that a subsequent data-access request remains consistent with the conditions originally authorised.</w:t>
      </w:r>
      <w:r>
        <w:rPr>
          <w:rFonts w:ascii="Times New Roman" w:cs="Times New Roman" w:eastAsia="Times New Roman" w:hAnsi="Times New Roman"/>
          <w:sz w:val="22"/>
          <w:szCs w:val="22"/>
        </w:rPr>
        <w:t xml:space="preserve"> This requires a transition from viewing consent as a static record of permission towards understanding consent as an active and evaluable component of a broader authorisation process, extending the dynamic consent perspective [6, 19].</w:t>
      </w:r>
    </w:p>
    <w:p>
      <w:pPr>
        <w:pStyle w:val="Heading2"/>
        <w:keepNext/>
        <w:spacing w:after="120" w:before="240"/>
      </w:pPr>
      <w:r>
        <w:rPr>
          <w:rFonts w:ascii="Times New Roman" w:cs="Times New Roman" w:eastAsia="Times New Roman" w:hAnsi="Times New Roman"/>
          <w:b/>
          <w:bCs/>
          <w:sz w:val="26"/>
          <w:szCs w:val="26"/>
        </w:rPr>
        <w:t xml:space="preserve">1.2  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w:t>
      </w:r>
      <w:r>
        <w:rPr>
          <w:rFonts w:ascii="Times New Roman" w:cs="Times New Roman" w:eastAsia="Times New Roman" w:hAnsi="Times New Roman"/>
          <w:sz w:val="22"/>
          <w:szCs w:val="22"/>
        </w:rPr>
        <w:t xml:space="preserve"> These mechanisms can improve record integrity, traceability, and auditability, but consent itself often remains a relatively passive artefact indicating that a permission or approval has been created [19, 20].</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w:t>
      </w:r>
      <w:r>
        <w:rPr>
          <w:rFonts w:ascii="Times New Roman" w:cs="Times New Roman" w:eastAsia="Times New Roman" w:hAnsi="Times New Roman"/>
          <w:sz w:val="22"/>
          <w:szCs w:val="22"/>
        </w:rPr>
        <w:t xml:space="preserve"> Likewise, successful authentication establishes that an entity has been identified, but authentication does not automatically establish that the entity possesses the authority to access a particular patient's information.</w:t>
      </w:r>
      <w:r>
        <w:rPr>
          <w:rFonts w:ascii="Times New Roman" w:cs="Times New Roman" w:eastAsia="Times New Roman" w:hAnsi="Times New Roman"/>
          <w:sz w:val="22"/>
          <w:szCs w:val="22"/>
        </w:rPr>
        <w:t xml:space="preserve"> Even where identity and collective approval have been satisfied, an access request may still be inappropriate if it exceeds the authorised purpose or data scope.</w:t>
      </w:r>
      <w:r>
        <w:rPr>
          <w:rFonts w:ascii="Times New Roman" w:cs="Times New Roman" w:eastAsia="Times New Roman" w:hAnsi="Times New Roman"/>
          <w:sz w:val="22"/>
          <w:szCs w:val="22"/>
        </w:rPr>
        <w:t xml:space="preserv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w:t>
      </w:r>
      <w:r>
        <w:rPr>
          <w:rFonts w:ascii="Times New Roman" w:cs="Times New Roman" w:eastAsia="Times New Roman" w:hAnsi="Times New Roman"/>
          <w:sz w:val="22"/>
          <w:szCs w:val="22"/>
        </w:rPr>
        <w:t xml:space="preserve"> Section 2 shows that existing approaches provide important technological components, including decentralised identity and verifiable credentials [21, 22], blockchain-based records [23, 24], multi-party approval mechanisms [23, 25–27], and policy-based access control [28–31], as well as several partial combinations [21, 25, 32].</w:t>
      </w:r>
      <w:r>
        <w:rPr>
          <w:rFonts w:ascii="Times New Roman" w:cs="Times New Roman" w:eastAsia="Times New Roman" w:hAnsi="Times New Roman"/>
          <w:sz w:val="22"/>
          <w:szCs w:val="22"/>
        </w:rPr>
        <w:t xml:space="preserve"> However, these mechanisms are often investigated independently or integrated primarily at the implementation level.</w:t>
      </w:r>
      <w:r>
        <w:rPr>
          <w:rFonts w:ascii="Times New Roman" w:cs="Times New Roman" w:eastAsia="Times New Roman" w:hAnsi="Times New Roman"/>
          <w:sz w:val="22"/>
          <w:szCs w:val="22"/>
        </w:rPr>
        <w:t xml:space="preserve"> The overarching research question is how a trust-oriented computing framework can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research objectives are operationalised through six corresponding sub-research questions.</w:t>
      </w:r>
    </w:p>
    <w:p>
      <w:pPr>
        <w:pStyle w:val="Heading2"/>
        <w:keepNext/>
        <w:spacing w:after="120" w:before="240"/>
      </w:pPr>
      <w:r>
        <w:rPr>
          <w:rFonts w:ascii="Times New Roman" w:cs="Times New Roman" w:eastAsia="Times New Roman" w:hAnsi="Times New Roman"/>
          <w:b/>
          <w:bCs/>
          <w:sz w:val="26"/>
          <w:szCs w:val="26"/>
        </w:rPr>
        <w:t xml:space="preserve">1.3  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w:t>
      </w:r>
      <w:r>
        <w:rPr>
          <w:rFonts w:ascii="Times New Roman" w:cs="Times New Roman" w:eastAsia="Times New Roman" w:hAnsi="Times New Roman"/>
          <w:sz w:val="22"/>
          <w:szCs w:val="22"/>
        </w:rPr>
        <w:t xml:space="preserve"> Under this perspective, trust is not treated as a property that is provided by blockchain, decentralised identity, or any other individual technology.</w:t>
      </w:r>
      <w:r>
        <w:rPr>
          <w:rFonts w:ascii="Times New Roman" w:cs="Times New Roman" w:eastAsia="Times New Roman" w:hAnsi="Times New Roman"/>
          <w:sz w:val="22"/>
          <w:szCs w:val="22"/>
        </w:rPr>
        <w:t xml:space="preserve"> Instead, trustworthy authorisation is understood as an emergent property of a decision process in which independently verifiable conditions must be satisfied.</w:t>
      </w:r>
      <w:r>
        <w:rPr>
          <w:rFonts w:ascii="Times New Roman" w:cs="Times New Roman" w:eastAsia="Times New Roman" w:hAnsi="Times New Roman"/>
          <w:sz w:val="22"/>
          <w:szCs w:val="22"/>
        </w:rPr>
        <w:t xml:space="preserve"> Trusted Computing provides an additional perspective on the protection and verification of security-critical processes.</w:t>
      </w:r>
      <w:r>
        <w:rPr>
          <w:rFonts w:ascii="Times New Roman" w:cs="Times New Roman" w:eastAsia="Times New Roman" w:hAnsi="Times New Roman"/>
          <w:sz w:val="22"/>
          <w:szCs w:val="22"/>
        </w:rPr>
        <w:t xml:space="preserve"> Trusted Execution Environments (TEEs), for example, provide hardware-supported isolation that can protect sensitive computation from compromised or untrusted operating environments [33, 34].</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w:t>
      </w:r>
      <w:r>
        <w:rPr>
          <w:rFonts w:ascii="Times New Roman" w:cs="Times New Roman" w:eastAsia="Times New Roman" w:hAnsi="Times New Roman"/>
          <w:sz w:val="22"/>
          <w:szCs w:val="22"/>
        </w:rPr>
        <w:t xml:space="preserve"> Nevertheless, Trusted Computing does not by itself determine the correctness of an authorisation policy.</w:t>
      </w:r>
      <w:r>
        <w:rPr>
          <w:rFonts w:ascii="Times New Roman" w:cs="Times New Roman" w:eastAsia="Times New Roman" w:hAnsi="Times New Roman"/>
          <w:sz w:val="22"/>
          <w:szCs w:val="22"/>
        </w:rPr>
        <w:t xml:space="preserve"> Consequently, secure execution and trustworthy authorisation address complementary rather than identical problems.</w:t>
      </w:r>
      <w:r>
        <w:rPr>
          <w:rFonts w:ascii="Times New Roman" w:cs="Times New Roman" w:eastAsia="Times New Roman" w:hAnsi="Times New Roman"/>
          <w:sz w:val="22"/>
          <w:szCs w:val="22"/>
        </w:rPr>
        <w:t xml:space="preserve">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w:t>
      </w:r>
      <w:r>
        <w:rPr>
          <w:rFonts w:ascii="Times New Roman" w:cs="Times New Roman" w:eastAsia="Times New Roman" w:hAnsi="Times New Roman"/>
          <w:sz w:val="22"/>
          <w:szCs w:val="22"/>
        </w:rPr>
        <w:t xml:space="preserve"> Authority concerns whether that participant possesses the relevant role or permission to participate in a particular decision.</w:t>
      </w:r>
      <w:r>
        <w:rPr>
          <w:rFonts w:ascii="Times New Roman" w:cs="Times New Roman" w:eastAsia="Times New Roman" w:hAnsi="Times New Roman"/>
          <w:sz w:val="22"/>
          <w:szCs w:val="22"/>
        </w:rPr>
        <w:t xml:space="preserve"> Multi-party authorisation concerns whether the required set of independently verified participants has satisfied a defined collective approval condition.</w:t>
      </w:r>
      <w:r>
        <w:rPr>
          <w:rFonts w:ascii="Times New Roman" w:cs="Times New Roman" w:eastAsia="Times New Roman" w:hAnsi="Times New Roman"/>
          <w:sz w:val="22"/>
          <w:szCs w:val="22"/>
        </w:rPr>
        <w:t xml:space="preserve"> Policy compliance concerns whether the requested access is consistent with the authorised purpose and data scope.</w:t>
      </w:r>
      <w:r>
        <w:rPr>
          <w:rFonts w:ascii="Times New Roman" w:cs="Times New Roman" w:eastAsia="Times New Roman" w:hAnsi="Times New Roman"/>
          <w:sz w:val="22"/>
          <w:szCs w:val="22"/>
        </w:rPr>
        <w:t xml:space="preserve"> Together, these conditions provide the foundation for determining not only whether access has been requested, but whether the resulting authorisation decision has a sufficient basis to be trusted.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w:t>
      </w:r>
      <w:r>
        <w:rPr>
          <w:rFonts w:ascii="Times New Roman" w:cs="Times New Roman" w:eastAsia="Times New Roman" w:hAnsi="Times New Roman"/>
          <w:sz w:val="22"/>
          <w:szCs w:val="22"/>
        </w:rPr>
        <w:t xml:space="preserve"> Consent is instead treated as a structured and trust-aware authorisation object, C = (I, A, P, T, L, E), that connects the relevant participants, authority requirements, policy constraints, temporal and jurisdictional conditions,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w:t>
      </w:r>
      <w:r>
        <w:rPr>
          <w:rFonts w:ascii="Times New Roman" w:cs="Times New Roman" w:eastAsia="Times New Roman" w:hAnsi="Times New Roman"/>
          <w:sz w:val="22"/>
          <w:szCs w:val="22"/>
        </w:rPr>
        <w:t xml:space="preserve"> The first focus is the development of a trust-centric consent representation capable of capturing the conditions associated with an authorisation decision.</w:t>
      </w:r>
      <w:r>
        <w:rPr>
          <w:rFonts w:ascii="Times New Roman" w:cs="Times New Roman" w:eastAsia="Times New Roman" w:hAnsi="Times New Roman"/>
          <w:sz w:val="22"/>
          <w:szCs w:val="22"/>
        </w:rPr>
        <w:t xml:space="preserve"> Building on this representation, the research investigates how decentralised identifiers and verifiable credentials can establish trustworthy participants while maintaining a clear conceptual separation between identity authentication and authorisation authority.</w:t>
      </w:r>
      <w:r>
        <w:rPr>
          <w:rFonts w:ascii="Times New Roman" w:cs="Times New Roman" w:eastAsia="Times New Roman" w:hAnsi="Times New Roman"/>
          <w:sz w:val="22"/>
          <w:szCs w:val="22"/>
        </w:rPr>
        <w:t xml:space="preserve"> The framework then extends individual trust to collective trust through a multi-party authorisation mechanism, ensuring that sensitive healthcare data access can require the coordinated approval of multiple independently verified participants.</w:t>
      </w:r>
      <w:r>
        <w:rPr>
          <w:rFonts w:ascii="Times New Roman" w:cs="Times New Roman" w:eastAsia="Times New Roman" w:hAnsi="Times New Roman"/>
          <w:sz w:val="22"/>
          <w:szCs w:val="22"/>
        </w:rPr>
        <w:t xml:space="preserve"> Finally, policy-aware access control is incorporated to ensure that a valid identity or sufficient set of approvals cannot be used to obtain information outside the purpose or data scope authorised by the patient.</w:t>
      </w:r>
      <w:r>
        <w:rPr>
          <w:rFonts w:ascii="Times New Roman" w:cs="Times New Roman" w:eastAsia="Times New Roman" w:hAnsi="Times New Roman"/>
          <w:sz w:val="22"/>
          <w:szCs w:val="22"/>
        </w:rPr>
        <w:t xml:space="preserve"> These four dimensions, RO1 to RO4, collectively define the foundational scope of Multi-Party Patient Consent.</w:t>
      </w:r>
      <w:r>
        <w:rPr>
          <w:rFonts w:ascii="Times New Roman" w:cs="Times New Roman" w:eastAsia="Times New Roman" w:hAnsi="Times New Roman"/>
          <w:color w:val="00A000"/>
          <w:sz w:val="22"/>
          <w:szCs w:val="22"/>
        </w:rPr>
        <w:t xml:space="preserve"> RO1 to RO4 are completed with validation and evaluation at the current stage.</w:t>
      </w:r>
      <w:r>
        <w:rPr>
          <w:rFonts w:ascii="Times New Roman" w:cs="Times New Roman" w:eastAsia="Times New Roman" w:hAnsi="Times New Roman"/>
          <w:sz w:val="22"/>
          <w:szCs w:val="22"/>
        </w:rPr>
        <w:t xml:space="preserve"> RO5 adds temporal validity and lifecycle trust, because trust cannot be regarded as permanently established at the moment a consent is created.</w:t>
      </w:r>
      <w:r>
        <w:rPr>
          <w:rFonts w:ascii="Times New Roman" w:cs="Times New Roman" w:eastAsia="Times New Roman" w:hAnsi="Times New Roman"/>
          <w:sz w:val="22"/>
          <w:szCs w:val="22"/>
        </w:rPr>
        <w:t xml:space="preserve"> A consent that was valid when initially approved may subsequently become invalid due to expiration, revocation, or a change in its authorised lifecycle state.</w:t>
      </w:r>
      <w:r>
        <w:rPr>
          <w:rFonts w:ascii="Times New Roman" w:cs="Times New Roman" w:eastAsia="Times New Roman" w:hAnsi="Times New Roman"/>
          <w:sz w:val="22"/>
          <w:szCs w:val="22"/>
        </w:rPr>
        <w:t xml:space="preserve"> RO6 concerns formal security assurance and empirical validation.</w:t>
      </w:r>
      <w:r>
        <w:rPr>
          <w:rFonts w:ascii="Times New Roman" w:cs="Times New Roman" w:eastAsia="Times New Roman" w:hAnsi="Times New Roman"/>
          <w:color w:val="00A000"/>
          <w:sz w:val="22"/>
          <w:szCs w:val="22"/>
        </w:rPr>
        <w:t xml:space="preserve"> RO5 and RO6 are in progress, and part of each has already been delivered.</w:t>
      </w:r>
      <w:r>
        <w:rPr>
          <w:rFonts w:ascii="Times New Roman" w:cs="Times New Roman" w:eastAsia="Times New Roman" w:hAnsi="Times New Roman"/>
          <w:sz w:val="22"/>
          <w:szCs w:val="22"/>
        </w:rPr>
        <w:t xml:space="preserve"> RO6 is partially completed through the implementation and initial scenario-based validation of the HALAH (History Access Link for Authorised Healthcare) prototype.</w:t>
      </w:r>
      <w:r>
        <w:rPr>
          <w:rFonts w:ascii="Times New Roman" w:cs="Times New Roman" w:eastAsia="Times New Roman" w:hAnsi="Times New Roman"/>
          <w:sz w:val="22"/>
          <w:szCs w:val="22"/>
        </w:rPr>
        <w:t xml:space="preserve"> For RO5, this prototype provides a lifecycle-aware consent mechanism capable of rejecting access after expiration or revocation.</w:t>
      </w:r>
      <w:r>
        <w:rPr>
          <w:rFonts w:ascii="Times New Roman" w:cs="Times New Roman" w:eastAsia="Times New Roman" w:hAnsi="Times New Roman"/>
          <w:sz w:val="22"/>
          <w:szCs w:val="22"/>
        </w:rPr>
        <w:t xml:space="preserve">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color w:val="00A000"/>
          <w:sz w:val="22"/>
          <w:szCs w:val="22"/>
        </w:rPr>
        <w:t xml:space="preserve">HALAH runs on the Ethereum Sepolia testnet, and the guardian approval rule is currently implemented as N-of-N over the guardian set G.</w:t>
      </w:r>
      <w:r>
        <w:rPr>
          <w:rFonts w:ascii="Times New Roman" w:cs="Times New Roman" w:eastAsia="Times New Roman" w:hAnsi="Times New Roman"/>
          <w:sz w:val="22"/>
          <w:szCs w:val="22"/>
        </w:rPr>
        <w:t xml:space="preserve"> Synthetic healthcare records derived from the Synthea dataset [35] are used to construct representative consent workflows.</w:t>
      </w:r>
      <w:r>
        <w:rPr>
          <w:rFonts w:ascii="Times New Roman" w:cs="Times New Roman" w:eastAsia="Times New Roman" w:hAnsi="Times New Roman"/>
          <w:sz w:val="22"/>
          <w:szCs w:val="22"/>
        </w:rPr>
        <w:t xml:space="preserve"> Security properties are demonstrated through adversarial and negative testing, as well as empirical evaluation using the HALAH prototype and representative healthcare data-sharing scenarios, rather than formal proof.</w:t>
      </w:r>
      <w:r>
        <w:rPr>
          <w:rFonts w:ascii="Times New Roman" w:cs="Times New Roman" w:eastAsia="Times New Roman" w:hAnsi="Times New Roman"/>
          <w:sz w:val="22"/>
          <w:szCs w:val="22"/>
        </w:rPr>
        <w:t xml:space="preserve"> The current stage denotes work delivered at the CA2 milestone, while temporal and lifecycle trust, formal security assurance, and comprehensive empirical validation will be developed further in CA3.</w:t>
      </w:r>
    </w:p>
    <w:p>
      <w:pPr>
        <w:spacing w:after="110" w:line="264"/>
        <w:jc w:val="both"/>
      </w:pPr>
      <w:r>
        <w:rPr>
          <w:rFonts w:ascii="Times New Roman" w:cs="Times New Roman" w:eastAsia="Times New Roman" w:hAnsi="Times New Roman"/>
          <w:color w:val="00A000"/>
          <w:sz w:val="22"/>
          <w:szCs w:val="22"/>
        </w:rPr>
        <w:t xml:space="preserve">Section 2 presents the systematic literature review, Section 3 the research gaps and questions, Section 4 the research objectives, and Section 5 the MVC-based research architecture.</w:t>
      </w:r>
      <w:r>
        <w:rPr>
          <w:rFonts w:ascii="Times New Roman" w:cs="Times New Roman" w:eastAsia="Times New Roman" w:hAnsi="Times New Roman"/>
          <w:color w:val="00A000"/>
          <w:sz w:val="22"/>
          <w:szCs w:val="22"/>
        </w:rPr>
        <w:t xml:space="preserv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r>
        <w:rPr>
          <w:rFonts w:ascii="Times New Roman" w:cs="Times New Roman" w:eastAsia="Times New Roman" w:hAnsi="Times New Roman"/>
          <w:sz w:val="22"/>
          <w:szCs w:val="22"/>
        </w:rPr>
        <w:t xml:space="preserve"> Healthcare research has emphasised the importance of patient autonomy, privacy, informed consent, and controlled data sharing [4, 6–8, 36].</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[3, 18, 37–39].</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[16, 17, 40–43].</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[9, 10, 44, 45].</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w:t>
      </w:r>
      <w:r>
        <w:rPr>
          <w:rFonts w:ascii="Times New Roman" w:cs="Times New Roman" w:eastAsia="Times New Roman" w:hAnsi="Times New Roman"/>
          <w:sz w:val="22"/>
          <w:szCs w:val="22"/>
        </w:rPr>
        <w:t xml:space="preserve"> This fragmentation creates an important distinction between the availability of security mechanisms and the ability to construct a unified and trustworthy authorisation decision.</w:t>
      </w:r>
    </w:p>
    <w:p>
      <w:pPr>
        <w:pStyle w:val="Heading2"/>
        <w:keepNext/>
        <w:spacing w:after="120" w:before="240"/>
      </w:pPr>
      <w:r>
        <w:rPr>
          <w:rFonts w:ascii="Times New Roman" w:cs="Times New Roman" w:eastAsia="Times New Roman" w:hAnsi="Times New Roman"/>
          <w:b/>
          <w:bCs/>
          <w:sz w:val="26"/>
          <w:szCs w:val="26"/>
        </w:rPr>
        <w:t xml:space="preserve">2.1  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w:t>
      </w:r>
      <w:r>
        <w:rPr>
          <w:rFonts w:ascii="Times New Roman" w:cs="Times New Roman" w:eastAsia="Times New Roman" w:hAnsi="Times New Roman"/>
          <w:sz w:val="22"/>
          <w:szCs w:val="22"/>
        </w:rPr>
        <w:t xml:space="preserve"> The six requirements below collectively establish a progression from consent modelling and participant trust to collective authorisation, policy enforcement, temporal and lifecycle control, and finally formal security assurance and empirical validation.</w:t>
      </w:r>
      <w:r>
        <w:rPr>
          <w:rFonts w:ascii="Times New Roman" w:cs="Times New Roman" w:eastAsia="Times New Roman" w:hAnsi="Times New Roman"/>
          <w:sz w:val="22"/>
          <w:szCs w:val="22"/>
        </w:rPr>
        <w:t xml:space="preserve">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w:t>
      </w:r>
      <w:r>
        <w:rPr>
          <w:rFonts w:ascii="Times New Roman" w:cs="Times New Roman" w:eastAsia="Times New Roman" w:hAnsi="Times New Roman"/>
          <w:sz w:val="22"/>
          <w:szCs w:val="22"/>
        </w:rPr>
        <w:t xml:space="preserve"> The object should incorporate identity information, authority requirements, policy constraints on purpose, data scope, and jurisdiction, temporal validity, 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Identity (DID) and Verifiable Credentials (VCs) provide an alternative to conventional identity architectures based exclusively on centralised identity providers.</w:t>
      </w:r>
      <w:r>
        <w:rPr>
          <w:rFonts w:ascii="Times New Roman" w:cs="Times New Roman" w:eastAsia="Times New Roman" w:hAnsi="Times New Roman"/>
          <w:sz w:val="22"/>
          <w:szCs w:val="22"/>
        </w:rPr>
        <w:t xml:space="preserve"> Participants should establish persistent and cryptographically verifiable identifiers without dependence on a single identity provider.</w:t>
      </w:r>
      <w:r>
        <w:rPr>
          <w:rFonts w:ascii="Times New Roman" w:cs="Times New Roman" w:eastAsia="Times New Roman" w:hAnsi="Times New Roman"/>
          <w:sz w:val="22"/>
          <w:szCs w:val="22"/>
        </w:rPr>
        <w:t xml:space="preserve"> Identity verification establishes who is participating, while authority verification determines whether that entity satisfies the requirements associated with a particular consent.</w:t>
      </w:r>
      <w:r>
        <w:rPr>
          <w:rFonts w:ascii="Times New Roman" w:cs="Times New Roman" w:eastAsia="Times New Roman" w:hAnsi="Times New Roman"/>
          <w:sz w:val="22"/>
          <w:szCs w:val="22"/>
        </w:rPr>
        <w:t xml:space="preserve">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w:t>
      </w:r>
      <w:r>
        <w:rPr>
          <w:rFonts w:ascii="Times New Roman" w:cs="Times New Roman" w:eastAsia="Times New Roman" w:hAnsi="Times New Roman"/>
          <w:sz w:val="22"/>
          <w:szCs w:val="22"/>
        </w:rPr>
        <w:t xml:space="preserve">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w:t>
      </w:r>
      <w:r>
        <w:rPr>
          <w:rFonts w:ascii="Times New Roman" w:cs="Times New Roman" w:eastAsia="Times New Roman" w:hAnsi="Times New Roman"/>
          <w:sz w:val="22"/>
          <w:szCs w:val="22"/>
        </w:rPr>
        <w:t xml:space="preserve"> The access decision must also be evaluated against the purpose and data-scope constraints explicitly associated with the consent.</w:t>
      </w:r>
      <w:r>
        <w:rPr>
          <w:rFonts w:ascii="Times New Roman" w:cs="Times New Roman" w:eastAsia="Times New Roman" w:hAnsi="Times New Roman"/>
          <w:color w:val="00A000"/>
          <w:sz w:val="22"/>
          <w:szCs w:val="22"/>
        </w:rPr>
        <w:t xml:space="preserve"> Every request should be evaluated against contextual constraints such as jurisdiction, because many unauthorised disclosures are caused by legitimate requesters who exceed their scope [45].</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w:t>
      </w:r>
      <w:r>
        <w:rPr>
          <w:rFonts w:ascii="Times New Roman" w:cs="Times New Roman" w:eastAsia="Times New Roman" w:hAnsi="Times New Roman"/>
          <w:sz w:val="22"/>
          <w:szCs w:val="22"/>
        </w:rPr>
        <w:t xml:space="preserve">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w:t>
      </w:r>
      <w:r>
        <w:rPr>
          <w:rFonts w:ascii="Times New Roman" w:cs="Times New Roman" w:eastAsia="Times New Roman" w:hAnsi="Times New Roman"/>
          <w:sz w:val="22"/>
          <w:szCs w:val="22"/>
        </w:rPr>
        <w:t xml:space="preserve"> Every decision should preserve verifiable evidence to explain the reason for that decision.</w:t>
      </w:r>
      <w:r>
        <w:rPr>
          <w:rFonts w:ascii="Times New Roman" w:cs="Times New Roman" w:eastAsia="Times New Roman" w:hAnsi="Times New Roman"/>
          <w:sz w:val="22"/>
          <w:szCs w:val="22"/>
        </w:rPr>
        <w:t xml:space="preserve">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[46].</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w:t>
      </w:r>
      <w:r>
        <w:rPr>
          <w:rFonts w:ascii="Times New Roman" w:cs="Times New Roman" w:eastAsia="Times New Roman" w:hAnsi="Times New Roman"/>
          <w:color w:val="00A000"/>
          <w:sz w:val="22"/>
          <w:szCs w:val="22"/>
        </w:rPr>
        <w:t xml:space="preserve"> A written protocol (Protocol v1.1) fixed the review questions, databases, master query, eligibility criteria, codebook, and quality items before screening.</w:t>
      </w:r>
      <w:r>
        <w:rPr>
          <w:rFonts w:ascii="Times New Roman" w:cs="Times New Roman" w:eastAsia="Times New Roman" w:hAnsi="Times New Roman"/>
          <w:color w:val="00A000"/>
          <w:sz w:val="22"/>
          <w:szCs w:val="22"/>
        </w:rPr>
        <w:t xml:space="preserve"> Six review roles covered five perspectives and a chair who decided each record, and all counts are those of the decision-log checkpoint of 10 September 2026 (decision D-166).</w:t>
      </w:r>
      <w:r>
        <w:rPr>
          <w:rFonts w:ascii="Times New Roman" w:cs="Times New Roman" w:eastAsia="Times New Roman" w:hAnsi="Times New Roman"/>
          <w:sz w:val="22"/>
          <w:szCs w:val="22"/>
        </w:rPr>
        <w:t xml:space="preserve"> This systematic literature review (SLR) is guided by seven review questions.</w:t>
      </w:r>
      <w:r>
        <w:rPr>
          <w:rFonts w:ascii="Times New Roman" w:cs="Times New Roman" w:eastAsia="Times New Roman" w:hAnsi="Times New Roman"/>
          <w:color w:val="00A000"/>
          <w:sz w:val="22"/>
          <w:szCs w:val="22"/>
        </w:rPr>
        <w:t xml:space="preserve"> Questions 1 to 5 correspond to Req 1 to Req 5, and Questions 6 and 7 together to Req 6.</w:t>
      </w:r>
      <w:r>
        <w:rPr>
          <w:rFonts w:ascii="Times New Roman" w:cs="Times New Roman" w:eastAsia="Times New Roman" w:hAnsi="Times New Roman"/>
          <w:sz w:val="22"/>
          <w:szCs w:val="22"/>
        </w:rPr>
        <w:t xml:space="preserve"> These questions were formulated to ensure that the review remained directly aligned with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w:t>
      </w:r>
      <w:r>
        <w:rPr>
          <w:rFonts w:ascii="Times New Roman" w:cs="Times New Roman" w:eastAsia="Times New Roman" w:hAnsi="Times New Roman"/>
          <w:sz w:val="22"/>
          <w:szCs w:val="22"/>
        </w:rPr>
        <w:t xml:space="preserve"> These databases were selected because they provide complementary coverage of computer science, cybersecurity, healthcare informatics, distributed systems, and information management research.</w:t>
      </w:r>
      <w:r>
        <w:rPr>
          <w:rFonts w:ascii="Times New Roman" w:cs="Times New Roman" w:eastAsia="Times New Roman" w:hAnsi="Times New Roman"/>
          <w:sz w:val="22"/>
          <w:szCs w:val="22"/>
        </w:rPr>
        <w:t xml:space="preserve"> ScienceDirect and SpringerLink were used to identify research on healthcare information systems, privacy, interoperability, and data governance.</w:t>
      </w:r>
      <w:r>
        <w:rPr>
          <w:rFonts w:ascii="Times New Roman" w:cs="Times New Roman" w:eastAsia="Times New Roman" w:hAnsi="Times New Roman"/>
          <w:sz w:val="22"/>
          <w:szCs w:val="22"/>
        </w:rPr>
        <w:t xml:space="preserve"> Scopus and Web of Science were used to improve the coverage of multidisciplinary studies.</w:t>
      </w:r>
      <w:r>
        <w:rPr>
          <w:rFonts w:ascii="Times New Roman" w:cs="Times New Roman" w:eastAsia="Times New Roman" w:hAnsi="Times New Roman"/>
          <w:color w:val="00A000"/>
          <w:sz w:val="22"/>
          <w:szCs w:val="22"/>
        </w:rPr>
        <w:t xml:space="preserve"> One master query of three concept blocks joined by AND covered healthcare data, consent and authorisation, and trust and multi-party concepts.</w:t>
      </w:r>
      <w:r>
        <w:rPr>
          <w:rFonts w:ascii="Times New Roman" w:cs="Times New Roman" w:eastAsia="Times New Roman" w:hAnsi="Times New Roman"/>
          <w:sz w:val="22"/>
          <w:szCs w:val="22"/>
        </w:rPr>
        <w:t xml:space="preserve">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color w:val="00A000"/>
          <w:sz w:val="22"/>
          <w:szCs w:val="22"/>
        </w:rPr>
        <w:t xml:space="preserve">The main searches were performed in August 2026.</w:t>
      </w:r>
      <w:r>
        <w:rPr>
          <w:rFonts w:ascii="Times New Roman" w:cs="Times New Roman" w:eastAsia="Times New Roman" w:hAnsi="Times New Roman"/>
          <w:color w:val="00A000"/>
          <w:sz w:val="22"/>
          <w:szCs w:val="22"/>
        </w:rPr>
        <w:t xml:space="preserve"> IEEE Xplore, Scopus, Web of Science, and ProQuest were searched on 24 August 2026, SpringerLink, ScienceDirect, and Google Scholar on 25 August 2026, and the ACM Digital Library on 5 September 2026 as a late arm, a declared limitation.</w:t>
      </w:r>
      <w:r>
        <w:rPr>
          <w:rFonts w:ascii="Times New Roman" w:cs="Times New Roman" w:eastAsia="Times New Roman" w:hAnsi="Times New Roman"/>
          <w:color w:val="00A000"/>
          <w:sz w:val="22"/>
          <w:szCs w:val="22"/>
        </w:rPr>
        <w:t xml:space="preserve"> Full-text coding began on 26 August 2026.</w:t>
      </w:r>
      <w:r>
        <w:rPr>
          <w:rFonts w:ascii="Times New Roman" w:cs="Times New Roman" w:eastAsia="Times New Roman" w:hAnsi="Times New Roman"/>
          <w:color w:val="00A000"/>
          <w:sz w:val="22"/>
          <w:szCs w:val="22"/>
        </w:rPr>
        <w:t xml:space="preserve"> A sentinel test of twelve predefined papers checked the recall of the master query, and all four healthcare-scoped sentinels [23, 24, 47, 48] were retrieved.</w:t>
      </w:r>
      <w:r>
        <w:rPr>
          <w:rFonts w:ascii="Times New Roman" w:cs="Times New Roman" w:eastAsia="Times New Roman" w:hAnsi="Times New Roman"/>
          <w:color w:val="00A000"/>
          <w:sz w:val="22"/>
          <w:szCs w:val="22"/>
        </w:rPr>
        <w:t xml:space="preserve"> Seven of the eight misses were attributed to scope, missing trust terms, or the date range, and the cause of the eighth was recorded as an open item.</w:t>
      </w:r>
      <w:r>
        <w:rPr>
          <w:rFonts w:ascii="Times New Roman" w:cs="Times New Roman" w:eastAsia="Times New Roman" w:hAnsi="Times New Roman"/>
          <w:sz w:val="22"/>
          <w:szCs w:val="22"/>
        </w:rPr>
        <w:t xml:space="preserve"> The search results from all databases were exported into a reference management system.</w:t>
      </w:r>
      <w:r>
        <w:rPr>
          <w:rFonts w:ascii="Times New Roman" w:cs="Times New Roman" w:eastAsia="Times New Roman" w:hAnsi="Times New Roman"/>
          <w:sz w:val="22"/>
          <w:szCs w:val="22"/>
        </w:rPr>
        <w:t xml:space="preserve"> Duplicate records were identified using bibliographic metadata, including title, author, DOI, and publication year.</w:t>
      </w:r>
      <w:r>
        <w:rPr>
          <w:rFonts w:ascii="Times New Roman" w:cs="Times New Roman" w:eastAsia="Times New Roman" w:hAnsi="Times New Roman"/>
          <w:sz w:val="22"/>
          <w:szCs w:val="22"/>
        </w:rPr>
        <w:t xml:space="preserve"> Where duplicate records were identified, the most complete bibliographic record was retained for subsequent screening.</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w:t>
      </w:r>
      <w:r>
        <w:rPr>
          <w:rFonts w:ascii="Times New Roman" w:cs="Times New Roman" w:eastAsia="Times New Roman" w:hAnsi="Times New Roman"/>
          <w:color w:val="00A000"/>
          <w:sz w:val="22"/>
          <w:szCs w:val="22"/>
        </w:rPr>
        <w:t xml:space="preserve"> Inclusion required healthcare data (IC1), consent, authorisation, access control, trust, or governance relevant to data access (IC2), and a mechanism, model, system, or evaluation relevant to a review question (IC3).</w:t>
      </w:r>
      <w:r>
        <w:rPr>
          <w:rFonts w:ascii="Times New Roman" w:cs="Times New Roman" w:eastAsia="Times New Roman" w:hAnsi="Times New Roman"/>
          <w:color w:val="00A000"/>
          <w:sz w:val="22"/>
          <w:szCs w:val="22"/>
        </w:rPr>
        <w:t xml:space="preserve"> Studies also had to be peer-reviewed English papers with full text (IC4 to IC7).</w:t>
      </w:r>
      <w:r>
        <w:rPr>
          <w:rFonts w:ascii="Times New Roman" w:cs="Times New Roman" w:eastAsia="Times New Roman" w:hAnsi="Times New Roman"/>
          <w:sz w:val="22"/>
          <w:szCs w:val="22"/>
        </w:rPr>
        <w:t xml:space="preserve"> The search was restricted to studies published between January 2020 and 2026.</w:t>
      </w:r>
      <w:r>
        <w:rPr>
          <w:rFonts w:ascii="Times New Roman" w:cs="Times New Roman" w:eastAsia="Times New Roman" w:hAnsi="Times New Roman"/>
          <w:color w:val="00A000"/>
          <w:sz w:val="22"/>
          <w:szCs w:val="22"/>
        </w:rPr>
        <w:t xml:space="preserve"> Nine exclusion criteria (EC1 to EC9) removed, among others, non-healthcare studies, secondary reviews, and superficial mentions of consent, although no study was excluded for failing to support the proposed research gap.</w:t>
      </w:r>
      <w:r>
        <w:rPr>
          <w:rFonts w:ascii="Times New Roman" w:cs="Times New Roman" w:eastAsia="Times New Roman" w:hAnsi="Times New Roman"/>
          <w:sz w:val="22"/>
          <w:szCs w:val="22"/>
        </w:rPr>
        <w:t xml:space="preserve"> The inclusion and exclusion criteria were applied consistently throughout the screening process.</w:t>
      </w:r>
      <w:r>
        <w:rPr>
          <w:rFonts w:ascii="Times New Roman" w:cs="Times New Roman" w:eastAsia="Times New Roman" w:hAnsi="Times New Roman"/>
          <w:sz w:val="22"/>
          <w:szCs w:val="22"/>
        </w:rPr>
        <w:t xml:space="preserve">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1 presents the PRISMA flow diagram for this review which summarises the identification, screening, eligibility, and inclusion stages of the SLR.</w:t>
      </w:r>
      <w:r>
        <w:rPr>
          <w:rFonts w:ascii="Times New Roman" w:cs="Times New Roman" w:eastAsia="Times New Roman" w:hAnsi="Times New Roman"/>
          <w:color w:val="00A000"/>
          <w:sz w:val="22"/>
          <w:szCs w:val="22"/>
        </w:rPr>
        <w:t xml:space="preserve"> Its counts are internally consistent.</w:t>
      </w:r>
      <w:r>
        <w:rPr>
          <w:rFonts w:ascii="Times New Roman" w:cs="Times New Roman" w:eastAsia="Times New Roman" w:hAnsi="Times New Roman"/>
          <w:color w:val="00A000"/>
          <w:sz w:val="22"/>
          <w:szCs w:val="22"/>
        </w:rPr>
        <w:t xml:space="preserve"> The seven database searches returned 9,256 records, or 6,039 unique records after deduplication, and after title and abstract screening, 1,800 records advanced to full text and were read in a prioritised order under a dimension-level saturation rule.</w:t>
      </w:r>
      <w:r>
        <w:rPr>
          <w:rFonts w:ascii="Times New Roman" w:cs="Times New Roman" w:eastAsia="Times New Roman" w:hAnsi="Times New Roman"/>
          <w:sz w:val="22"/>
          <w:szCs w:val="22"/>
        </w:rPr>
        <w:t xml:space="preserve"> Records that were clearly unrelated to the review scope were excluded at that stage.</w:t>
      </w:r>
      <w:r>
        <w:rPr>
          <w:rFonts w:ascii="Times New Roman" w:cs="Times New Roman" w:eastAsia="Times New Roman" w:hAnsi="Times New Roman"/>
          <w:color w:val="00A000"/>
          <w:sz w:val="22"/>
          <w:szCs w:val="22"/>
        </w:rPr>
        <w:t xml:space="preserve"> Saturation is declared when eight consecutively coded studies with a positive signal for a dimension yield no new mechanism class.</w:t>
      </w:r>
      <w:r>
        <w:rPr>
          <w:rFonts w:ascii="Times New Roman" w:cs="Times New Roman" w:eastAsia="Times New Roman" w:hAnsi="Times New Roman"/>
          <w:color w:val="00A000"/>
          <w:sz w:val="22"/>
          <w:szCs w:val="22"/>
        </w:rPr>
        <w:t xml:space="preserve"> At the checkpoint, 44 reports had been fully coded and passed the quality gate, whereas 1,735 of the 1,800 records had not been assessed, so corpus completeness is bounded by the saturation rule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w:t>
      </w:r>
      <w:r>
        <w:rPr>
          <w:rFonts w:ascii="Times New Roman" w:cs="Times New Roman" w:eastAsia="Times New Roman" w:hAnsi="Times New Roman"/>
          <w:color w:val="00A000"/>
          <w:sz w:val="22"/>
          <w:szCs w:val="22"/>
        </w:rPr>
        <w:t xml:space="preserve"> Each study was coded as Yes, Partial, or No against seven trust dimensions, T1 (identity), T2 (authority), T3 (multi-party), T4 (policy), T5 (temporal), T6 (lifecycle), and T7 (audit), and against the requirements, with a page reference for every positive coding.</w:t>
      </w:r>
      <w:r>
        <w:rPr>
          <w:rFonts w:ascii="Times New Roman" w:cs="Times New Roman" w:eastAsia="Times New Roman" w:hAnsi="Times New Roman"/>
          <w:color w:val="00A000"/>
          <w:sz w:val="22"/>
          <w:szCs w:val="22"/>
        </w:rPr>
        <w:t xml:space="preserve"> A study passed when its score on QA1 to QA4 of the eight quality items was at least 3.0.</w:t>
      </w:r>
      <w:r>
        <w:rPr>
          <w:rFonts w:ascii="Times New Roman" w:cs="Times New Roman" w:eastAsia="Times New Roman" w:hAnsi="Times New Roman"/>
          <w:color w:val="00A000"/>
          <w:sz w:val="22"/>
          <w:szCs w:val="22"/>
        </w:rPr>
        <w:t xml:space="preserve"> Under decision D-166, a study is core if its gap-impact verdict is contradicts, weakens, or narrows, or if its T3 coding is Yes or Partial, which gives 23 core studies of the 44.</w:t>
      </w:r>
      <w:r>
        <w:rPr>
          <w:rFonts w:ascii="Times New Roman" w:cs="Times New Roman" w:eastAsia="Times New Roman" w:hAnsi="Times New Roman"/>
          <w:color w:val="00A000"/>
          <w:sz w:val="22"/>
          <w:szCs w:val="22"/>
        </w:rPr>
        <w:t xml:space="preserve"> With the two supporting studies of highest quality score 7.0 [48, 49], they form the 25 primary studies, S1 to S25. Table 1 lists the 25 primary studies with their year, title, and category.</w:t>
      </w:r>
    </w:p>
    <w:p>
      <w:pPr>
        <w:keepNext/>
        <w:spacing w:after="60" w:before="160"/>
        <w:jc w:val="center"/>
      </w:pPr>
      <w:r>
        <w:drawing>
          <wp:inline distT="0" distB="0" distL="0" distR="0">
            <wp:extent cx="4600575" cy="428625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0057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p>
    <w:p>
      <w:pPr>
        <w:keepNext/>
        <w:spacing w:after="80" w:before="200"/>
        <w:jc w:val="center"/>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Abbasi et al. [50]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Albalwy et al. [48]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 Amin et al. [51]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Ekholm et al. [27]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Eneh et al. [28]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Hagström et al. [52]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Jaiman and Urovi [47]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Zhao and Su [53]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Li et al. [49]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Madine et al. [23]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Maruthi and Singh [54]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Mei et al. [55]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Panagoulias et al. [29]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Phuyal et al. [21]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Phuyal et al. [56]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Punia et al. [25]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Román-Martínez et al. [30]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Hema et al. [57]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Soohoo et al. [58]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Tan et al. [26]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Tith et al. [24]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Tremper et al. [59]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Tseng et al. [60]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Wu et al. [61]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Wu and Zhang [22]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w:t>
      </w:r>
      <w:r>
        <w:rPr>
          <w:rFonts w:ascii="Times New Roman" w:cs="Times New Roman" w:eastAsia="Times New Roman" w:hAnsi="Times New Roman"/>
          <w:color w:val="00A000"/>
          <w:sz w:val="22"/>
          <w:szCs w:val="22"/>
        </w:rPr>
        <w:t xml:space="preserve"> Each included study was assigned to the stream on which it is coded most strongly. </w:t>
      </w:r>
      <w:r>
        <w:rPr>
          <w:rFonts w:ascii="Times New Roman" w:cs="Times New Roman" w:eastAsia="Times New Roman" w:hAnsi="Times New Roman"/>
          <w:b/>
          <w:bCs/>
          <w:color w:val="00A000"/>
          <w:sz w:val="22"/>
          <w:szCs w:val="22"/>
        </w:rPr>
        <w:t xml:space="preserve">Consent representation and blockchain-based consent governance (Req 1).</w:t>
      </w:r>
      <w:r>
        <w:rPr>
          <w:rFonts w:ascii="Times New Roman" w:cs="Times New Roman" w:eastAsia="Times New Roman" w:hAnsi="Times New Roman"/>
          <w:color w:val="00A000"/>
          <w:sz w:val="22"/>
          <w:szCs w:val="22"/>
        </w:rPr>
        <w:t xml:space="preserve"> Two of the three studies of this stream are deployed platforms graded Partial.</w:t>
      </w:r>
      <w:r>
        <w:rPr>
          <w:rFonts w:ascii="Times New Roman" w:cs="Times New Roman" w:eastAsia="Times New Roman" w:hAnsi="Times New Roman"/>
          <w:color w:val="00A000"/>
          <w:sz w:val="22"/>
          <w:szCs w:val="22"/>
        </w:rPr>
        <w:t xml:space="preserve"> Soohoo et al. [58] describe the iAgree portal across three United States health systems with a permissioned Ethereum audit contract, but consent enforcement is outside its scope.</w:t>
      </w:r>
      <w:r>
        <w:rPr>
          <w:rFonts w:ascii="Times New Roman" w:cs="Times New Roman" w:eastAsia="Times New Roman" w:hAnsi="Times New Roman"/>
          <w:color w:val="00A000"/>
          <w:sz w:val="22"/>
          <w:szCs w:val="22"/>
        </w:rPr>
        <w:t xml:space="preserve"> Tremper et al. [59] report ten years of the Mainzelliste service with FHIR consent directives, but specify no check semantics and no demonstrated enforcement of withdrawal.</w:t>
      </w:r>
      <w:r>
        <w:rPr>
          <w:rFonts w:ascii="Times New Roman" w:cs="Times New Roman" w:eastAsia="Times New Roman" w:hAnsi="Times New Roman"/>
          <w:color w:val="00A000"/>
          <w:sz w:val="22"/>
          <w:szCs w:val="22"/>
        </w:rPr>
        <w:t xml:space="preserve"> The two platforms are single-party systems.</w:t>
      </w:r>
      <w:r>
        <w:rPr>
          <w:rFonts w:ascii="Times New Roman" w:cs="Times New Roman" w:eastAsia="Times New Roman" w:hAnsi="Times New Roman"/>
          <w:color w:val="00A000"/>
          <w:sz w:val="22"/>
          <w:szCs w:val="22"/>
        </w:rPr>
        <w:t xml:space="preserve"> Al Amin et al. [51]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operation [62, 63], or as conditions fixed at encryption time [64, 65].</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p>
    <w:p>
      <w:pPr>
        <w:spacing w:after="110" w:line="264"/>
        <w:jc w:val="both"/>
      </w:pPr>
      <w:r>
        <w:rPr>
          <w:rFonts w:ascii="Times New Roman" w:cs="Times New Roman" w:eastAsia="Times New Roman" w:hAnsi="Times New Roman"/>
          <w:b/>
          <w:bCs/>
          <w:color w:val="00A000"/>
          <w:sz w:val="22"/>
          <w:szCs w:val="22"/>
        </w:rPr>
        <w:t xml:space="preserve">Decentralised identity and authority trust (Req 2).</w:t>
      </w:r>
      <w:r>
        <w:rPr>
          <w:rFonts w:ascii="Times New Roman" w:cs="Times New Roman" w:eastAsia="Times New Roman" w:hAnsi="Times New Roman"/>
          <w:color w:val="00A000"/>
          <w:sz w:val="22"/>
          <w:szCs w:val="22"/>
        </w:rPr>
        <w:t xml:space="preserve"> T2 was graded Yes in only 10 of the 25 studies and Partial in 15.</w:t>
      </w:r>
      <w:r>
        <w:rPr>
          <w:rFonts w:ascii="Times New Roman" w:cs="Times New Roman" w:eastAsia="Times New Roman" w:hAnsi="Times New Roman"/>
          <w:color w:val="00A000"/>
          <w:sz w:val="22"/>
          <w:szCs w:val="22"/>
        </w:rPr>
        <w:t xml:space="preserve"> Phuyal et al. [21] present the most integrated system, with EUDI-compatible wallets, W3C decentralised identifiers, verifiable credentials, an on-chain consent object on Hyperledger Besu, and Groth16 access proofs.</w:t>
      </w:r>
      <w:r>
        <w:rPr>
          <w:rFonts w:ascii="Times New Roman" w:cs="Times New Roman" w:eastAsia="Times New Roman" w:hAnsi="Times New Roman"/>
          <w:color w:val="00A000"/>
          <w:sz w:val="22"/>
          <w:szCs w:val="22"/>
        </w:rPr>
        <w:t xml:space="preserve"> Its licensing-body credential asserts role and scope of practice separately from authentication, which is the strongest Req 2 evidence in the corpus.</w:t>
      </w:r>
      <w:r>
        <w:rPr>
          <w:rFonts w:ascii="Times New Roman" w:cs="Times New Roman" w:eastAsia="Times New Roman" w:hAnsi="Times New Roman"/>
          <w:color w:val="00A000"/>
          <w:sz w:val="22"/>
          <w:szCs w:val="22"/>
        </w:rPr>
        <w:t xml:space="preserve"> However, a single patient grants consent, the stored expiry is not checked, there is no threat model, and the companion architecture [56] is design-only.</w:t>
      </w:r>
      <w:r>
        <w:rPr>
          <w:rFonts w:ascii="Times New Roman" w:cs="Times New Roman" w:eastAsia="Times New Roman" w:hAnsi="Times New Roman"/>
          <w:color w:val="00A000"/>
          <w:sz w:val="22"/>
          <w:szCs w:val="22"/>
        </w:rPr>
        <w:t xml:space="preserve"> Tseng et al. [60] verify authority-issued roles separately from X.509 identities, although without W3C identifiers and with purpose logged but never evaluated.</w:t>
      </w:r>
      <w:r>
        <w:rPr>
          <w:rFonts w:ascii="Times New Roman" w:cs="Times New Roman" w:eastAsia="Times New Roman" w:hAnsi="Times New Roman"/>
          <w:sz w:val="22"/>
          <w:szCs w:val="22"/>
        </w:rPr>
        <w:t xml:space="preserve">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color w:val="00A000"/>
          <w:sz w:val="22"/>
          <w:szCs w:val="22"/>
        </w:rPr>
        <w:t xml:space="preserve">Multi-party authorisation and collaborative consent (Req 3).</w:t>
      </w:r>
      <w:r>
        <w:rPr>
          <w:rFonts w:ascii="Times New Roman" w:cs="Times New Roman" w:eastAsia="Times New Roman" w:hAnsi="Times New Roman"/>
          <w:color w:val="00A000"/>
          <w:sz w:val="22"/>
          <w:szCs w:val="22"/>
        </w:rPr>
        <w:t xml:space="preserve"> T3 was graded Yes in 6 of the 25 studies, Partial in 4, and No in 15, across six ratified mechanism classes.</w:t>
      </w:r>
      <w:r>
        <w:rPr>
          <w:rFonts w:ascii="Times New Roman" w:cs="Times New Roman" w:eastAsia="Times New Roman" w:hAnsi="Times New Roman"/>
          <w:color w:val="00A000"/>
          <w:sz w:val="22"/>
          <w:szCs w:val="22"/>
        </w:rPr>
        <w:t xml:space="preserve"> Madine et al. [23] require a regulator and a guardian threshold on the incapacitated path, but a single patient key suffices on the normal path.</w:t>
      </w:r>
      <w:r>
        <w:rPr>
          <w:rFonts w:ascii="Times New Roman" w:cs="Times New Roman" w:eastAsia="Times New Roman" w:hAnsi="Times New Roman"/>
          <w:color w:val="00A000"/>
          <w:sz w:val="22"/>
          <w:szCs w:val="22"/>
        </w:rPr>
        <w:t xml:space="preserve"> Wu et al. [61] apply a (t, n) investigator threshold to record admission and revocation, and Abbasi et al. [50] use a Shamir (5, 3) threshold for key custody.</w:t>
      </w:r>
      <w:r>
        <w:rPr>
          <w:rFonts w:ascii="Times New Roman" w:cs="Times New Roman" w:eastAsia="Times New Roman" w:hAnsi="Times New Roman"/>
          <w:color w:val="00A000"/>
          <w:sz w:val="22"/>
          <w:szCs w:val="22"/>
        </w:rPr>
        <w:t xml:space="preserve"> Punia et al. [25] conjoin an M-of-N multi-signature with an attribute and role policy, but a single emergency officer can bypass the threshold.</w:t>
      </w:r>
      <w:r>
        <w:rPr>
          <w:rFonts w:ascii="Times New Roman" w:cs="Times New Roman" w:eastAsia="Times New Roman" w:hAnsi="Times New Roman"/>
          <w:color w:val="00A000"/>
          <w:sz w:val="22"/>
          <w:szCs w:val="22"/>
        </w:rPr>
        <w:t xml:space="preserve"> Tan et al. [26] use patient-appointed verifiers as a contingency, [27] reports guardian co-consent at registration time, and [52] gates guardian access by the minor's consent and a clinician's capacity assessment.</w:t>
      </w:r>
      <w:r>
        <w:rPr>
          <w:rFonts w:ascii="Times New Roman" w:cs="Times New Roman" w:eastAsia="Times New Roman" w:hAnsi="Times New Roman"/>
          <w:color w:val="00A000"/>
          <w:sz w:val="22"/>
          <w:szCs w:val="22"/>
        </w:rPr>
        <w:t xml:space="preserve"> No reviewed study evaluates a threshold predicate over a patient-designated guardian set on every request, and none does so together with the policy, temporal, and jurisdictional conditions.</w:t>
      </w:r>
      <w:r>
        <w:rPr>
          <w:rFonts w:ascii="Times New Roman" w:cs="Times New Roman" w:eastAsia="Times New Roman" w:hAnsi="Times New Roman"/>
          <w:sz w:val="22"/>
          <w:szCs w:val="22"/>
        </w:rPr>
        <w:t xml:space="preserve"> This represents an important area addressed by the proposed framework.</w:t>
      </w:r>
      <w:r>
        <w:rPr>
          <w:rFonts w:ascii="Times New Roman" w:cs="Times New Roman" w:eastAsia="Times New Roman" w:hAnsi="Times New Roman"/>
          <w:sz w:val="22"/>
          <w:szCs w:val="22"/>
        </w:rPr>
        <w:t xml:space="preserve">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Access control becomes more complex when policies must be connected directly to a decentralised consent process.</w:t>
      </w:r>
      <w:r>
        <w:rPr>
          <w:rFonts w:ascii="Times New Roman" w:cs="Times New Roman" w:eastAsia="Times New Roman" w:hAnsi="Times New Roman"/>
          <w:color w:val="00A000"/>
          <w:sz w:val="22"/>
          <w:szCs w:val="22"/>
        </w:rPr>
        <w:t xml:space="preserve"> Tith et al. [24] match a purpose tree in chaincode, and Jaiman and Urovi [47] match ontology terms against the patient's consent.</w:t>
      </w:r>
      <w:r>
        <w:rPr>
          <w:rFonts w:ascii="Times New Roman" w:cs="Times New Roman" w:eastAsia="Times New Roman" w:hAnsi="Times New Roman"/>
          <w:color w:val="00A000"/>
          <w:sz w:val="22"/>
          <w:szCs w:val="22"/>
        </w:rPr>
        <w:t xml:space="preserve"> Albalwy et al. [48] evaluate a hashed policy tree of data type, role, and purpose, and Román-Martínez et al. [30] evaluate the FHIR purpose-of-use through XACML.</w:t>
      </w:r>
      <w:r>
        <w:rPr>
          <w:rFonts w:ascii="Times New Roman" w:cs="Times New Roman" w:eastAsia="Times New Roman" w:hAnsi="Times New Roman"/>
          <w:color w:val="00A000"/>
          <w:sz w:val="22"/>
          <w:szCs w:val="22"/>
        </w:rPr>
        <w:t xml:space="preserve"> T4 is coded Yes in 11 studies, Partial in 10, and No in 4.</w:t>
      </w:r>
      <w:r>
        <w:rPr>
          <w:rFonts w:ascii="Times New Roman" w:cs="Times New Roman" w:eastAsia="Times New Roman" w:hAnsi="Times New Roman"/>
          <w:color w:val="00A000"/>
          <w:sz w:val="22"/>
          <w:szCs w:val="22"/>
        </w:rPr>
        <w:t xml:space="preserve"> However, purpose-of-use enters the decision in only six studies [24, 28–30, 47, 48], and every one is coded T3 No.</w:t>
      </w:r>
      <w:r>
        <w:rPr>
          <w:rFonts w:ascii="Times New Roman" w:cs="Times New Roman" w:eastAsia="Times New Roman" w:hAnsi="Times New Roman"/>
          <w:color w:val="00A000"/>
          <w:sz w:val="22"/>
          <w:szCs w:val="22"/>
        </w:rPr>
        <w:t xml:space="preserve">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w:t>
      </w:r>
      <w:r>
        <w:rPr>
          <w:rFonts w:ascii="Times New Roman" w:cs="Times New Roman" w:eastAsia="Times New Roman" w:hAnsi="Times New Roman"/>
          <w:color w:val="00A000"/>
          <w:sz w:val="22"/>
          <w:szCs w:val="22"/>
        </w:rPr>
        <w:t xml:space="preserve"> Eneh et al. [28] present EdgeConsent, the first study to enforce temporal validity inside the decision predicate, although its lifecycle is only an active flag.</w:t>
      </w:r>
      <w:r>
        <w:rPr>
          <w:rFonts w:ascii="Times New Roman" w:cs="Times New Roman" w:eastAsia="Times New Roman" w:hAnsi="Times New Roman"/>
          <w:sz w:val="22"/>
          <w:szCs w:val="22"/>
        </w:rPr>
        <w:t xml:space="preserve"> Temporal validity must also be evaluated together with the lifecycle state of the consent.</w:t>
      </w:r>
      <w:r>
        <w:rPr>
          <w:rFonts w:ascii="Times New Roman" w:cs="Times New Roman" w:eastAsia="Times New Roman" w:hAnsi="Times New Roman"/>
          <w:color w:val="00A000"/>
          <w:sz w:val="22"/>
          <w:szCs w:val="22"/>
        </w:rPr>
        <w:t xml:space="preserve"> Hema et al. [57] bind the expiry into key derivation, and Panagoulias et al. [29] enforce revocation at decision time across 43,500 simulated attempts in a single-node ledger.</w:t>
      </w:r>
      <w:r>
        <w:rPr>
          <w:rFonts w:ascii="Times New Roman" w:cs="Times New Roman" w:eastAsia="Times New Roman" w:hAnsi="Times New Roman"/>
          <w:color w:val="00A000"/>
          <w:sz w:val="22"/>
          <w:szCs w:val="22"/>
        </w:rPr>
        <w:t xml:space="preserve"> Li et al. [49] enforce time on a credential rather than on the consent.</w:t>
      </w:r>
      <w:r>
        <w:rPr>
          <w:rFonts w:ascii="Times New Roman" w:cs="Times New Roman" w:eastAsia="Times New Roman" w:hAnsi="Times New Roman"/>
          <w:color w:val="00A000"/>
          <w:sz w:val="22"/>
          <w:szCs w:val="22"/>
        </w:rPr>
        <w:t xml:space="preserve"> T5 is coded Yes in 8 studies and T6 in 7, a post-revocation denial is demonstrated only by [21], [29], and [28], and the three stream-5 systems that enforce time inside the decision are all single-party.</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w:t>
      </w:r>
      <w:r>
        <w:rPr>
          <w:rFonts w:ascii="Times New Roman" w:cs="Times New Roman" w:eastAsia="Times New Roman" w:hAnsi="Times New Roman"/>
          <w:sz w:val="22"/>
          <w:szCs w:val="22"/>
        </w:rPr>
        <w:t xml:space="preserve"> Consequently, the two forms of evidence are complementary rather than interchangeable.</w:t>
      </w:r>
      <w:r>
        <w:rPr>
          <w:rFonts w:ascii="Times New Roman" w:cs="Times New Roman" w:eastAsia="Times New Roman" w:hAnsi="Times New Roman"/>
          <w:color w:val="00A000"/>
          <w:sz w:val="22"/>
          <w:szCs w:val="22"/>
        </w:rPr>
        <w:t xml:space="preserve"> Wu and Zhang [22] present HealthDID, with three game-based definitions and three theorems proved by reduction, the first complete formal assurance in the corpus, although only for the identity and authority fragment.</w:t>
      </w:r>
      <w:r>
        <w:rPr>
          <w:rFonts w:ascii="Times New Roman" w:cs="Times New Roman" w:eastAsia="Times New Roman" w:hAnsi="Times New Roman"/>
          <w:color w:val="00A000"/>
          <w:sz w:val="22"/>
          <w:szCs w:val="22"/>
        </w:rPr>
        <w:t xml:space="preserve"> Zhao and Su [53] and Maruthi and Singh [54] prove threshold gates in isolation, and Mei et al. [55] prove a static encryption predicate.</w:t>
      </w:r>
      <w:r>
        <w:rPr>
          <w:rFonts w:ascii="Times New Roman" w:cs="Times New Roman" w:eastAsia="Times New Roman" w:hAnsi="Times New Roman"/>
          <w:color w:val="00A000"/>
          <w:sz w:val="22"/>
          <w:szCs w:val="22"/>
        </w:rPr>
        <w:t xml:space="preserve"> Formal assurance is coded Yes in only 4 of the 25 studies, and empirical validation Yes in 5, Partial in 19, and No in 1.</w:t>
      </w:r>
      <w:r>
        <w:rPr>
          <w:rFonts w:ascii="Times New Roman" w:cs="Times New Roman" w:eastAsia="Times New Roman" w:hAnsi="Times New Roman"/>
          <w:color w:val="00A000"/>
          <w:sz w:val="22"/>
          <w:szCs w:val="22"/>
        </w:rPr>
        <w:t xml:space="preserve"> The panel records an inverse relation between predicate breadth and assurance strength.</w:t>
      </w:r>
      <w:r>
        <w:rPr>
          <w:rFonts w:ascii="Times New Roman" w:cs="Times New Roman" w:eastAsia="Times New Roman" w:hAnsi="Times New Roman"/>
          <w:color w:val="00A000"/>
          <w:sz w:val="22"/>
          <w:szCs w:val="22"/>
        </w:rPr>
        <w:t xml:space="preserve"> No study executes adversarial scenarios that examine whether security controls can resist deliberate attempts to circumvent the authorisation process. Table 2 summarises the description and the issues and limitations of each primary study.</w:t>
      </w:r>
    </w:p>
    <w:p>
      <w:pPr>
        <w:keepNext/>
        <w:spacing w:after="80" w:before="200"/>
        <w:jc w:val="center"/>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 Abbasi et al. [50]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 Albalwy et al. [48]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S3 Al Amin et al. [51]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S4 Ekholm et al. [27]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S5 Eneh et al. [28]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S6 Hagström et al. [52]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S7 Jaiman and Urovi [47]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S8 Zhao and Su [53]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S9 Li et al. [49]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Time is enforced on the credential rather than on the consent, so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S10 Madine et al. [23]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highlight w:val="yellow"/>
              </w:rPr>
              <w:t xml:space="preserve">;</w:t>
            </w:r>
            <w:r>
              <w:rPr>
                <w:rFonts w:ascii="Times New Roman" w:cs="Times New Roman" w:eastAsia="Times New Roman" w:hAnsi="Times New Roman"/>
                <w:b w:val="false"/>
                <w:bCs w:val="false"/>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S11 Maruthi and Singh [54]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S12 Mei et al. [55]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S13 Panagoulias et al. [29]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S14 Phuyal et al. [21]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S15 Phuyal et al. [56]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S16 Punia et al. [25]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S17 Román-Martínez et al. [30]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S18 Hema et al. [57]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S19 Soohoo et al. [58]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S20 Tan et al. [26]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S21 Tith et al. [24]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S22 Tremper et al. [59]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S23 Tseng et al. [60]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S24 Wu et al. [61]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S25 Wu and Zhang [22]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Comparative Analysis of Existing Approaches</w:t>
      </w:r>
    </w:p>
    <w:p>
      <w:pPr>
        <w:spacing w:after="110" w:line="264"/>
        <w:jc w:val="both"/>
      </w:pPr>
      <w:r>
        <w:rPr>
          <w:rFonts w:ascii="Times New Roman" w:cs="Times New Roman" w:eastAsia="Times New Roman" w:hAnsi="Times New Roman"/>
          <w:sz w:val="22"/>
          <w:szCs w:val="22"/>
        </w:rPr>
        <w:t xml:space="preserve">The reviewed literature demonstrates that existing approaches provide strong solutions for individual dimensions of trustworthy data sharing.</w:t>
      </w:r>
      <w:r>
        <w:rPr>
          <w:rFonts w:ascii="Times New Roman" w:cs="Times New Roman" w:eastAsia="Times New Roman" w:hAnsi="Times New Roman"/>
          <w:sz w:val="22"/>
          <w:szCs w:val="22"/>
        </w:rPr>
        <w:t xml:space="preserve"> These contributions address different layers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w:t>
      </w:r>
      <w:r>
        <w:rPr>
          <w:rFonts w:ascii="Times New Roman" w:cs="Times New Roman" w:eastAsia="Times New Roman" w:hAnsi="Times New Roman"/>
          <w:color w:val="00A000"/>
          <w:sz w:val="22"/>
          <w:szCs w:val="22"/>
        </w:rPr>
        <w:t xml:space="preserve"> The systems that enforce purpose and time are authored by a single patient and lack a formal argument.</w:t>
      </w:r>
      <w:r>
        <w:rPr>
          <w:rFonts w:ascii="Times New Roman" w:cs="Times New Roman" w:eastAsia="Times New Roman" w:hAnsi="Times New Roman"/>
          <w:color w:val="00A000"/>
          <w:sz w:val="22"/>
          <w:szCs w:val="22"/>
        </w:rPr>
        <w:t xml:space="preserve"> The multi-party systems carry no purpose or data-scope condition, whereas the proved schemes omit policy, temporal validity, and lifecycle. Table 3 summarises the 25 studies against the six requirements, where Yes denotes satisfied, Partial partially satisfied, and No not satisfied.</w:t>
      </w:r>
    </w:p>
    <w:p>
      <w:pPr>
        <w:keepNext/>
        <w:spacing w:after="80" w:before="200"/>
        <w:jc w:val="center"/>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 [50]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 [48]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S3 [51]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S4 [27]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S5 [28]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S6 [52]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S7 [47]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S8 [53]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S9 [49] Li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S10 [23]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S11 [54]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S12 [55]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S13 [29]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S14 [21]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S15 [56]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S16 [25]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S17 [30]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S18 [57]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S19 [58] Soohoo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S20 [26]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S21 [24]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S22 [59]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S23 [60]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S24 [61] Wu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S25 [22]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color w:val="00A000"/>
          <w:sz w:val="22"/>
          <w:szCs w:val="22"/>
        </w:rPr>
        <w:t xml:space="preserve">The matrix supports four observations.</w:t>
      </w:r>
      <w:r>
        <w:rPr>
          <w:rFonts w:ascii="Times New Roman" w:cs="Times New Roman" w:eastAsia="Times New Roman" w:hAnsi="Times New Roman"/>
          <w:color w:val="00A000"/>
          <w:sz w:val="22"/>
          <w:szCs w:val="22"/>
        </w:rPr>
        <w:t xml:space="preserve"> First, counting only full satisfaction, Req 1 is met by 12 of the 25 studies, Req 2 by 7, Req 3 by 6, Req 4 by 10, Req 5 by 8, and Req 6 by 9.</w:t>
      </w:r>
      <w:r>
        <w:rPr>
          <w:rFonts w:ascii="Times New Roman" w:cs="Times New Roman" w:eastAsia="Times New Roman" w:hAnsi="Times New Roman"/>
          <w:color w:val="00A000"/>
          <w:sz w:val="22"/>
          <w:szCs w:val="22"/>
        </w:rPr>
        <w:t xml:space="preserve"> Second, no study satisfies all six, the maximum of four is reached by [23] and [29], and five studies fully satisfy none.</w:t>
      </w:r>
      <w:r>
        <w:rPr>
          <w:rFonts w:ascii="Times New Roman" w:cs="Times New Roman" w:eastAsia="Times New Roman" w:hAnsi="Times New Roman"/>
          <w:color w:val="00A000"/>
          <w:sz w:val="22"/>
          <w:szCs w:val="22"/>
        </w:rPr>
        <w:t xml:space="preserve"> Third, Req 1 with Req 4 is the most frequent pair, in seven studies, whereas Req 2 and Req 4 never co-occur in full.</w:t>
      </w:r>
      <w:r>
        <w:rPr>
          <w:rFonts w:ascii="Times New Roman" w:cs="Times New Roman" w:eastAsia="Times New Roman" w:hAnsi="Times New Roman"/>
          <w:color w:val="00A000"/>
          <w:sz w:val="22"/>
          <w:szCs w:val="22"/>
        </w:rPr>
        <w:t xml:space="preserve"> Req 3 co-occurs with Req 4 only in [25], whose threshold lies outside the policy predicate and whose policy carries no purpose term.</w:t>
      </w:r>
      <w:r>
        <w:rPr>
          <w:rFonts w:ascii="Times New Roman" w:cs="Times New Roman" w:eastAsia="Times New Roman" w:hAnsi="Times New Roman"/>
          <w:color w:val="00A000"/>
          <w:sz w:val="22"/>
          <w:szCs w:val="22"/>
        </w:rPr>
        <w:t xml:space="preserve"> Similarly, Req 3 co-occurs with Req 6 only in [53, 54].</w:t>
      </w:r>
      <w:r>
        <w:rPr>
          <w:rFonts w:ascii="Times New Roman" w:cs="Times New Roman" w:eastAsia="Times New Roman" w:hAnsi="Times New Roman"/>
          <w:color w:val="00A000"/>
          <w:sz w:val="22"/>
          <w:szCs w:val="22"/>
        </w:rPr>
        <w:t xml:space="preserve"> Fourth, the two quadruples are complementary, since [23] lacks policy and assurance, whereas [29] lacks multi-party approval and identity depth.</w:t>
      </w:r>
    </w:p>
    <w:p>
      <w:pPr>
        <w:spacing w:after="110" w:line="264"/>
        <w:jc w:val="both"/>
      </w:pPr>
      <w:r>
        <w:rPr>
          <w:rFonts w:ascii="Times New Roman" w:cs="Times New Roman" w:eastAsia="Times New Roman" w:hAnsi="Times New Roman"/>
          <w:sz w:val="22"/>
          <w:szCs w:val="22"/>
        </w:rPr>
        <w:t xml:space="preserve">The comparison indicates that the principal contribution of the proposed research is not the replacement of existing technologies.</w:t>
      </w:r>
      <w:r>
        <w:rPr>
          <w:rFonts w:ascii="Times New Roman" w:cs="Times New Roman" w:eastAsia="Times New Roman" w:hAnsi="Times New Roman"/>
          <w:sz w:val="22"/>
          <w:szCs w:val="22"/>
        </w:rPr>
        <w:t xml:space="preserve"> Rather, it lies in establishing an explicit conceptual relationship among them.</w:t>
      </w:r>
      <w:r>
        <w:rPr>
          <w:rFonts w:ascii="Times New Roman" w:cs="Times New Roman" w:eastAsia="Times New Roman" w:hAnsi="Times New Roman"/>
          <w:color w:val="00A000"/>
          <w:sz w:val="22"/>
          <w:szCs w:val="22"/>
        </w:rPr>
        <w:t xml:space="preserve"> The consent object C carries the identity, authority, threshold, policy, temporal, and lifecycle conditions together, so that their relationship is verifiable. Table 4 in Section 2.6 positions the proposed framework relative to these requirements.</w:t>
      </w:r>
      <w:r>
        <w:rPr>
          <w:rFonts w:ascii="Times New Roman" w:cs="Times New Roman" w:eastAsia="Times New Roman" w:hAnsi="Times New Roman"/>
          <w:color w:val="00A000"/>
          <w:sz w:val="22"/>
          <w:szCs w:val="22"/>
        </w:rPr>
        <w:t xml:space="preserve"> The conjunction is formally specified and validated through allow-and-deny test cases and attack cases, whereas its formal verification and the remaining lifecycle extensions of RQ5 are reserved for CA3 (Sections 10 and 11).</w:t>
      </w:r>
    </w:p>
    <w:p>
      <w:pPr>
        <w:pStyle w:val="Heading2"/>
        <w:keepNext/>
        <w:spacing w:after="120" w:before="240"/>
      </w:pPr>
      <w:r>
        <w:rPr>
          <w:rFonts w:ascii="Times New Roman" w:cs="Times New Roman" w:eastAsia="Times New Roman" w:hAnsi="Times New Roman"/>
          <w:b/>
          <w:bCs/>
          <w:sz w:val="26"/>
          <w:szCs w:val="26"/>
        </w:rPr>
        <w:t xml:space="preserve">2.5  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w:t>
      </w:r>
      <w:r>
        <w:rPr>
          <w:rFonts w:ascii="Times New Roman" w:cs="Times New Roman" w:eastAsia="Times New Roman" w:hAnsi="Times New Roman"/>
          <w:color w:val="00A000"/>
          <w:sz w:val="22"/>
          <w:szCs w:val="22"/>
        </w:rPr>
        <w:t xml:space="preserve"> Across the corpus, Req 3 is the least satisfied requirement, while for Req 6, formal assurance is provided by 4 studies, argued informally by 9, and absent in 12.</w:t>
      </w:r>
      <w:r>
        <w:rPr>
          <w:rFonts w:ascii="Times New Roman" w:cs="Times New Roman" w:eastAsia="Times New Roman" w:hAnsi="Times New Roman"/>
          <w:color w:val="00A000"/>
          <w:sz w:val="22"/>
          <w:szCs w:val="22"/>
        </w:rPr>
        <w:t xml:space="preserve"> These proportions match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color w:val="00A000"/>
          <w:sz w:val="22"/>
          <w:szCs w:val="22"/>
        </w:rPr>
        <w:t xml:space="preserve">The review corrects one framing.</w:t>
      </w:r>
      <w:r>
        <w:rPr>
          <w:rFonts w:ascii="Times New Roman" w:cs="Times New Roman" w:eastAsia="Times New Roman" w:hAnsi="Times New Roman"/>
          <w:color w:val="00A000"/>
          <w:sz w:val="22"/>
          <w:szCs w:val="22"/>
        </w:rPr>
        <w:t xml:space="preserve"> Read on their own, the background surveys cited in Sections 1 and 2 suggest that multi-party authorisation of patient consent does not exist, although the full-text coding shows it in six forms.</w:t>
      </w:r>
      <w:r>
        <w:rPr>
          <w:rFonts w:ascii="Times New Roman" w:cs="Times New Roman" w:eastAsia="Times New Roman" w:hAnsi="Times New Roman"/>
          <w:color w:val="00A000"/>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w:t>
      </w:r>
      <w:r>
        <w:rPr>
          <w:rFonts w:ascii="Times New Roman" w:cs="Times New Roman" w:eastAsia="Times New Roman" w:hAnsi="Times New Roman"/>
          <w:sz w:val="22"/>
          <w:szCs w:val="22"/>
        </w:rPr>
        <w:t xml:space="preserve"> Existing literature provides useful foundations for collaborative governance and multi-party verification.</w:t>
      </w:r>
      <w:r>
        <w:rPr>
          <w:rFonts w:ascii="Times New Roman" w:cs="Times New Roman" w:eastAsia="Times New Roman" w:hAnsi="Times New Roman"/>
          <w:sz w:val="22"/>
          <w:szCs w:val="22"/>
        </w:rPr>
        <w:t xml:space="preserve"> The gap is therefore not the absence of technologies for recording consent, verifying identity, or restricting data access.</w:t>
      </w:r>
      <w:r>
        <w:rPr>
          <w:rFonts w:ascii="Times New Roman" w:cs="Times New Roman" w:eastAsia="Times New Roman" w:hAnsi="Times New Roman"/>
          <w:sz w:val="22"/>
          <w:szCs w:val="22"/>
        </w:rPr>
        <w:t xml:space="preserve">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color w:val="00A000"/>
          <w:sz w:val="22"/>
          <w:szCs w:val="22"/>
        </w:rPr>
        <w:t xml:space="preserve">The review establishes two gaps.</w:t>
      </w:r>
      <w:r>
        <w:rPr>
          <w:rFonts w:ascii="Times New Roman" w:cs="Times New Roman" w:eastAsia="Times New Roman" w:hAnsi="Times New Roman"/>
          <w:color w:val="00A000"/>
          <w:sz w:val="22"/>
          <w:szCs w:val="22"/>
        </w:rPr>
        <w:t xml:space="preserve"> The first is a </w:t>
      </w:r>
      <w:r>
        <w:rPr>
          <w:rFonts w:ascii="Times New Roman" w:cs="Times New Roman" w:eastAsia="Times New Roman" w:hAnsi="Times New Roman"/>
          <w:b/>
          <w:bCs/>
          <w:color w:val="00A000"/>
          <w:sz w:val="22"/>
          <w:szCs w:val="22"/>
        </w:rPr>
        <w:t xml:space="preserve">conjunction gap</w:t>
      </w:r>
      <w:r>
        <w:rPr>
          <w:rFonts w:ascii="Times New Roman" w:cs="Times New Roman" w:eastAsia="Times New Roman" w:hAnsi="Times New Roman"/>
          <w:color w:val="00A000"/>
          <w:sz w:val="22"/>
          <w:szCs w:val="22"/>
        </w:rPr>
        <w:t xml:space="preserve">, since no study conjoins identity, authority, threshold, policy, temporal, jurisdictional, and lifecycle conditions in one decision predicate in which multi-party approval is a standing condition and the patient defines the approving set.</w:t>
      </w:r>
      <w:r>
        <w:rPr>
          <w:rFonts w:ascii="Times New Roman" w:cs="Times New Roman" w:eastAsia="Times New Roman" w:hAnsi="Times New Roman"/>
          <w:color w:val="00A000"/>
          <w:sz w:val="22"/>
          <w:szCs w:val="22"/>
        </w:rPr>
        <w:t xml:space="preserve"> The second is an </w:t>
      </w:r>
      <w:r>
        <w:rPr>
          <w:rFonts w:ascii="Times New Roman" w:cs="Times New Roman" w:eastAsia="Times New Roman" w:hAnsi="Times New Roman"/>
          <w:b/>
          <w:bCs/>
          <w:color w:val="00A000"/>
          <w:sz w:val="22"/>
          <w:szCs w:val="22"/>
        </w:rPr>
        <w:t xml:space="preserve">assurance gap</w:t>
      </w:r>
      <w:r>
        <w:rPr>
          <w:rFonts w:ascii="Times New Roman" w:cs="Times New Roman" w:eastAsia="Times New Roman" w:hAnsi="Times New Roman"/>
          <w:color w:val="00A000"/>
          <w:sz w:val="22"/>
          <w:szCs w:val="22"/>
        </w:rPr>
        <w:t xml:space="preserve">, since co-existing conditions are neither proved nor tested as an authorisation decision, and any proof covers only a fragment of the predicate.</w:t>
      </w:r>
      <w:r>
        <w:rPr>
          <w:rFonts w:ascii="Times New Roman" w:cs="Times New Roman" w:eastAsia="Times New Roman" w:hAnsi="Times New Roman"/>
          <w:sz w:val="22"/>
          <w:szCs w:val="22"/>
        </w:rPr>
        <w:t xml:space="preserve"> As shown in Figure 2, the proposed research addresses both gaps by developing a trusted multi-party consent governance framework in which consent is represented as an evaluable authorisation object.</w:t>
      </w:r>
      <w:r>
        <w:rPr>
          <w:rFonts w:ascii="Times New Roman" w:cs="Times New Roman" w:eastAsia="Times New Roman" w:hAnsi="Times New Roman"/>
          <w:color w:val="00A000"/>
          <w:sz w:val="22"/>
          <w:szCs w:val="22"/>
        </w:rPr>
        <w:t xml:space="preserve">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5715000" cy="2838450"/>
            <wp:effectExtent t="0" r="0" b="0" l="0"/>
            <wp:docPr id="1" name="F5.png" descr="Synthesis of the review: the conjunction gap and the assurance gap addressed by the proposed framework, with the number of the 25 analysed studies ⟦r⟧graded Yes for each requirement in {T9}⟦/r⟧" title="Synthesis of the review: the conjunction gap and the assurance gap addressed by the proposed framework, with the number of the 25 analysed studies ⟦r⟧graded Yes for each requirement in {T9}⟦/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384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3</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color w:val="00A000"/>
          <w:sz w:val="22"/>
          <w:szCs w:val="22"/>
        </w:rPr>
        <w:t xml:space="preserve">The review has limitations.</w:t>
      </w:r>
      <w:r>
        <w:rPr>
          <w:rFonts w:ascii="Times New Roman" w:cs="Times New Roman" w:eastAsia="Times New Roman" w:hAnsi="Times New Roman"/>
          <w:color w:val="00A000"/>
          <w:sz w:val="22"/>
          <w:szCs w:val="22"/>
        </w:rPr>
        <w:t xml:space="preserve"> A further 588 records, mostly from SpringerLink, could not be screened at the abstract stage because the export contained no abstracts.</w:t>
      </w:r>
      <w:r>
        <w:rPr>
          <w:rFonts w:ascii="Times New Roman" w:cs="Times New Roman" w:eastAsia="Times New Roman" w:hAnsi="Times New Roman"/>
          <w:color w:val="00A000"/>
          <w:sz w:val="22"/>
          <w:szCs w:val="22"/>
        </w:rPr>
        <w:t xml:space="preserve"> The saturation rule and a single coding panel mean that a small number of relevant studies may have been missed.</w:t>
      </w:r>
      <w:r>
        <w:rPr>
          <w:rFonts w:ascii="Times New Roman" w:cs="Times New Roman" w:eastAsia="Times New Roman" w:hAnsi="Times New Roman"/>
          <w:color w:val="00A000"/>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w:t>
      </w:r>
      <w:r>
        <w:rPr>
          <w:rFonts w:ascii="Times New Roman" w:cs="Times New Roman" w:eastAsia="Times New Roman" w:hAnsi="Times New Roman"/>
          <w:color w:val="00A000"/>
          <w:sz w:val="22"/>
          <w:szCs w:val="22"/>
        </w:rPr>
        <w:t xml:space="preserve"> The resulting research direction places Trust Computing at the centre of the investigation, while treating blockchain, decentralised identity, verifiable credentials, and policy mechanisms as enabling technologies supporting the broader trust model. Table 4 summarises how the proposed framework, implemented in the HALAH prototype, addresses each requirement, the research objective that delivers it, and its current status.</w:t>
      </w:r>
      <w:r>
        <w:rPr>
          <w:rFonts w:ascii="Times New Roman" w:cs="Times New Roman" w:eastAsia="Times New Roman" w:hAnsi="Times New Roman"/>
          <w:color w:val="00A000"/>
          <w:sz w:val="22"/>
          <w:szCs w:val="22"/>
        </w:rPr>
        <w:t xml:space="preserve"> A requirement with the status Done is addressed and validated at the current stage, whereas a requirement that is partially completed will be completed in CA3.</w:t>
      </w:r>
    </w:p>
    <w:p>
      <w:pPr>
        <w:keepNext/>
        <w:spacing w:after="80" w:before="200"/>
        <w:jc w:val="center"/>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DID and VC verification separates identity from authority and is expressed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The prototype checks the DID format, and full DID resolution and VC validation are planned for CA3.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N-of-N approval by the guardian set G with EIP-712 guardian signatures,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through Algorithm 4, together with the jurisdiction condition V</w:t>
            </w:r>
            <w:r>
              <w:rPr>
                <w:rFonts w:ascii="Times New Roman" w:cs="Times New Roman" w:eastAsia="Times New Roman" w:hAnsi="Times New Roman"/>
                <w:b w:val="false"/>
                <w:bCs w:val="false"/>
                <w:sz w:val="17"/>
                <w:szCs w:val="17"/>
                <w:vertAlign w:val="subscript"/>
              </w:rPr>
              <w:t xml:space="preserve">L</w:t>
            </w:r>
            <w:r>
              <w:rPr>
                <w:rFonts w:ascii="Times New Roman" w:cs="Times New Roman" w:eastAsia="Times New Roman" w:hAnsi="Times New Roman"/>
                <w:b w:val="false"/>
                <w:bCs w:val="false"/>
                <w:sz w:val="17"/>
                <w:szCs w:val="17"/>
              </w:rPr>
              <w:t xml:space="preserve">(C, R).</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The lifecycle transition check is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Audit ledger evidence, 36 automated tests, and twelve unit-level attack scenarios. Formal analysis is reserved for CA3.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Research Gap</w:t>
      </w:r>
    </w:p>
    <w:p>
      <w:pPr>
        <w:spacing w:after="110" w:line="264"/>
        <w:jc w:val="both"/>
      </w:pPr>
      <w:r>
        <w:rPr>
          <w:rFonts w:ascii="Times New Roman" w:cs="Times New Roman" w:eastAsia="Times New Roman" w:hAnsi="Times New Roman"/>
          <w:sz w:val="22"/>
          <w:szCs w:val="22"/>
        </w:rPr>
        <w:t xml:space="preserve">The systematic literature review indicates that substantial research has been conducted on individual mechanisms for securing healthcare data sharing.</w:t>
      </w:r>
      <w:r>
        <w:rPr>
          <w:rFonts w:ascii="Times New Roman" w:cs="Times New Roman" w:eastAsia="Times New Roman" w:hAnsi="Times New Roman"/>
          <w:sz w:val="22"/>
          <w:szCs w:val="22"/>
        </w:rPr>
        <w:t xml:space="preserve"> However, the literature also reveals a significant conceptual and architectural fragmentation among these mechanisms.</w:t>
      </w:r>
      <w:r>
        <w:rPr>
          <w:rFonts w:ascii="Times New Roman" w:cs="Times New Roman" w:eastAsia="Times New Roman" w:hAnsi="Times New Roman"/>
          <w:sz w:val="22"/>
          <w:szCs w:val="22"/>
        </w:rPr>
        <w:t xml:space="preserve"> They are commonly investigated as independent technical solutions rather than as coordinated components of a unified trust-oriented authorisation model.</w:t>
      </w:r>
      <w:r>
        <w:rPr>
          <w:rFonts w:ascii="Times New Roman" w:cs="Times New Roman" w:eastAsia="Times New Roman" w:hAnsi="Times New Roman"/>
          <w:color w:val="00A000"/>
          <w:sz w:val="22"/>
          <w:szCs w:val="22"/>
        </w:rPr>
        <w:t xml:space="preserve"> The few studies that coordinate several of them in one decision [21, 25, 29, 32, 66] do not make multi-party approval a standing condition of that decision, and they do not assure the conjunction formally or empirically.</w:t>
      </w:r>
    </w:p>
    <w:p>
      <w:pPr>
        <w:spacing w:after="110" w:line="264"/>
        <w:jc w:val="both"/>
      </w:pPr>
      <w:r>
        <w:rPr>
          <w:rFonts w:ascii="Times New Roman" w:cs="Times New Roman" w:eastAsia="Times New Roman" w:hAnsi="Times New Roman"/>
          <w:sz w:val="22"/>
          <w:szCs w:val="22"/>
        </w:rPr>
        <w:t xml:space="preserve">The central gap is therefore not the absence of technologies for recording consent, verifying identity, or restricting data access.</w:t>
      </w:r>
      <w:r>
        <w:rPr>
          <w:rFonts w:ascii="Times New Roman" w:cs="Times New Roman" w:eastAsia="Times New Roman" w:hAnsi="Times New Roman"/>
          <w:sz w:val="22"/>
          <w:szCs w:val="22"/>
        </w:rPr>
        <w:t xml:space="preserve"> Rather, it is the absence of a sufficiently integrated model explaining how these mechanisms collectively establish a trustworthy authorisation decision.</w:t>
      </w:r>
      <w:r>
        <w:rPr>
          <w:rFonts w:ascii="Times New Roman" w:cs="Times New Roman" w:eastAsia="Times New Roman" w:hAnsi="Times New Roman"/>
          <w:sz w:val="22"/>
          <w:szCs w:val="22"/>
        </w:rPr>
        <w:t xml:space="preserve"> Existing consent-oriented approaches tend to treat consent primarily as a record of a patient’s permission [62, 63, 67].</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w:t>
      </w:r>
      <w:r>
        <w:rPr>
          <w:rFonts w:ascii="Times New Roman" w:cs="Times New Roman" w:eastAsia="Times New Roman" w:hAnsi="Times New Roman"/>
          <w:color w:val="00A000"/>
          <w:sz w:val="22"/>
          <w:szCs w:val="22"/>
        </w:rPr>
        <w:t xml:space="preserve"> Even the evaluable consent objects reported since 2020 [21, 24, 28, 48, 66] carry only a subset of the conditions and are issued by a single party.</w:t>
      </w:r>
      <w:r>
        <w:rPr>
          <w:rFonts w:ascii="Times New Roman" w:cs="Times New Roman" w:eastAsia="Times New Roman" w:hAnsi="Times New Roman"/>
          <w:sz w:val="22"/>
          <w:szCs w:val="22"/>
        </w:rPr>
        <w:t xml:space="preserve">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represent fundamentally different security problems.</w:t>
      </w:r>
      <w:r>
        <w:rPr>
          <w:rFonts w:ascii="Times New Roman" w:cs="Times New Roman" w:eastAsia="Times New Roman" w:hAnsi="Times New Roman"/>
          <w:sz w:val="22"/>
          <w:szCs w:val="22"/>
        </w:rPr>
        <w:t xml:space="preserve"> A blockchain may provide an immutable representation of a consent event [10, 18], but immutability does not establish the legitimacy of the entities involved in that event.</w:t>
      </w:r>
      <w:r>
        <w:rPr>
          <w:rFonts w:ascii="Times New Roman" w:cs="Times New Roman" w:eastAsia="Times New Roman" w:hAnsi="Times New Roman"/>
          <w:sz w:val="22"/>
          <w:szCs w:val="22"/>
        </w:rPr>
        <w:t xml:space="preserve"> Similarly, a valid decentralised identity can establish who a participant is [16], but it does not necessarily establish what that participant is authorised to do.</w:t>
      </w:r>
      <w:r>
        <w:rPr>
          <w:rFonts w:ascii="Times New Roman" w:cs="Times New Roman" w:eastAsia="Times New Roman" w:hAnsi="Times New Roman"/>
          <w:sz w:val="22"/>
          <w:szCs w:val="22"/>
        </w:rPr>
        <w:t xml:space="preserve"> Multi-party approval can strengthen collective decision-making, but approval alone does not guarantee that the resulting access request conforms to the patient’s authorised purpose or data scope.</w:t>
      </w:r>
      <w:r>
        <w:rPr>
          <w:rFonts w:ascii="Times New Roman" w:cs="Times New Roman" w:eastAsia="Times New Roman" w:hAnsi="Times New Roman"/>
          <w:color w:val="00A000"/>
          <w:sz w:val="22"/>
          <w:szCs w:val="22"/>
        </w:rPr>
        <w:t xml:space="preserve"> In the reviewed studies, multi-party approval is never conjoined with a purpose or data-scope condition [23, 25, 26].</w:t>
      </w:r>
      <w:r>
        <w:rPr>
          <w:rFonts w:ascii="Times New Roman" w:cs="Times New Roman" w:eastAsia="Times New Roman" w:hAnsi="Times New Roman"/>
          <w:sz w:val="22"/>
          <w:szCs w:val="22"/>
        </w:rPr>
        <w:t xml:space="preserve"> Consequently, trust cannot be attributed to any individual mechanism in isolation.</w:t>
      </w:r>
      <w:r>
        <w:rPr>
          <w:rFonts w:ascii="Times New Roman" w:cs="Times New Roman" w:eastAsia="Times New Roman" w:hAnsi="Times New Roman"/>
          <w:sz w:val="22"/>
          <w:szCs w:val="22"/>
        </w:rPr>
        <w:t xml:space="preserve"> From a Trust Computing perspective, trustworthy access should be understood as an outcome of the coordinated satisfaction of multiple independently verifiable conditions.</w:t>
      </w:r>
      <w:r>
        <w:rPr>
          <w:rFonts w:ascii="Times New Roman" w:cs="Times New Roman" w:eastAsia="Times New Roman" w:hAnsi="Times New Roman"/>
          <w:sz w:val="22"/>
          <w:szCs w:val="22"/>
        </w:rPr>
        <w:t xml:space="preserve"> The research therefore conceptualises trust not as a static attribute possessed by a particular entity or technology, but as an emergent property of a verifiable authorisation process.</w:t>
      </w:r>
    </w:p>
    <w:p>
      <w:pPr>
        <w:spacing w:after="110" w:line="264"/>
        <w:jc w:val="both"/>
      </w:pPr>
      <w:r>
        <w:rPr>
          <w:rFonts w:ascii="Times New Roman" w:cs="Times New Roman" w:eastAsia="Times New Roman" w:hAnsi="Times New Roman"/>
          <w:sz w:val="22"/>
          <w:szCs w:val="22"/>
        </w:rPr>
        <w:t xml:space="preserve">Existing healthcare consent and access-control research provides many of the necessary technological building blocks, but there remains a need for an integrated Trust Computing framework that treats patient consent as a security-bearing and evaluable authorisation object.</w:t>
      </w:r>
      <w:r>
        <w:rPr>
          <w:rFonts w:ascii="Times New Roman" w:cs="Times New Roman" w:eastAsia="Times New Roman" w:hAnsi="Times New Roman"/>
          <w:sz w:val="22"/>
          <w:szCs w:val="22"/>
        </w:rPr>
        <w:t xml:space="preserve"> Such a framework should be capable of representing the relevant trust conditions, verifying the participating entities and their authority, establishing collective authorisation, and enforcing the policy and data-scope constraints associated with the consent.</w:t>
      </w:r>
      <w:r>
        <w:rPr>
          <w:rFonts w:ascii="Times New Roman" w:cs="Times New Roman" w:eastAsia="Times New Roman" w:hAnsi="Times New Roman"/>
          <w:color w:val="00A000"/>
          <w:sz w:val="22"/>
          <w:szCs w:val="22"/>
        </w:rPr>
        <w:t xml:space="preserve"> In this framework, the consent object carries identity, authority, threshold, policy, temporal, jurisdictional, and lifecycle conditions, multi-party approval must be a standing condition of every access decision, and the conjunction of these conditions must be formally and empirically assured.</w:t>
      </w:r>
      <w:r>
        <w:rPr>
          <w:rFonts w:ascii="Times New Roman" w:cs="Times New Roman" w:eastAsia="Times New Roman" w:hAnsi="Times New Roman"/>
          <w:color w:val="00A000"/>
          <w:sz w:val="22"/>
          <w:szCs w:val="22"/>
        </w:rPr>
        <w:t xml:space="preserve"> These two requirements correspond to the </w:t>
      </w:r>
      <w:r>
        <w:rPr>
          <w:rFonts w:ascii="Times New Roman" w:cs="Times New Roman" w:eastAsia="Times New Roman" w:hAnsi="Times New Roman"/>
          <w:b/>
          <w:bCs/>
          <w:color w:val="00A000"/>
          <w:sz w:val="22"/>
          <w:szCs w:val="22"/>
        </w:rPr>
        <w:t xml:space="preserve">conjunction gap</w:t>
      </w:r>
      <w:r>
        <w:rPr>
          <w:rFonts w:ascii="Times New Roman" w:cs="Times New Roman" w:eastAsia="Times New Roman" w:hAnsi="Times New Roman"/>
          <w:color w:val="00A000"/>
          <w:sz w:val="22"/>
          <w:szCs w:val="22"/>
        </w:rPr>
        <w:t xml:space="preserve"> and the </w:t>
      </w:r>
      <w:r>
        <w:rPr>
          <w:rFonts w:ascii="Times New Roman" w:cs="Times New Roman" w:eastAsia="Times New Roman" w:hAnsi="Times New Roman"/>
          <w:b/>
          <w:bCs/>
          <w:color w:val="00A000"/>
          <w:sz w:val="22"/>
          <w:szCs w:val="22"/>
        </w:rPr>
        <w:t xml:space="preserve">assurance gap</w:t>
      </w:r>
      <w:r>
        <w:rPr>
          <w:rFonts w:ascii="Times New Roman" w:cs="Times New Roman" w:eastAsia="Times New Roman" w:hAnsi="Times New Roman"/>
          <w:color w:val="00A000"/>
          <w:sz w:val="22"/>
          <w:szCs w:val="22"/>
        </w:rPr>
        <w:t xml:space="preserve"> identified in Section 2.</w:t>
      </w:r>
      <w:r>
        <w:rPr>
          <w:rFonts w:ascii="Times New Roman" w:cs="Times New Roman" w:eastAsia="Times New Roman" w:hAnsi="Times New Roman"/>
          <w:color w:val="00A000"/>
          <w:sz w:val="22"/>
          <w:szCs w:val="22"/>
        </w:rPr>
        <w:t xml:space="preserve"> The approving set must be defined by the patient rather than by an institution, whereas in the reviewed studies, the approving set is either defined on the institutional or delegate side [25, 53, 61], or appointed by the patient [26, 54] but evaluated only as a contingency path or as a key-custody threshold.</w:t>
      </w:r>
    </w:p>
    <w:p>
      <w:pPr>
        <w:spacing w:after="110" w:line="264"/>
        <w:jc w:val="both"/>
      </w:pPr>
      <w:r>
        <w:rPr>
          <w:rFonts w:ascii="Times New Roman" w:cs="Times New Roman" w:eastAsia="Times New Roman" w:hAnsi="Times New Roman"/>
          <w:color w:val="00A000"/>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Gap 1 (consent representation).</w:t>
      </w:r>
      <w:r>
        <w:rPr>
          <w:rFonts w:ascii="Times New Roman" w:cs="Times New Roman" w:eastAsia="Times New Roman" w:hAnsi="Times New Roman"/>
          <w:color w:val="00A000"/>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and authority is rarely verified separately from authentication.</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Gap 3 (multi-party authorisation).</w:t>
      </w:r>
      <w:r>
        <w:rPr>
          <w:rFonts w:ascii="Times New Roman" w:cs="Times New Roman" w:eastAsia="Times New Roman" w:hAnsi="Times New Roman"/>
          <w:color w:val="00A000"/>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Gap 4 (policy and context).</w:t>
      </w:r>
      <w:r>
        <w:rPr>
          <w:rFonts w:ascii="Times New Roman" w:cs="Times New Roman" w:eastAsia="Times New Roman" w:hAnsi="Times New Roman"/>
          <w:color w:val="00A000"/>
          <w:sz w:val="22"/>
          <w:szCs w:val="22"/>
        </w:rPr>
        <w:t xml:space="preserve"> Purpose, data-scope, and jurisdictional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Gap 5 (temporal and lifecycle trust).</w:t>
      </w:r>
      <w:r>
        <w:rPr>
          <w:rFonts w:ascii="Times New Roman" w:cs="Times New Roman" w:eastAsia="Times New Roman" w:hAnsi="Times New Roman"/>
          <w:color w:val="00A000"/>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Gap 6 (security assurance).</w:t>
      </w:r>
      <w:r>
        <w:rPr>
          <w:rFonts w:ascii="Times New Roman" w:cs="Times New Roman" w:eastAsia="Times New Roman" w:hAnsi="Times New Roman"/>
          <w:color w:val="00A000"/>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color w:val="00A000"/>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w:t>
      </w:r>
      <w:r>
        <w:rPr>
          <w:rFonts w:ascii="Times New Roman" w:cs="Times New Roman" w:eastAsia="Times New Roman" w:hAnsi="Times New Roman"/>
          <w:color w:val="00A000"/>
          <w:sz w:val="22"/>
          <w:szCs w:val="22"/>
        </w:rPr>
        <w:t xml:space="preserve"> The guardian set G is the set of designated participants whose independent approval is required.</w:t>
      </w:r>
      <w:r>
        <w:rPr>
          <w:rFonts w:ascii="Times New Roman" w:cs="Times New Roman" w:eastAsia="Times New Roman" w:hAnsi="Times New Roman"/>
          <w:sz w:val="22"/>
          <w:szCs w:val="22"/>
        </w:rPr>
        <w:t xml:space="preserve"> Each guardian is checked to determine whether the individual or entity possesses the required authority to participate in consent-related decisions.</w:t>
      </w:r>
      <w:r>
        <w:rPr>
          <w:rFonts w:ascii="Times New Roman" w:cs="Times New Roman" w:eastAsia="Times New Roman" w:hAnsi="Times New Roman"/>
          <w:color w:val="00A000"/>
          <w:sz w:val="22"/>
          <w:szCs w:val="22"/>
        </w:rPr>
        <w:t xml:space="preserve"> The threshold N is the number of valid guardian approvals needed for activation.</w:t>
      </w:r>
      <w:r>
        <w:rPr>
          <w:rFonts w:ascii="Times New Roman" w:cs="Times New Roman" w:eastAsia="Times New Roman" w:hAnsi="Times New Roman"/>
          <w:sz w:val="22"/>
          <w:szCs w:val="22"/>
        </w:rPr>
        <w:t xml:space="preserve"> If the number of valid approvals is below the required threshold N, the consent cannot produce an effective authorisation decision.</w:t>
      </w:r>
      <w:r>
        <w:rPr>
          <w:rFonts w:ascii="Times New Roman" w:cs="Times New Roman" w:eastAsia="Times New Roman" w:hAnsi="Times New Roman"/>
          <w:color w:val="00A000"/>
          <w:sz w:val="22"/>
          <w:szCs w:val="22"/>
        </w:rPr>
        <w:t xml:space="preserve">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w:t>
      </w:r>
      <w:r>
        <w:rPr>
          <w:rFonts w:ascii="Times New Roman" w:cs="Times New Roman" w:eastAsia="Times New Roman" w:hAnsi="Times New Roman"/>
          <w:sz w:val="22"/>
          <w:szCs w:val="22"/>
        </w:rPr>
        <w:t xml:space="preserve"> The terms establish and enforce represent two complementary aspects of the research problem.</w:t>
      </w:r>
      <w:r>
        <w:rPr>
          <w:rFonts w:ascii="Times New Roman" w:cs="Times New Roman" w:eastAsia="Times New Roman" w:hAnsi="Times New Roman"/>
          <w:sz w:val="22"/>
          <w:szCs w:val="22"/>
        </w:rPr>
        <w:t xml:space="preserve"> Establishment concerns how trustworthy participants, authority relationships, and collective consent decisions are created.</w:t>
      </w:r>
      <w:r>
        <w:rPr>
          <w:rFonts w:ascii="Times New Roman" w:cs="Times New Roman" w:eastAsia="Times New Roman" w:hAnsi="Times New Roman"/>
          <w:sz w:val="22"/>
          <w:szCs w:val="22"/>
        </w:rPr>
        <w:t xml:space="preserve">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w:t>
      </w:r>
      <w:r>
        <w:rPr>
          <w:rFonts w:ascii="Times New Roman" w:cs="Times New Roman" w:eastAsia="Times New Roman" w:hAnsi="Times New Roman"/>
          <w:sz w:val="22"/>
          <w:szCs w:val="22"/>
        </w:rPr>
        <w:t xml:space="preserve"> Each sub-research question addresses a distinct dimension of the proposed trust-oriented healthcare authorisation framework.</w:t>
      </w:r>
      <w:r>
        <w:rPr>
          <w:rFonts w:ascii="Times New Roman" w:cs="Times New Roman" w:eastAsia="Times New Roman" w:hAnsi="Times New Roman"/>
          <w:sz w:val="22"/>
          <w:szCs w:val="22"/>
        </w:rPr>
        <w:t xml:space="preserve"> The six questions collectively establish a progression from consent modelling to formal security assurance and empirical validation.</w:t>
      </w:r>
      <w:r>
        <w:rPr>
          <w:rFonts w:ascii="Times New Roman" w:cs="Times New Roman" w:eastAsia="Times New Roman" w:hAnsi="Times New Roman"/>
          <w:color w:val="00A000"/>
          <w:sz w:val="22"/>
          <w:szCs w:val="22"/>
        </w:rPr>
        <w:t xml:space="preserve"> For brevity, SRQ1 to SRQ6 are referred to as RQ1 to RQ6 in the remaining sections.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(1), where I represents identity information, A represents authority and authorisation requirements, P represents policy and data-scope constraints, and E represents authorisation evidence.</w:t>
      </w:r>
      <w:r>
        <w:rPr>
          <w:rFonts w:ascii="Times New Roman" w:cs="Times New Roman" w:eastAsia="Times New Roman" w:hAnsi="Times New Roman"/>
          <w:color w:val="00A000"/>
          <w:sz w:val="22"/>
          <w:szCs w:val="22"/>
        </w:rPr>
        <w:t xml:space="preserve"> Within A, the guardian set G and the threshold N define the required approvals, T is the temporal validity window, L is the jurisdictional constraint, and E also records whether the consent remains active or has been revoked.</w:t>
      </w:r>
      <w:r>
        <w:rPr>
          <w:rFonts w:ascii="Times New Roman" w:cs="Times New Roman" w:eastAsia="Times New Roman" w:hAnsi="Times New Roman"/>
          <w:sz w:val="22"/>
          <w:szCs w:val="22"/>
        </w:rPr>
        <w:t xml:space="preserve">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(1)</w:t>
      </w:r>
    </w:p>
    <w:p>
      <w:pPr>
        <w:pStyle w:val="Heading2"/>
        <w:keepNext/>
        <w:spacing w:after="120" w:before="240"/>
      </w:pPr>
      <w:r>
        <w:rPr>
          <w:rFonts w:ascii="Times New Roman" w:cs="Times New Roman" w:eastAsia="Times New Roman" w:hAnsi="Times New Roman"/>
          <w:b/>
          <w:bCs/>
          <w:sz w:val="26"/>
          <w:szCs w:val="26"/>
        </w:rPr>
        <w:t xml:space="preserve">3.4  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w:t>
      </w:r>
      <w:r>
        <w:rPr>
          <w:rFonts w:ascii="Times New Roman" w:cs="Times New Roman" w:eastAsia="Times New Roman" w:hAnsi="Times New Roman"/>
          <w:color w:val="00A000"/>
          <w:sz w:val="22"/>
          <w:szCs w:val="22"/>
        </w:rPr>
        <w:t xml:space="preserve"> RQ1 establishes the conceptual object.</w:t>
      </w:r>
      <w:r>
        <w:rPr>
          <w:rFonts w:ascii="Times New Roman" w:cs="Times New Roman" w:eastAsia="Times New Roman" w:hAnsi="Times New Roman"/>
          <w:sz w:val="22"/>
          <w:szCs w:val="22"/>
        </w:rPr>
        <w:t xml:space="preserve"> RQ2 establishes the trustworthiness of the participants.</w:t>
      </w:r>
      <w:r>
        <w:rPr>
          <w:rFonts w:ascii="Times New Roman" w:cs="Times New Roman" w:eastAsia="Times New Roman" w:hAnsi="Times New Roman"/>
          <w:sz w:val="22"/>
          <w:szCs w:val="22"/>
        </w:rPr>
        <w:t xml:space="preserve"> RQ3 then extends this participant-level trust into a collective decision.</w:t>
      </w:r>
      <w:r>
        <w:rPr>
          <w:rFonts w:ascii="Times New Roman" w:cs="Times New Roman" w:eastAsia="Times New Roman" w:hAnsi="Times New Roman"/>
          <w:sz w:val="22"/>
          <w:szCs w:val="22"/>
        </w:rPr>
        <w:t xml:space="preserve"> RQ4 determines whether the resulting authorisation is applicable to the specific data-access request.</w:t>
      </w:r>
      <w:r>
        <w:rPr>
          <w:rFonts w:ascii="Times New Roman" w:cs="Times New Roman" w:eastAsia="Times New Roman" w:hAnsi="Times New Roman"/>
          <w:sz w:val="22"/>
          <w:szCs w:val="22"/>
        </w:rPr>
        <w:t xml:space="preserve"> RQ5 further introduces the dynamic dimension of trust by determining whether the authorisation remains valid with respect to its temporal conditions and lifecycle state.</w:t>
      </w:r>
      <w:r>
        <w:rPr>
          <w:rFonts w:ascii="Times New Roman" w:cs="Times New Roman" w:eastAsia="Times New Roman" w:hAnsi="Times New Roman"/>
          <w:sz w:val="22"/>
          <w:szCs w:val="22"/>
        </w:rPr>
        <w:t xml:space="preserve"> Finally, RQ6 establishes the assurance layer by formally defining the resulting security properties and empirically evaluating whether the implemented framework enforces them correctly.</w:t>
      </w:r>
      <w:r>
        <w:rPr>
          <w:rFonts w:ascii="Times New Roman" w:cs="Times New Roman" w:eastAsia="Times New Roman" w:hAnsi="Times New Roman"/>
          <w:sz w:val="22"/>
          <w:szCs w:val="22"/>
        </w:rPr>
        <w:t xml:space="preserve"> The integrated authorisation condition can therefore be expressed as Equation (2).</w:t>
      </w:r>
      <w:r>
        <w:rPr>
          <w:rFonts w:ascii="Times New Roman" w:cs="Times New Roman" w:eastAsia="Times New Roman" w:hAnsi="Times New Roman"/>
          <w:color w:val="00A000"/>
          <w:sz w:val="22"/>
          <w:szCs w:val="22"/>
        </w:rPr>
        <w:t xml:space="preserve"> Here,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 represents identity and authority validity,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 collective authorisation validity, V</w:t>
      </w:r>
      <w:r>
        <w:rPr>
          <w:rFonts w:ascii="Times New Roman" w:cs="Times New Roman" w:eastAsia="Times New Roman" w:hAnsi="Times New Roman"/>
          <w:color w:val="00A000"/>
          <w:sz w:val="22"/>
          <w:szCs w:val="22"/>
          <w:vertAlign w:val="subscript"/>
        </w:rPr>
        <w:t xml:space="preserve">P</w:t>
      </w:r>
      <w:r>
        <w:rPr>
          <w:rFonts w:ascii="Times New Roman" w:cs="Times New Roman" w:eastAsia="Times New Roman" w:hAnsi="Times New Roman"/>
          <w:color w:val="00A000"/>
          <w:sz w:val="22"/>
          <w:szCs w:val="22"/>
        </w:rPr>
        <w:t xml:space="preserve"> policy and contextual compliance,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temporal validity, and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jurisdictional compliance, while the revocation and token states of the lifecycle are evaluated within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 and its time-based states within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w:t>
      </w:r>
      <w:r>
        <w:rPr>
          <w:rFonts w:ascii="Times New Roman" w:cs="Times New Roman" w:eastAsia="Times New Roman" w:hAnsi="Times New Roman"/>
          <w:sz w:val="22"/>
          <w:szCs w:val="22"/>
        </w:rPr>
        <w:t xml:space="preserve"> Consequently, failure of any individual condition results in denial.</w:t>
      </w:r>
      <w:r>
        <w:rPr>
          <w:rFonts w:ascii="Times New Roman" w:cs="Times New Roman" w:eastAsia="Times New Roman" w:hAnsi="Times New Roman"/>
          <w:color w:val="00A000"/>
          <w:sz w:val="22"/>
          <w:szCs w:val="22"/>
        </w:rPr>
        <w:t xml:space="preserve"> In the prototype, an ALLOW decision additionally requires the Groth16 ZK proof to verify, so a request that satisfies the five predicates is still denied when the proof fails, as in attack A9 (Section 11.4).</w:t>
      </w:r>
      <w:r>
        <w:rPr>
          <w:rFonts w:ascii="Times New Roman" w:cs="Times New Roman" w:eastAsia="Times New Roman" w:hAnsi="Times New Roman"/>
          <w:sz w:val="22"/>
          <w:szCs w:val="22"/>
        </w:rPr>
        <w:t xml:space="preserve"> Formal security assurance does not constitute another authorisation condition to be evaluated at runtime.</w:t>
      </w:r>
      <w:r>
        <w:rPr>
          <w:rFonts w:ascii="Times New Roman" w:cs="Times New Roman" w:eastAsia="Times New Roman" w:hAnsi="Times New Roman"/>
          <w:sz w:val="22"/>
          <w:szCs w:val="22"/>
        </w:rPr>
        <w:t xml:space="preserve"> Instead, it provides a means of specifying, analysing, and verifying the security properties of the integrated authorisation mechanism.</w:t>
      </w:r>
      <w:r>
        <w:rPr>
          <w:rFonts w:ascii="Times New Roman" w:cs="Times New Roman" w:eastAsia="Times New Roman" w:hAnsi="Times New Roman"/>
          <w:sz w:val="22"/>
          <w:szCs w:val="22"/>
        </w:rPr>
        <w:t xml:space="preserve">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translate the identified research gap into concrete research and development activities.</w:t>
      </w:r>
      <w:r>
        <w:rPr>
          <w:rFonts w:ascii="Times New Roman" w:cs="Times New Roman" w:eastAsia="Times New Roman" w:hAnsi="Times New Roman"/>
          <w:sz w:val="22"/>
          <w:szCs w:val="22"/>
        </w:rPr>
        <w:t xml:space="preserve"> Each objective represents a research contribution that can be examined conceptually, technically, and, where appropriate, empirically.</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w:t>
      </w:r>
      <w:r>
        <w:rPr>
          <w:rFonts w:ascii="Times New Roman" w:cs="Times New Roman" w:eastAsia="Times New Roman" w:hAnsi="Times New Roman"/>
          <w:sz w:val="22"/>
          <w:szCs w:val="22"/>
        </w:rPr>
        <w:t xml:space="preserve"> The model incorporates identity information, authority requirements, policy constraints, and authorisation evidence so that a consent decision can be evaluated when a subsequent data-access request is made.</w:t>
      </w:r>
      <w:r>
        <w:rPr>
          <w:rFonts w:ascii="Times New Roman" w:cs="Times New Roman" w:eastAsia="Times New Roman" w:hAnsi="Times New Roman"/>
          <w:sz w:val="22"/>
          <w:szCs w:val="22"/>
        </w:rPr>
        <w:t xml:space="preserve"> RO1 directly addresses RQ1 and establishes the conceptual foundation for the remaining objectives.</w:t>
      </w:r>
      <w:r>
        <w:rPr>
          <w:rFonts w:ascii="Times New Roman" w:cs="Times New Roman" w:eastAsia="Times New Roman" w:hAnsi="Times New Roman"/>
          <w:sz w:val="22"/>
          <w:szCs w:val="22"/>
        </w:rPr>
        <w:t xml:space="preserve">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w:t>
      </w:r>
      <w:r>
        <w:rPr>
          <w:rFonts w:ascii="Times New Roman" w:cs="Times New Roman" w:eastAsia="Times New Roman" w:hAnsi="Times New Roman"/>
          <w:sz w:val="22"/>
          <w:szCs w:val="22"/>
        </w:rPr>
        <w:t xml:space="preserve"> The objective is to establish trustworthy participants while explicitly separating identity authentication from authorisation authority.</w:t>
      </w:r>
      <w:r>
        <w:rPr>
          <w:rFonts w:ascii="Times New Roman" w:cs="Times New Roman" w:eastAsia="Times New Roman" w:hAnsi="Times New Roman"/>
          <w:sz w:val="22"/>
          <w:szCs w:val="22"/>
        </w:rPr>
        <w:t xml:space="preserve"> RO2 addresses RQ2 and provides the trust inputs required by the subsequent multi-party authorisation process.</w:t>
      </w:r>
      <w:r>
        <w:rPr>
          <w:rFonts w:ascii="Times New Roman" w:cs="Times New Roman" w:eastAsia="Times New Roman" w:hAnsi="Times New Roman"/>
          <w:sz w:val="22"/>
          <w:szCs w:val="22"/>
        </w:rPr>
        <w:t xml:space="preserve">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w:t>
      </w:r>
      <w:r>
        <w:rPr>
          <w:rFonts w:ascii="Times New Roman" w:cs="Times New Roman" w:eastAsia="Times New Roman" w:hAnsi="Times New Roman"/>
          <w:sz w:val="22"/>
          <w:szCs w:val="22"/>
        </w:rPr>
        <w:t xml:space="preserve"> The objective is to prevent unilateral authorisation where collective approval is required.</w:t>
      </w:r>
      <w:r>
        <w:rPr>
          <w:rFonts w:ascii="Times New Roman" w:cs="Times New Roman" w:eastAsia="Times New Roman" w:hAnsi="Times New Roman"/>
          <w:sz w:val="22"/>
          <w:szCs w:val="22"/>
        </w:rPr>
        <w:t xml:space="preserve"> The guardian set G, fixed at consent creation, defines which participants are eligible to contribute an approval to the authorisation process.</w:t>
      </w:r>
      <w:r>
        <w:rPr>
          <w:rFonts w:ascii="Times New Roman" w:cs="Times New Roman" w:eastAsia="Times New Roman" w:hAnsi="Times New Roman"/>
          <w:sz w:val="22"/>
          <w:szCs w:val="22"/>
        </w:rPr>
        <w:t xml:space="preserve"> Each participant must submit an approval that can be independently verified through EIP-712 signature recovery.</w:t>
      </w:r>
      <w:r>
        <w:rPr>
          <w:rFonts w:ascii="Times New Roman" w:cs="Times New Roman" w:eastAsia="Times New Roman" w:hAnsi="Times New Roman"/>
          <w:sz w:val="22"/>
          <w:szCs w:val="22"/>
        </w:rPr>
        <w:t xml:space="preserve"> Invalid approvals are rejected and must not contribute to the threshold count.</w:t>
      </w:r>
      <w:r>
        <w:rPr>
          <w:rFonts w:ascii="Times New Roman" w:cs="Times New Roman" w:eastAsia="Times New Roman" w:hAnsi="Times New Roman"/>
          <w:color w:val="00A000"/>
          <w:sz w:val="22"/>
          <w:szCs w:val="22"/>
        </w:rPr>
        <w:t xml:space="preserve"> A valid signature is required from every listed guardian, so the threshold equals |G|, an N-of-N condition demonstrated in the 2-of-2 configuration.</w:t>
      </w:r>
      <w:r>
        <w:rPr>
          <w:rFonts w:ascii="Times New Roman" w:cs="Times New Roman" w:eastAsia="Times New Roman" w:hAnsi="Times New Roman"/>
          <w:sz w:val="22"/>
          <w:szCs w:val="22"/>
        </w:rPr>
        <w:t xml:space="preserve"> In this case, one valid approval is insufficient, whereas two valid approvals satisfy the threshold.</w:t>
      </w:r>
      <w:r>
        <w:rPr>
          <w:rFonts w:ascii="Times New Roman" w:cs="Times New Roman" w:eastAsia="Times New Roman" w:hAnsi="Times New Roman"/>
          <w:sz w:val="22"/>
          <w:szCs w:val="22"/>
        </w:rPr>
        <w:t xml:space="preserve">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w:t>
      </w:r>
      <w:r>
        <w:rPr>
          <w:rFonts w:ascii="Times New Roman" w:cs="Times New Roman" w:eastAsia="Times New Roman" w:hAnsi="Times New Roman"/>
          <w:sz w:val="22"/>
          <w:szCs w:val="22"/>
        </w:rPr>
        <w:t xml:space="preserve"> The objective is to ensure that a valid identity and sufficient multi-party approval cannot be used to obtain healthcare information outside the authorised scope.</w:t>
      </w:r>
      <w:r>
        <w:rPr>
          <w:rFonts w:ascii="Times New Roman" w:cs="Times New Roman" w:eastAsia="Times New Roman" w:hAnsi="Times New Roman"/>
          <w:sz w:val="22"/>
          <w:szCs w:val="22"/>
        </w:rPr>
        <w:t xml:space="preserve"> A request is permitted only when the purpose is compatible with the consent and the requested data scope is a non-empty subset of the authorised EMR modules.</w:t>
      </w:r>
      <w:r>
        <w:rPr>
          <w:rFonts w:ascii="Times New Roman" w:cs="Times New Roman" w:eastAsia="Times New Roman" w:hAnsi="Times New Roman"/>
          <w:color w:val="00A000"/>
          <w:sz w:val="22"/>
          <w:szCs w:val="22"/>
        </w:rPr>
        <w:t xml:space="preserve"> In the current prototype, the request purpose is taken from the consent, so the purpose check confirms that the consent purpose is a supported healthcare use, while the comparison with a separately declared request purpose is left to the next stage.</w:t>
      </w:r>
      <w:r>
        <w:rPr>
          <w:rFonts w:ascii="Times New Roman" w:cs="Times New Roman" w:eastAsia="Times New Roman" w:hAnsi="Times New Roman"/>
          <w:sz w:val="22"/>
          <w:szCs w:val="22"/>
        </w:rPr>
        <w:t xml:space="preserve"> RO4 directly addresses RQ4 and completes the foundational authorisation model.</w:t>
      </w:r>
      <w:r>
        <w:rPr>
          <w:rFonts w:ascii="Times New Roman" w:cs="Times New Roman" w:eastAsia="Times New Roman" w:hAnsi="Times New Roman"/>
          <w:sz w:val="22"/>
          <w:szCs w:val="22"/>
        </w:rPr>
        <w:t xml:space="preserve">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w:t>
      </w:r>
      <w:r>
        <w:rPr>
          <w:rFonts w:ascii="Times New Roman" w:cs="Times New Roman" w:eastAsia="Times New Roman" w:hAnsi="Times New Roman"/>
          <w:sz w:val="22"/>
          <w:szCs w:val="22"/>
        </w:rPr>
        <w:t xml:space="preserve"> The objective is to ensure that an authorisation remains valid only within its permitted time interval and lifecycle state, and that expiration, revocation, and unauthorised state transitions are correctly enforced.</w:t>
      </w:r>
      <w:r>
        <w:rPr>
          <w:rFonts w:ascii="Times New Roman" w:cs="Times New Roman" w:eastAsia="Times New Roman" w:hAnsi="Times New Roman"/>
          <w:sz w:val="22"/>
          <w:szCs w:val="22"/>
        </w:rPr>
        <w:t xml:space="preserve"> RO5 addresses RQ5 and extends the foundational authorisation model into a dynamic consent environment.</w:t>
      </w:r>
      <w:r>
        <w:rPr>
          <w:rFonts w:ascii="Times New Roman" w:cs="Times New Roman" w:eastAsia="Times New Roman" w:hAnsi="Times New Roman"/>
          <w:sz w:val="22"/>
          <w:szCs w:val="22"/>
        </w:rPr>
        <w:t xml:space="preserve"> The current HALAH code already collects a start time and expiry time during consent creation.</w:t>
      </w:r>
      <w:r>
        <w:rPr>
          <w:rFonts w:ascii="Times New Roman" w:cs="Times New Roman" w:eastAsia="Times New Roman" w:hAnsi="Times New Roman"/>
          <w:color w:val="00A000"/>
          <w:sz w:val="22"/>
          <w:szCs w:val="22"/>
        </w:rPr>
        <w:t xml:space="preserve"> The prototype records them on-chain as notBefore and expiry within the consent token, enforces the temporal validity window at every access decision through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implements end-to-end revocation, including an on-chain revoke transaction, and manages the consent through an explicit lifecycle state machine.</w:t>
      </w:r>
      <w:r>
        <w:rPr>
          <w:rFonts w:ascii="Times New Roman" w:cs="Times New Roman" w:eastAsia="Times New Roman" w:hAnsi="Times New Roman"/>
          <w:sz w:val="22"/>
          <w:szCs w:val="22"/>
        </w:rPr>
        <w:t xml:space="preserve"> A consent that has expired or been revoked must not remain usable merely because its original approval threshold was satisfied.</w:t>
      </w:r>
      <w:r>
        <w:rPr>
          <w:rFonts w:ascii="Times New Roman" w:cs="Times New Roman" w:eastAsia="Times New Roman" w:hAnsi="Times New Roman"/>
          <w:color w:val="00A000"/>
          <w:sz w:val="22"/>
          <w:szCs w:val="22"/>
        </w:rPr>
        <w:t xml:space="preserve"> The remaining work concerns 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w:t>
      </w:r>
      <w:r>
        <w:rPr>
          <w:rFonts w:ascii="Times New Roman" w:cs="Times New Roman" w:eastAsia="Times New Roman" w:hAnsi="Times New Roman"/>
          <w:sz w:val="22"/>
          <w:szCs w:val="22"/>
        </w:rPr>
        <w:t xml:space="preserve"> RO6 addresses RQ6 and combines formal security assurance with empirical validation of the proposed framework.</w:t>
      </w:r>
      <w:r>
        <w:rPr>
          <w:rFonts w:ascii="Times New Roman" w:cs="Times New Roman" w:eastAsia="Times New Roman" w:hAnsi="Times New Roman"/>
          <w:sz w:val="22"/>
          <w:szCs w:val="22"/>
        </w:rPr>
        <w:t xml:space="preserve"> The objective is to establish not only that the prototype can execute valid consent workflows, but also that it behaves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w:t>
      </w:r>
      <w:r>
        <w:rPr>
          <w:rFonts w:ascii="Times New Roman" w:cs="Times New Roman" w:eastAsia="Times New Roman" w:hAnsi="Times New Roman"/>
          <w:color w:val="00A000"/>
          <w:sz w:val="22"/>
          <w:szCs w:val="22"/>
        </w:rPr>
        <w:t xml:space="preserve"> In particular, 36 automated tests cover signature rejection, proof tampering, and twelve attack scenarios against the components of C and the contract.</w:t>
      </w:r>
      <w:r>
        <w:rPr>
          <w:rFonts w:ascii="Times New Roman" w:cs="Times New Roman" w:eastAsia="Times New Roman" w:hAnsi="Times New Roman"/>
          <w:color w:val="00A000"/>
          <w:sz w:val="22"/>
          <w:szCs w:val="22"/>
        </w:rPr>
        <w:t xml:space="preserve"> Preliminary measurements of on-chain cost, confirmation latency, and processing time have been obtained, and a live out-of-jurisdiction request against a consent anchored on the deployed Sepolia contract was refused by the application.</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w:t>
      </w:r>
      <w:r>
        <w:rPr>
          <w:rFonts w:ascii="Times New Roman" w:cs="Times New Roman" w:eastAsia="Times New Roman" w:hAnsi="Times New Roman"/>
          <w:sz w:val="22"/>
          <w:szCs w:val="22"/>
        </w:rPr>
        <w:t xml:space="preserve">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w:t>
      </w:r>
      <w:r>
        <w:rPr>
          <w:rFonts w:ascii="Times New Roman" w:cs="Times New Roman" w:eastAsia="Times New Roman" w:hAnsi="Times New Roman"/>
          <w:color w:val="00A000"/>
          <w:sz w:val="22"/>
          <w:szCs w:val="22"/>
        </w:rPr>
        <w:t xml:space="preserve"> RO1 to RO6 are realised in Section 6 to Section 11 respectively, each in the section presenting the solution for the corresponding research question.</w:t>
      </w:r>
      <w:r>
        <w:rPr>
          <w:rFonts w:ascii="Times New Roman" w:cs="Times New Roman" w:eastAsia="Times New Roman" w:hAnsi="Times New Roman"/>
          <w:color w:val="00A000"/>
          <w:sz w:val="22"/>
          <w:szCs w:val="22"/>
        </w:rPr>
        <w:t xml:space="preserve"> Because each research question corresponds to one gap identified in Section 2, each objective addresses the gap of the same number, so that RO1 addresses Gap 1 and RO6 addresses Gap 6.</w:t>
      </w:r>
      <w:r>
        <w:rPr>
          <w:rFonts w:ascii="Times New Roman" w:cs="Times New Roman" w:eastAsia="Times New Roman" w:hAnsi="Times New Roman"/>
          <w:sz w:val="22"/>
          <w:szCs w:val="22"/>
        </w:rPr>
        <w:t xml:space="preserve"> This correspondence ensures that every research question is addressed by a clearly defined research activity and that each objective contributes to the overall development of the proposed trust-oriented authorisation framework.</w:t>
      </w:r>
      <w:r>
        <w:rPr>
          <w:rFonts w:ascii="Times New Roman" w:cs="Times New Roman" w:eastAsia="Times New Roman" w:hAnsi="Times New Roman"/>
          <w:color w:val="00A000"/>
          <w:sz w:val="22"/>
          <w:szCs w:val="22"/>
        </w:rPr>
        <w:t xml:space="preserve"> RO1 to RO4 are delivered in CA2, together with their validation and evaluation through the implemented prototype, whereas, as stated in Section 1, RO5 and RO6 are partially completed.</w:t>
      </w:r>
      <w:r>
        <w:rPr>
          <w:rFonts w:ascii="Times New Roman" w:cs="Times New Roman" w:eastAsia="Times New Roman" w:hAnsi="Times New Roman"/>
          <w:color w:val="00A000"/>
          <w:sz w:val="22"/>
          <w:szCs w:val="22"/>
        </w:rPr>
        <w:t xml:space="preserve"> Their remaining work is detailed in Section 10 and Section 11, and its schedule is presented in Section 13.</w:t>
      </w:r>
      <w:r>
        <w:rPr>
          <w:rFonts w:ascii="Times New Roman" w:cs="Times New Roman" w:eastAsia="Times New Roman" w:hAnsi="Times New Roman"/>
          <w:sz w:val="22"/>
          <w:szCs w:val="22"/>
        </w:rPr>
        <w:t xml:space="preserve">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w:t>
      </w:r>
      <w:r>
        <w:rPr>
          <w:rFonts w:ascii="Times New Roman" w:cs="Times New Roman" w:eastAsia="Times New Roman" w:hAnsi="Times New Roman"/>
          <w:sz w:val="22"/>
          <w:szCs w:val="22"/>
        </w:rPr>
        <w:t xml:space="preserve"> However, the MVC architecture is not used merely as a conventional software engineering pattern for separating data, interfaces, and application logic.</w:t>
      </w:r>
      <w:r>
        <w:rPr>
          <w:rFonts w:ascii="Times New Roman" w:cs="Times New Roman" w:eastAsia="Times New Roman" w:hAnsi="Times New Roman"/>
          <w:sz w:val="22"/>
          <w:szCs w:val="22"/>
        </w:rPr>
        <w:t xml:space="preserve"> Within the proposed framework, MVC is extended to support a more fundamental separation between the representation of consent, the interaction of independent stakeholders, and the enforcement of security-critical authorisation decisions.</w:t>
      </w:r>
      <w:r>
        <w:rPr>
          <w:rFonts w:ascii="Times New Roman" w:cs="Times New Roman" w:eastAsia="Times New Roman" w:hAnsi="Times New Roman"/>
          <w:sz w:val="22"/>
          <w:szCs w:val="22"/>
        </w:rPr>
        <w:t xml:space="preserve"> This separation is particularly important in decentralised healthcare data-sharing environments.</w:t>
      </w:r>
      <w:r>
        <w:rPr>
          <w:rFonts w:ascii="Times New Roman" w:cs="Times New Roman" w:eastAsia="Times New Roman" w:hAnsi="Times New Roman"/>
          <w:sz w:val="22"/>
          <w:szCs w:val="22"/>
        </w:rPr>
        <w:t xml:space="preserve"> A healthcare consent decision may involve patients, guardians, healthcare professionals, and auditors, each of whom may possess different identities, authorities, and responsibilities.</w:t>
      </w:r>
      <w:r>
        <w:rPr>
          <w:rFonts w:ascii="Times New Roman" w:cs="Times New Roman" w:eastAsia="Times New Roman" w:hAnsi="Times New Roman"/>
          <w:sz w:val="22"/>
          <w:szCs w:val="22"/>
        </w:rPr>
        <w:t xml:space="preserve"> Consequently, the system cannot rely on a single user authentication event or a static permission entry to determine whether access should be granted.</w:t>
      </w:r>
      <w:r>
        <w:rPr>
          <w:rFonts w:ascii="Times New Roman" w:cs="Times New Roman" w:eastAsia="Times New Roman" w:hAnsi="Times New Roman"/>
          <w:sz w:val="22"/>
          <w:szCs w:val="22"/>
        </w:rPr>
        <w:t xml:space="preserve"> Instead, the authorisation decision must emerge from the coordinated evaluation of independently verifiable security conditions.</w:t>
      </w:r>
    </w:p>
    <w:p>
      <w:pPr>
        <w:pStyle w:val="Heading2"/>
        <w:keepNext/>
        <w:spacing w:after="120" w:before="240"/>
      </w:pPr>
      <w:r>
        <w:rPr>
          <w:rFonts w:ascii="Times New Roman" w:cs="Times New Roman" w:eastAsia="Times New Roman" w:hAnsi="Times New Roman"/>
          <w:b/>
          <w:bCs/>
          <w:sz w:val="26"/>
          <w:szCs w:val="26"/>
        </w:rPr>
        <w:t xml:space="preserve">5.1  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w:t>
      </w:r>
      <w:r>
        <w:rPr>
          <w:rFonts w:ascii="Times New Roman" w:cs="Times New Roman" w:eastAsia="Times New Roman" w:hAnsi="Times New Roman"/>
          <w:sz w:val="22"/>
          <w:szCs w:val="22"/>
        </w:rPr>
        <w:t xml:space="preserve"> The View Layer represents the interaction boundary with independent healthcare stakeholders.</w:t>
      </w:r>
      <w:r>
        <w:rPr>
          <w:rFonts w:ascii="Times New Roman" w:cs="Times New Roman" w:eastAsia="Times New Roman" w:hAnsi="Times New Roman"/>
          <w:sz w:val="22"/>
          <w:szCs w:val="22"/>
        </w:rPr>
        <w:t xml:space="preserve"> The Controller Layer represents the security decision and coordination boundary.</w:t>
      </w:r>
      <w:r>
        <w:rPr>
          <w:rFonts w:ascii="Times New Roman" w:cs="Times New Roman" w:eastAsia="Times New Roman" w:hAnsi="Times New Roman"/>
          <w:sz w:val="22"/>
          <w:szCs w:val="22"/>
        </w:rPr>
        <w:t xml:space="preserve"> The Model Layer represents the persistent trust, consent, policy, and authorisation state. Figure 3 illustrates the conceptual relationship among these layers.</w:t>
      </w:r>
      <w:r>
        <w:rPr>
          <w:rFonts w:ascii="Times New Roman" w:cs="Times New Roman" w:eastAsia="Times New Roman" w:hAnsi="Times New Roman"/>
          <w:sz w:val="22"/>
          <w:szCs w:val="22"/>
        </w:rPr>
        <w:t xml:space="preserve">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476625"/>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766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Layered MVC architecture and component decomposition of the HALAH framework.</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w:t>
      </w:r>
      <w:r>
        <w:rPr>
          <w:rFonts w:ascii="Times New Roman" w:cs="Times New Roman" w:eastAsia="Times New Roman" w:hAnsi="Times New Roman"/>
          <w:sz w:val="22"/>
          <w:szCs w:val="22"/>
        </w:rPr>
        <w:t xml:space="preserve"> The Controller Layer constitutes the principal security enforcement boundary.</w:t>
      </w:r>
      <w:r>
        <w:rPr>
          <w:rFonts w:ascii="Times New Roman" w:cs="Times New Roman" w:eastAsia="Times New Roman" w:hAnsi="Times New Roman"/>
          <w:sz w:val="22"/>
          <w:szCs w:val="22"/>
        </w:rPr>
        <w:t xml:space="preserve"> It receives requests from the View and coordinates the evaluation of the relevant trust conditions.</w:t>
      </w:r>
      <w:r>
        <w:rPr>
          <w:rFonts w:ascii="Times New Roman" w:cs="Times New Roman" w:eastAsia="Times New Roman" w:hAnsi="Times New Roman"/>
          <w:sz w:val="22"/>
          <w:szCs w:val="22"/>
        </w:rPr>
        <w:t xml:space="preserve"> These include decentralised identity verification, credential and authority verification, multi-party approval evaluation, policy and data-scope evaluation, and final authorisation.</w:t>
      </w:r>
      <w:r>
        <w:rPr>
          <w:rFonts w:ascii="Times New Roman" w:cs="Times New Roman" w:eastAsia="Times New Roman" w:hAnsi="Times New Roman"/>
          <w:sz w:val="22"/>
          <w:szCs w:val="22"/>
        </w:rPr>
        <w:t xml:space="preserve"> The Controller also generates audit evidence associated with the resulting decision.</w:t>
      </w:r>
      <w:r>
        <w:rPr>
          <w:rFonts w:ascii="Times New Roman" w:cs="Times New Roman" w:eastAsia="Times New Roman" w:hAnsi="Times New Roman"/>
          <w:sz w:val="22"/>
          <w:szCs w:val="22"/>
        </w:rPr>
        <w:t xml:space="preserve"> Consequently, the Controller acts as the coordination point through which sensitive operations must pass before protected healthcare data can be accessed.</w:t>
      </w:r>
      <w:r>
        <w:rPr>
          <w:rFonts w:ascii="Times New Roman" w:cs="Times New Roman" w:eastAsia="Times New Roman" w:hAnsi="Times New Roman"/>
          <w:sz w:val="22"/>
          <w:szCs w:val="22"/>
        </w:rPr>
        <w:t xml:space="preserve"> The Model therefore provides the information required for the Controller to evaluate an access request, but the existence of a Model object does not itself imply that access is permitted.</w:t>
      </w:r>
      <w:r>
        <w:rPr>
          <w:rFonts w:ascii="Times New Roman" w:cs="Times New Roman" w:eastAsia="Times New Roman" w:hAnsi="Times New Roman"/>
          <w:color w:val="00A000"/>
          <w:sz w:val="22"/>
          <w:szCs w:val="22"/>
        </w:rPr>
        <w:t xml:space="preserve"> MVC was selected in preference to a purely on-chain design for two reasons.</w:t>
      </w:r>
      <w:r>
        <w:rPr>
          <w:rFonts w:ascii="Times New Roman" w:cs="Times New Roman" w:eastAsia="Times New Roman" w:hAnsi="Times New Roman"/>
          <w:color w:val="00A000"/>
          <w:sz w:val="22"/>
          <w:szCs w:val="22"/>
        </w:rPr>
        <w:t xml:space="preserve"> First, the authorisation decision must combine the identity, threshold, policy, temporal, and jurisdictional evaluation performed by the Controller with the anchoring of consent state on the blockchain.</w:t>
      </w:r>
      <w:r>
        <w:rPr>
          <w:rFonts w:ascii="Times New Roman" w:cs="Times New Roman" w:eastAsia="Times New Roman" w:hAnsi="Times New Roman"/>
          <w:color w:val="00A000"/>
          <w:sz w:val="22"/>
          <w:szCs w:val="22"/>
        </w:rPr>
        <w:t xml:space="preserve">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4 presents this decomposition.</w:t>
      </w:r>
      <w:r>
        <w:rPr>
          <w:rFonts w:ascii="Times New Roman" w:cs="Times New Roman" w:eastAsia="Times New Roman" w:hAnsi="Times New Roman"/>
          <w:sz w:val="22"/>
          <w:szCs w:val="22"/>
        </w:rPr>
        <w:t xml:space="preserve"> The View is decomposed according to the principal stakeholder roles.</w:t>
      </w:r>
      <w:r>
        <w:rPr>
          <w:rFonts w:ascii="Times New Roman" w:cs="Times New Roman" w:eastAsia="Times New Roman" w:hAnsi="Times New Roman"/>
          <w:sz w:val="22"/>
          <w:szCs w:val="22"/>
        </w:rPr>
        <w:t xml:space="preserve"> The patient interface supports consent specification and consent-related actions.</w:t>
      </w:r>
      <w:r>
        <w:rPr>
          <w:rFonts w:ascii="Times New Roman" w:cs="Times New Roman" w:eastAsia="Times New Roman" w:hAnsi="Times New Roman"/>
          <w:sz w:val="22"/>
          <w:szCs w:val="22"/>
        </w:rPr>
        <w:t xml:space="preserve"> The guardian or other authorised-participant interface supports independent approval.</w:t>
      </w:r>
      <w:r>
        <w:rPr>
          <w:rFonts w:ascii="Times New Roman" w:cs="Times New Roman" w:eastAsia="Times New Roman" w:hAnsi="Times New Roman"/>
          <w:sz w:val="22"/>
          <w:szCs w:val="22"/>
        </w:rPr>
        <w:t xml:space="preserve"> The healthcare professional interface supports authorised data-access requests.</w:t>
      </w:r>
      <w:r>
        <w:rPr>
          <w:rFonts w:ascii="Times New Roman" w:cs="Times New Roman" w:eastAsia="Times New Roman" w:hAnsi="Times New Roman"/>
          <w:sz w:val="22"/>
          <w:szCs w:val="22"/>
        </w:rPr>
        <w:t xml:space="preserve"> The auditor interface supports inspection of authorisation evidence and audit history.</w:t>
      </w:r>
      <w:r>
        <w:rPr>
          <w:rFonts w:ascii="Times New Roman" w:cs="Times New Roman" w:eastAsia="Times New Roman" w:hAnsi="Times New Roman"/>
          <w:sz w:val="22"/>
          <w:szCs w:val="22"/>
        </w:rPr>
        <w:t xml:space="preserve"> These interfaces represent different interaction responsibilities but share the same architectural principle: none of them independently determines whether access should be granted.</w:t>
      </w:r>
      <w:r>
        <w:rPr>
          <w:rFonts w:ascii="Times New Roman" w:cs="Times New Roman" w:eastAsia="Times New Roman" w:hAnsi="Times New Roman"/>
          <w:sz w:val="22"/>
          <w:szCs w:val="22"/>
        </w:rPr>
        <w:t xml:space="preserve"> The Controller is decomposed into six principal security functions.</w:t>
      </w:r>
      <w:r>
        <w:rPr>
          <w:rFonts w:ascii="Times New Roman" w:cs="Times New Roman" w:eastAsia="Times New Roman" w:hAnsi="Times New Roman"/>
          <w:sz w:val="22"/>
          <w:szCs w:val="22"/>
        </w:rPr>
        <w:t xml:space="preserve"> Identity Verification establishes whether a participant can be identified through the relevant decentralised identity mechanism.</w:t>
      </w:r>
      <w:r>
        <w:rPr>
          <w:rFonts w:ascii="Times New Roman" w:cs="Times New Roman" w:eastAsia="Times New Roman" w:hAnsi="Times New Roman"/>
          <w:sz w:val="22"/>
          <w:szCs w:val="22"/>
        </w:rPr>
        <w:t xml:space="preserve"> Authority Verification evaluates whether the participant possesses appropriate evidence concerning the required role or authority.</w:t>
      </w:r>
      <w:r>
        <w:rPr>
          <w:rFonts w:ascii="Times New Roman" w:cs="Times New Roman" w:eastAsia="Times New Roman" w:hAnsi="Times New Roman"/>
          <w:sz w:val="22"/>
          <w:szCs w:val="22"/>
        </w:rPr>
        <w:t xml:space="preserve"> Approval Aggregation determines whether independently verified approvals satisfy the predefined threshold.</w:t>
      </w:r>
      <w:r>
        <w:rPr>
          <w:rFonts w:ascii="Times New Roman" w:cs="Times New Roman" w:eastAsia="Times New Roman" w:hAnsi="Times New Roman"/>
          <w:sz w:val="22"/>
          <w:szCs w:val="22"/>
        </w:rPr>
        <w:t xml:space="preserve"> Policy Enforcement evaluates whether the requested purpose and data scope comply with the consent policy.</w:t>
      </w:r>
      <w:r>
        <w:rPr>
          <w:rFonts w:ascii="Times New Roman" w:cs="Times New Roman" w:eastAsia="Times New Roman" w:hAnsi="Times New Roman"/>
          <w:sz w:val="22"/>
          <w:szCs w:val="22"/>
        </w:rPr>
        <w:t xml:space="preserve"> Decision Engine combines the resulting predicates into the final authorisation decision.</w:t>
      </w:r>
      <w:r>
        <w:rPr>
          <w:rFonts w:ascii="Times New Roman" w:cs="Times New Roman" w:eastAsia="Times New Roman" w:hAnsi="Times New Roman"/>
          <w:sz w:val="22"/>
          <w:szCs w:val="22"/>
        </w:rPr>
        <w:t xml:space="preserve"> Finally, Audit Coordination records the relevant evidence and decision events.</w:t>
      </w:r>
      <w:r>
        <w:rPr>
          <w:rFonts w:ascii="Times New Roman" w:cs="Times New Roman" w:eastAsia="Times New Roman" w:hAnsi="Times New Roman"/>
          <w:color w:val="00A000"/>
          <w:sz w:val="22"/>
          <w:szCs w:val="22"/>
        </w:rPr>
        <w:t xml:space="preserve"> The Model is decomposed into seven principal state representations: DID, VC, Consent, Approval, Policy, Evidence, and Lifecycle.</w:t>
      </w:r>
      <w:r>
        <w:rPr>
          <w:rFonts w:ascii="Times New Roman" w:cs="Times New Roman" w:eastAsia="Times New Roman" w:hAnsi="Times New Roman"/>
          <w:sz w:val="22"/>
          <w:szCs w:val="22"/>
        </w:rPr>
        <w:t xml:space="preserv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Functional decomposition of the MVC components.</w:t>
      </w:r>
    </w:p>
    <w:p>
      <w:pPr>
        <w:spacing w:after="110" w:line="264"/>
        <w:jc w:val="both"/>
      </w:pPr>
      <w:r>
        <w:rPr>
          <w:rFonts w:ascii="Times New Roman" w:cs="Times New Roman" w:eastAsia="Times New Roman" w:hAnsi="Times New Roman"/>
          <w:color w:val="00A000"/>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performs the Sepolia mint and revoke transactions as a background process.</w:t>
      </w:r>
      <w:r>
        <w:rPr>
          <w:rFonts w:ascii="Times New Roman" w:cs="Times New Roman" w:eastAsia="Times New Roman" w:hAnsi="Times New Roman"/>
          <w:color w:val="00A000"/>
          <w:sz w:val="22"/>
          <w:szCs w:val="22"/>
        </w:rPr>
        <w:t xml:space="preserve"> The Model correspondingly contains the ConsentSBTv3 soulbound contract deployed on Sepolia together with the application audit ledger, both of which an independent verification tool reads, as described in Section 11.</w:t>
      </w:r>
      <w:r>
        <w:rPr>
          <w:rFonts w:ascii="Times New Roman" w:cs="Times New Roman" w:eastAsia="Times New Roman" w:hAnsi="Times New Roman"/>
          <w:color w:val="00A000"/>
          <w:sz w:val="22"/>
          <w:szCs w:val="22"/>
        </w:rPr>
        <w:t xml:space="preserve"> It should be acknowledged that, in the present prototype, credential verification consists of a structural check that each DID is well formed, and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 combines this check with the EIP-712 verification of each listed guardian's signature.</w:t>
      </w:r>
      <w:r>
        <w:rPr>
          <w:rFonts w:ascii="Times New Roman" w:cs="Times New Roman" w:eastAsia="Times New Roman" w:hAnsi="Times New Roman"/>
          <w:color w:val="00A000"/>
          <w:sz w:val="22"/>
          <w:szCs w:val="22"/>
        </w:rPr>
        <w:t xml:space="preserve"> The requester's role and jurisdiction are declared in the interface rather than authenticated, and wallet-held signing keys and authenticated verifiable credentials are deferred to the production design.</w:t>
      </w:r>
      <w:r>
        <w:rPr>
          <w:rFonts w:ascii="Times New Roman" w:cs="Times New Roman" w:eastAsia="Times New Roman" w:hAnsi="Times New Roman"/>
          <w:color w:val="00A000"/>
          <w:sz w:val="22"/>
          <w:szCs w:val="22"/>
        </w:rPr>
        <w:t xml:space="preserve">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w:t>
      </w:r>
      <w:r>
        <w:rPr>
          <w:rFonts w:ascii="Times New Roman" w:cs="Times New Roman" w:eastAsia="Times New Roman" w:hAnsi="Times New Roman"/>
          <w:sz w:val="22"/>
          <w:szCs w:val="22"/>
        </w:rPr>
        <w:t xml:space="preserve"> A healthcare data-access request is not evaluated according to a single authentication event.</w:t>
      </w:r>
      <w:r>
        <w:rPr>
          <w:rFonts w:ascii="Times New Roman" w:cs="Times New Roman" w:eastAsia="Times New Roman" w:hAnsi="Times New Roman"/>
          <w:sz w:val="22"/>
          <w:szCs w:val="22"/>
        </w:rPr>
        <w:t xml:space="preserve"> As illustrated in Figure 5, the Controller coordinates a sequence of trust predicates representing the conditions established by the sub-research questions.</w:t>
      </w:r>
      <w:r>
        <w:rPr>
          <w:rFonts w:ascii="Times New Roman" w:cs="Times New Roman" w:eastAsia="Times New Roman" w:hAnsi="Times New Roman"/>
          <w:sz w:val="22"/>
          <w:szCs w:val="22"/>
        </w:rPr>
        <w:t xml:space="preserve">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w:t>
      </w:r>
      <w:r>
        <w:rPr>
          <w:rFonts w:ascii="Times New Roman" w:cs="Times New Roman" w:eastAsia="Times New Roman" w:hAnsi="Times New Roman"/>
          <w:sz w:val="22"/>
          <w:szCs w:val="22"/>
        </w:rPr>
        <w:t xml:space="preserv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w:t>
      </w:r>
      <w:r>
        <w:rPr>
          <w:rFonts w:ascii="Times New Roman" w:cs="Times New Roman" w:eastAsia="Times New Roman" w:hAnsi="Times New Roman"/>
          <w:sz w:val="22"/>
          <w:szCs w:val="22"/>
        </w:rPr>
        <w:t xml:space="preserve">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w:t>
      </w:r>
      <w:r>
        <w:rPr>
          <w:rFonts w:ascii="Times New Roman" w:cs="Times New Roman" w:eastAsia="Times New Roman" w:hAnsi="Times New Roman"/>
          <w:sz w:val="22"/>
          <w:szCs w:val="22"/>
        </w:rPr>
        <w:t xml:space="preserve">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w:t>
      </w:r>
      <w:r>
        <w:rPr>
          <w:rFonts w:ascii="Times New Roman" w:cs="Times New Roman" w:eastAsia="Times New Roman" w:hAnsi="Times New Roman"/>
          <w:color w:val="00A000"/>
          <w:sz w:val="22"/>
          <w:szCs w:val="22"/>
        </w:rPr>
        <w:t xml:space="preserve"> The fifth condition,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(C, R), determines whether the jurisdiction of the request satisfies the recorded jurisdictional constraint of the consent.</w:t>
      </w:r>
      <w:r>
        <w:rPr>
          <w:rFonts w:ascii="Times New Roman" w:cs="Times New Roman" w:eastAsia="Times New Roman" w:hAnsi="Times New Roman"/>
          <w:color w:val="00A000"/>
          <w:sz w:val="22"/>
          <w:szCs w:val="22"/>
        </w:rPr>
        <w:t xml:space="preserve"> The revocation and token states of the lifecycle are evaluated within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 and its time-based states within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rather than within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w:t>
      </w:r>
      <w:r>
        <w:rPr>
          <w:rFonts w:ascii="Times New Roman" w:cs="Times New Roman" w:eastAsia="Times New Roman" w:hAnsi="Times New Roman"/>
          <w:sz w:val="22"/>
          <w:szCs w:val="22"/>
        </w:rPr>
        <w:t xml:space="preserve"> The integrated decision can therefore be expressed as Equation (2).</w:t>
      </w:r>
    </w:p>
    <w:p>
      <w:pPr>
        <w:keepNext/>
        <w:spacing w:after="60" w:before="160"/>
        <w:jc w:val="center"/>
      </w:pPr>
      <w:r>
        <w:drawing>
          <wp:inline distT="0" distB="0" distL="0" distR="0">
            <wp:extent cx="2952750" cy="4286250"/>
            <wp:effectExtent t="0" r="0" b="0" l="0"/>
            <wp:docPr id="1"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Trust predicate evaluation and authorisation decision flow.</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w:t>
      </w:r>
      <w:r>
        <w:rPr>
          <w:rFonts w:ascii="Times New Roman" w:cs="Times New Roman" w:eastAsia="Times New Roman" w:hAnsi="Times New Roman"/>
          <w:sz w:val="22"/>
          <w:szCs w:val="22"/>
        </w:rPr>
        <w:t xml:space="preserve"> The Controller does not itself create these trust conditions.</w:t>
      </w:r>
      <w:r>
        <w:rPr>
          <w:rFonts w:ascii="Times New Roman" w:cs="Times New Roman" w:eastAsia="Times New Roman" w:hAnsi="Times New Roman"/>
          <w:sz w:val="22"/>
          <w:szCs w:val="22"/>
        </w:rPr>
        <w:t xml:space="preserve"> Instead, it evaluates evidence represented by the Model and coordinates the resulting decision.</w:t>
      </w:r>
      <w:r>
        <w:rPr>
          <w:rFonts w:ascii="Times New Roman" w:cs="Times New Roman" w:eastAsia="Times New Roman" w:hAnsi="Times New Roman"/>
          <w:sz w:val="22"/>
          <w:szCs w:val="22"/>
        </w:rPr>
        <w:t xml:space="preserve"> This distinction is important for the interpretation of the architecture: the Controller is a decision-enforcement mechanism, whereas the Model is a representation of trust and governance state.</w:t>
      </w:r>
      <w:r>
        <w:rPr>
          <w:rFonts w:ascii="Times New Roman" w:cs="Times New Roman" w:eastAsia="Times New Roman" w:hAnsi="Times New Roman"/>
          <w:sz w:val="22"/>
          <w:szCs w:val="22"/>
        </w:rPr>
        <w:t xml:space="preserve"> Both successful and unsuccessful decisions are subsequently associated with authorisation evidence, which supports accountability and subsequent verification.</w:t>
      </w:r>
      <w:r>
        <w:rPr>
          <w:rFonts w:ascii="Times New Roman" w:cs="Times New Roman" w:eastAsia="Times New Roman" w:hAnsi="Times New Roman"/>
          <w:sz w:val="22"/>
          <w:szCs w:val="22"/>
        </w:rPr>
        <w:t xml:space="preserve"> The layered architecture also establishes explicit trust boundaries.</w:t>
      </w:r>
      <w:r>
        <w:rPr>
          <w:rFonts w:ascii="Times New Roman" w:cs="Times New Roman" w:eastAsia="Times New Roman" w:hAnsi="Times New Roman"/>
          <w:sz w:val="22"/>
          <w:szCs w:val="22"/>
        </w:rPr>
        <w:t xml:space="preserve"> The View is considered an interaction boundary and therefore cannot be treated as a trusted source of authorisation decisions.</w:t>
      </w:r>
      <w:r>
        <w:rPr>
          <w:rFonts w:ascii="Times New Roman" w:cs="Times New Roman" w:eastAsia="Times New Roman" w:hAnsi="Times New Roman"/>
          <w:sz w:val="22"/>
          <w:szCs w:val="22"/>
        </w:rPr>
        <w:t xml:space="preserve"> The Controller represents the security enforcement boundary.</w:t>
      </w:r>
      <w:r>
        <w:rPr>
          <w:rFonts w:ascii="Times New Roman" w:cs="Times New Roman" w:eastAsia="Times New Roman" w:hAnsi="Times New Roman"/>
          <w:sz w:val="22"/>
          <w:szCs w:val="22"/>
        </w:rPr>
        <w:t xml:space="preserve"> It is responsible for applying the authorisation rules consistently and for preventing direct access to protected healthcare data when the required trust conditions are not satisfied.</w:t>
      </w:r>
      <w:r>
        <w:rPr>
          <w:rFonts w:ascii="Times New Roman" w:cs="Times New Roman" w:eastAsia="Times New Roman" w:hAnsi="Times New Roman"/>
          <w:sz w:val="22"/>
          <w:szCs w:val="22"/>
        </w:rPr>
        <w:t xml:space="preserve"> The Model represents the security-state boundary.</w:t>
      </w:r>
      <w:r>
        <w:rPr>
          <w:rFonts w:ascii="Times New Roman" w:cs="Times New Roman" w:eastAsia="Times New Roman" w:hAnsi="Times New Roman"/>
          <w:sz w:val="22"/>
          <w:szCs w:val="22"/>
        </w:rPr>
        <w:t xml:space="preserve"> Its records provide the evidence and state required for authorisation evaluation, but stored state alone does not constitute permission.</w:t>
      </w:r>
      <w:r>
        <w:rPr>
          <w:rFonts w:ascii="Times New Roman" w:cs="Times New Roman" w:eastAsia="Times New Roman" w:hAnsi="Times New Roman"/>
          <w:sz w:val="22"/>
          <w:szCs w:val="22"/>
        </w:rPr>
        <w:t xml:space="preserve"> In particular, the presence of a consent record, credential, or approval record cannot independently produce an access decision.</w:t>
      </w:r>
      <w:r>
        <w:rPr>
          <w:rFonts w:ascii="Times New Roman" w:cs="Times New Roman" w:eastAsia="Times New Roman" w:hAnsi="Times New Roman"/>
          <w:sz w:val="22"/>
          <w:szCs w:val="22"/>
        </w:rPr>
        <w:t xml:space="preserve"> The protected healthcare data represent the final resource boundary, and access is permitted only through the authorisation path enforced by the Controller.</w:t>
      </w:r>
      <w:r>
        <w:rPr>
          <w:rFonts w:ascii="Times New Roman" w:cs="Times New Roman" w:eastAsia="Times New Roman" w:hAnsi="Times New Roman"/>
          <w:sz w:val="22"/>
          <w:szCs w:val="22"/>
        </w:rPr>
        <w:t xml:space="preserve"> The proposed framework does not claim that MVC itself provides security.</w:t>
      </w:r>
      <w:r>
        <w:rPr>
          <w:rFonts w:ascii="Times New Roman" w:cs="Times New Roman" w:eastAsia="Times New Roman" w:hAnsi="Times New Roman"/>
          <w:sz w:val="22"/>
          <w:szCs w:val="22"/>
        </w:rPr>
        <w:t xml:space="preserve"> Instead, security arises from the explicit placement of trust-sensitive operations within the Controller, the structured representation of security state within the Model, and the prevention of direct security decisions at the View layer.</w:t>
      </w:r>
      <w:r>
        <w:rPr>
          <w:rFonts w:ascii="Times New Roman" w:cs="Times New Roman" w:eastAsia="Times New Roman" w:hAnsi="Times New Roman"/>
          <w:color w:val="00A000"/>
          <w:sz w:val="22"/>
          <w:szCs w:val="22"/>
        </w:rPr>
        <w:t xml:space="preserve">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w:t>
      </w:r>
    </w:p>
    <w:p>
      <w:pPr>
        <w:pStyle w:val="Heading2"/>
        <w:keepNext/>
        <w:spacing w:after="120" w:before="240"/>
      </w:pPr>
      <w:r>
        <w:rPr>
          <w:rFonts w:ascii="Times New Roman" w:cs="Times New Roman" w:eastAsia="Times New Roman" w:hAnsi="Times New Roman"/>
          <w:b/>
          <w:bCs/>
          <w:sz w:val="26"/>
          <w:szCs w:val="26"/>
        </w:rPr>
        <w:t xml:space="preserve">5.3  Trust-Oriented Consent Authorisation Workflow</w:t>
      </w:r>
    </w:p>
    <w:p>
      <w:pPr>
        <w:spacing w:after="110" w:line="264"/>
        <w:jc w:val="both"/>
      </w:pPr>
      <w:r>
        <w:rPr>
          <w:rFonts w:ascii="Times New Roman" w:cs="Times New Roman" w:eastAsia="Times New Roman" w:hAnsi="Times New Roman"/>
          <w:sz w:val="22"/>
          <w:szCs w:val="22"/>
        </w:rPr>
        <w:t xml:space="preserve">Figure 6 presents the end-to-end workflow of the proposed framework.</w:t>
      </w:r>
      <w:r>
        <w:rPr>
          <w:rFonts w:ascii="Times New Roman" w:cs="Times New Roman" w:eastAsia="Times New Roman" w:hAnsi="Times New Roman"/>
          <w:sz w:val="22"/>
          <w:szCs w:val="22"/>
        </w:rPr>
        <w:t xml:space="preserve"> The workflow begins when the patient creates a consent request.</w:t>
      </w:r>
      <w:r>
        <w:rPr>
          <w:rFonts w:ascii="Times New Roman" w:cs="Times New Roman" w:eastAsia="Times New Roman" w:hAnsi="Times New Roman"/>
          <w:sz w:val="22"/>
          <w:szCs w:val="22"/>
        </w:rPr>
        <w:t xml:space="preserve"> The consent specification defines the intended purpose, permitted data scope, and other authorisation conditions.</w:t>
      </w:r>
      <w:r>
        <w:rPr>
          <w:rFonts w:ascii="Times New Roman" w:cs="Times New Roman" w:eastAsia="Times New Roman" w:hAnsi="Times New Roman"/>
          <w:sz w:val="22"/>
          <w:szCs w:val="22"/>
        </w:rPr>
        <w:t xml:space="preserve"> This step establishes what the patient intends to authorise and provides the policy context against which subsequent access requests can be evaluated.</w:t>
      </w:r>
      <w:r>
        <w:rPr>
          <w:rFonts w:ascii="Times New Roman" w:cs="Times New Roman" w:eastAsia="Times New Roman" w:hAnsi="Times New Roman"/>
          <w:sz w:val="22"/>
          <w:szCs w:val="22"/>
        </w:rPr>
        <w:t xml:space="preserve"> The next step of the workflow applies a decentralised identity and authority verification mechanism using Decentralised Identifiers and Verifiable Credentials [16].</w:t>
      </w:r>
      <w:r>
        <w:rPr>
          <w:rFonts w:ascii="Times New Roman" w:cs="Times New Roman" w:eastAsia="Times New Roman" w:hAnsi="Times New Roman"/>
          <w:sz w:val="22"/>
          <w:szCs w:val="22"/>
        </w:rPr>
        <w:t xml:space="preserve"> Importantly, the framework explicitly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w:t>
      </w:r>
      <w:r>
        <w:rPr>
          <w:rFonts w:ascii="Times New Roman" w:cs="Times New Roman" w:eastAsia="Times New Roman" w:hAnsi="Times New Roman"/>
          <w:sz w:val="22"/>
          <w:szCs w:val="22"/>
        </w:rPr>
        <w:t xml:space="preserve"> The framework then collects their independent approvals and evaluates whether the predefined authorisation threshold has been satisfied.</w:t>
      </w:r>
      <w:r>
        <w:rPr>
          <w:rFonts w:ascii="Times New Roman" w:cs="Times New Roman" w:eastAsia="Times New Roman" w:hAnsi="Times New Roman"/>
          <w:sz w:val="22"/>
          <w:szCs w:val="22"/>
        </w:rPr>
        <w:t xml:space="preserve">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successfully verified approvals and let N denote the required authorisation threshold, as in Equation (3).</w:t>
      </w:r>
      <w:r>
        <w:rPr>
          <w:rFonts w:ascii="Times New Roman" w:cs="Times New Roman" w:eastAsia="Times New Roman" w:hAnsi="Times New Roman"/>
          <w:color w:val="00A000"/>
          <w:sz w:val="22"/>
          <w:szCs w:val="22"/>
        </w:rPr>
        <w:t xml:space="preserve"> Here, Token(C) ≠ ∅ means that C has been assigned a token identifier, and Revoked(C) = 0 means that the consent has not been revoked.</w:t>
      </w:r>
    </w:p>
    <w:p>
      <w:pPr>
        <w:keepNext/>
        <w:spacing w:after="60" w:before="160"/>
        <w:jc w:val="center"/>
      </w:pPr>
      <w:r>
        <w:drawing>
          <wp:inline distT="0" distB="0" distL="0" distR="0">
            <wp:extent cx="2638425" cy="428625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384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End-to-end workflow of the trust-oriented consent authorisation framework.</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(3)</w:t>
      </w:r>
    </w:p>
    <w:p>
      <w:pPr>
        <w:spacing w:after="110" w:line="264"/>
        <w:jc w:val="both"/>
      </w:pPr>
      <w:r>
        <w:rPr>
          <w:rFonts w:ascii="Times New Roman" w:cs="Times New Roman" w:eastAsia="Times New Roman" w:hAnsi="Times New Roman"/>
          <w:color w:val="00A000"/>
          <w:sz w:val="22"/>
          <w:szCs w:val="22"/>
        </w:rPr>
        <w:t xml:space="preserve">Only independently verified participants can contribute to the authorisation evidence set A</w:t>
      </w:r>
      <w:r>
        <w:rPr>
          <w:rFonts w:ascii="Times New Roman" w:cs="Times New Roman" w:eastAsia="Times New Roman" w:hAnsi="Times New Roman"/>
          <w:color w:val="00A000"/>
          <w:sz w:val="22"/>
          <w:szCs w:val="22"/>
          <w:vertAlign w:val="subscript"/>
        </w:rPr>
        <w:t xml:space="preserve">v</w:t>
      </w:r>
      <w:r>
        <w:rPr>
          <w:rFonts w:ascii="Times New Roman" w:cs="Times New Roman" w:eastAsia="Times New Roman" w:hAnsi="Times New Roman"/>
          <w:color w:val="00A000"/>
          <w:sz w:val="22"/>
          <w:szCs w:val="22"/>
        </w:rPr>
        <w:t xml:space="preserve">, as defined in Equation (4), where A</w:t>
      </w:r>
      <w:r>
        <w:rPr>
          <w:rFonts w:ascii="Times New Roman" w:cs="Times New Roman" w:eastAsia="Times New Roman" w:hAnsi="Times New Roman"/>
          <w:color w:val="00A000"/>
          <w:sz w:val="22"/>
          <w:szCs w:val="22"/>
          <w:vertAlign w:val="subscript"/>
        </w:rPr>
        <w:t xml:space="preserve">s</w:t>
      </w:r>
      <w:r>
        <w:rPr>
          <w:rFonts w:ascii="Times New Roman" w:cs="Times New Roman" w:eastAsia="Times New Roman" w:hAnsi="Times New Roman"/>
          <w:color w:val="00A000"/>
          <w:sz w:val="22"/>
          <w:szCs w:val="22"/>
        </w:rPr>
        <w:t xml:space="preserve"> denotes the set of approvals submitted for C.</w:t>
      </w:r>
      <w:r>
        <w:rPr>
          <w:rFonts w:ascii="Times New Roman" w:cs="Times New Roman" w:eastAsia="Times New Roman" w:hAnsi="Times New Roman"/>
          <w:color w:val="00A000"/>
          <w:sz w:val="22"/>
          <w:szCs w:val="22"/>
        </w:rPr>
        <w:t xml:space="preserve"> For a guardian approval, the authority in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(a</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 is membership of G, and each member of G is counted once.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w:t>
      </w:r>
      <w:r>
        <w:rPr>
          <w:rFonts w:ascii="Times New Roman" w:cs="Times New Roman" w:eastAsia="Times New Roman" w:hAnsi="Times New Roman"/>
          <w:sz w:val="22"/>
          <w:szCs w:val="22"/>
        </w:rPr>
        <w:t xml:space="preserve"> A compromised or unauthorised participant cannot independently activate access when the threshold has not been satisfied.</w:t>
      </w:r>
      <w:r>
        <w:rPr>
          <w:rFonts w:ascii="Times New Roman" w:cs="Times New Roman" w:eastAsia="Times New Roman" w:hAnsi="Times New Roman"/>
          <w:color w:val="00A000"/>
          <w:sz w:val="22"/>
          <w:szCs w:val="22"/>
        </w:rPr>
        <w:t xml:space="preserve"> This distinguishes the framework from reviewed systems in which joint approval is a contingency path [23], a witness or notary threshold [26], a registration-time co-consent [27, 52], an institution-side admission gate [61], a custodial M-of-N signature [25], or a key-share reconstruction [50, 54].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{a</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A</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1}.</w:t>
      </w:r>
      <w:r>
        <w:rPr>
          <w:rFonts w:ascii="Times New Roman" w:cs="Times New Roman" w:eastAsia="Times New Roman" w:hAnsi="Times New Roman"/>
          <w:sz w:val="22"/>
          <w:szCs w:val="22"/>
        </w:rPr>
        <w:t xml:space="preserve">	(4)</w:t>
      </w:r>
    </w:p>
    <w:p>
      <w:pPr>
        <w:spacing w:after="110" w:line="264"/>
        <w:jc w:val="both"/>
      </w:pPr>
      <w:r>
        <w:rPr>
          <w:rFonts w:ascii="Times New Roman" w:cs="Times New Roman" w:eastAsia="Times New Roman" w:hAnsi="Times New Roman"/>
          <w:color w:val="00A000"/>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w:t>
      </w:r>
      <w:r>
        <w:rPr>
          <w:rFonts w:ascii="Times New Roman" w:cs="Times New Roman" w:eastAsia="Times New Roman" w:hAnsi="Times New Roman"/>
          <w:color w:val="00A000"/>
          <w:sz w:val="22"/>
          <w:szCs w:val="22"/>
        </w:rPr>
        <w:t xml:space="preserve"> The temporal check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and the jurisdictional check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are then evaluated, a Groth16 proof is generated and verified before access is granted, and the audit evidence is recorded.</w:t>
      </w:r>
      <w:r>
        <w:rPr>
          <w:rFonts w:ascii="Times New Roman" w:cs="Times New Roman" w:eastAsia="Times New Roman" w:hAnsi="Times New Roman"/>
          <w:color w:val="00A000"/>
          <w:sz w:val="22"/>
          <w:szCs w:val="22"/>
        </w:rPr>
        <w:t xml:space="preserve"> The flow continues through patient-initiated revocation and the corresponding on-chain revoke transaction, after which the auditor reviews the record and the verification tool performs an independent verification.</w:t>
      </w:r>
      <w:r>
        <w:rPr>
          <w:rFonts w:ascii="Times New Roman" w:cs="Times New Roman" w:eastAsia="Times New Roman" w:hAnsi="Times New Roman"/>
          <w:sz w:val="22"/>
          <w:szCs w:val="22"/>
        </w:rPr>
        <w:t xml:space="preserve"> If the required threshold is not satisfied, the authorisation process terminates with a denial decision.</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w:t>
      </w:r>
      <w:r>
        <w:rPr>
          <w:rFonts w:ascii="Times New Roman" w:cs="Times New Roman" w:eastAsia="Times New Roman" w:hAnsi="Times New Roman"/>
          <w:sz w:val="22"/>
          <w:szCs w:val="22"/>
        </w:rPr>
        <w:t xml:space="preserve"> When the authorisation threshold is satisfied, the requested access is evaluated against the purpose and data-scope constraints defined in the consent object.</w:t>
      </w:r>
      <w:r>
        <w:rPr>
          <w:rFonts w:ascii="Times New Roman" w:cs="Times New Roman" w:eastAsia="Times New Roman" w:hAnsi="Times New Roman"/>
          <w:sz w:val="22"/>
          <w:szCs w:val="22"/>
        </w:rPr>
        <w:t xml:space="preserve"> This step addresses an important limitation of identity-based and approval-based access control: a legitimate participant may still request data that fall outside the scope of the patient's consent.</w:t>
      </w:r>
      <w:r>
        <w:rPr>
          <w:rFonts w:ascii="Times New Roman" w:cs="Times New Roman" w:eastAsia="Times New Roman" w:hAnsi="Times New Roman"/>
          <w:sz w:val="22"/>
          <w:szCs w:val="22"/>
        </w:rPr>
        <w:t xml:space="preserve"> For example, if a consent authorises access to observations and medications, a request for observations, medications, and procedures should be rejected because the request exceeds the authorised data scope.</w:t>
      </w:r>
      <w:r>
        <w:rPr>
          <w:rFonts w:ascii="Times New Roman" w:cs="Times New Roman" w:eastAsia="Times New Roman" w:hAnsi="Times New Roman"/>
          <w:sz w:val="22"/>
          <w:szCs w:val="22"/>
        </w:rPr>
        <w:t xml:space="preserve"> Similarly, the requested purpose must be consistent with the purpose specified in the consent.</w:t>
      </w:r>
      <w:r>
        <w:rPr>
          <w:rFonts w:ascii="Times New Roman" w:cs="Times New Roman" w:eastAsia="Times New Roman" w:hAnsi="Times New Roman"/>
          <w:sz w:val="22"/>
          <w:szCs w:val="22"/>
        </w:rPr>
        <w:t xml:space="preserve"> Consequently, a valid identity and sufficient multi-party approval are necessary but not sufficient conditions for access.</w:t>
      </w:r>
      <w:r>
        <w:rPr>
          <w:rFonts w:ascii="Times New Roman" w:cs="Times New Roman" w:eastAsia="Times New Roman" w:hAnsi="Times New Roman"/>
          <w:sz w:val="22"/>
          <w:szCs w:val="22"/>
        </w:rPr>
        <w:t xml:space="preserve">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w:t>
      </w:r>
      <w:r>
        <w:rPr>
          <w:rFonts w:ascii="Times New Roman" w:cs="Times New Roman" w:eastAsia="Times New Roman" w:hAnsi="Times New Roman"/>
          <w:sz w:val="22"/>
          <w:szCs w:val="22"/>
        </w:rPr>
        <w:t xml:space="preserve"> RO1 is primarily represented in the Model through the development of the trust-aware consent object C = (I, A, P, T, L, E).</w:t>
      </w:r>
      <w:r>
        <w:rPr>
          <w:rFonts w:ascii="Times New Roman" w:cs="Times New Roman" w:eastAsia="Times New Roman" w:hAnsi="Times New Roman"/>
          <w:sz w:val="22"/>
          <w:szCs w:val="22"/>
        </w:rPr>
        <w:t xml:space="preserve"> RO2 is implemented through the identity and authority verification mechanisms coordinated by the Controller.</w:t>
      </w:r>
      <w:r>
        <w:rPr>
          <w:rFonts w:ascii="Times New Roman" w:cs="Times New Roman" w:eastAsia="Times New Roman" w:hAnsi="Times New Roman"/>
          <w:sz w:val="22"/>
          <w:szCs w:val="22"/>
        </w:rPr>
        <w:t xml:space="preserve"> RO3 is realised through the multi-party approval and threshold evaluation process.</w:t>
      </w:r>
      <w:r>
        <w:rPr>
          <w:rFonts w:ascii="Times New Roman" w:cs="Times New Roman" w:eastAsia="Times New Roman" w:hAnsi="Times New Roman"/>
          <w:sz w:val="22"/>
          <w:szCs w:val="22"/>
        </w:rPr>
        <w:t xml:space="preserve"> RO4 is implemented through the policy evaluation mechanisms that constrain the authorised purpose and healthcare data scope.</w:t>
      </w:r>
      <w:r>
        <w:rPr>
          <w:rFonts w:ascii="Times New Roman" w:cs="Times New Roman" w:eastAsia="Times New Roman" w:hAnsi="Times New Roman"/>
          <w:sz w:val="22"/>
          <w:szCs w:val="22"/>
        </w:rPr>
        <w:t xml:space="preserv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 evaluated by the Controller before an access decision is produced.</w:t>
      </w:r>
      <w:r>
        <w:rPr>
          <w:rFonts w:ascii="Times New Roman" w:cs="Times New Roman" w:eastAsia="Times New Roman" w:hAnsi="Times New Roman"/>
          <w:sz w:val="22"/>
          <w:szCs w:val="22"/>
        </w:rPr>
        <w:t xml:space="preserve"> RO6 operates across the complete architecture rather than being confined to a single MVC layer.</w:t>
      </w:r>
      <w:r>
        <w:rPr>
          <w:rFonts w:ascii="Times New Roman" w:cs="Times New Roman" w:eastAsia="Times New Roman" w:hAnsi="Times New Roman"/>
          <w:sz w:val="22"/>
          <w:szCs w:val="22"/>
        </w:rPr>
        <w:t xml:space="preserve"> Formal security assurance evaluates the logical properties of the integrated model, while empirical validation evaluates whether the implementation consistently realises those properties.</w:t>
      </w:r>
      <w:r>
        <w:rPr>
          <w:rFonts w:ascii="Times New Roman" w:cs="Times New Roman" w:eastAsia="Times New Roman" w:hAnsi="Times New Roman"/>
          <w:color w:val="00A000"/>
          <w:sz w:val="22"/>
          <w:szCs w:val="22"/>
        </w:rPr>
        <w:t xml:space="preserve">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evaluates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principal contribution of the proposed architecture is not the use of MVC itself, but the way in which MVC is employed to operationalise a trust-oriented authorisation model.</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w:t>
      </w:r>
      <w:r>
        <w:rPr>
          <w:rFonts w:ascii="Times New Roman" w:cs="Times New Roman" w:eastAsia="Times New Roman" w:hAnsi="Times New Roman"/>
          <w:color w:val="00A000"/>
          <w:sz w:val="22"/>
          <w:szCs w:val="22"/>
        </w:rPr>
        <w:t xml:space="preserve"> The evaluable consent object as such is already present in the literature [21, 24, 28, 48].</w:t>
      </w:r>
      <w:r>
        <w:rPr>
          <w:rFonts w:ascii="Times New Roman" w:cs="Times New Roman" w:eastAsia="Times New Roman" w:hAnsi="Times New Roman"/>
          <w:sz w:val="22"/>
          <w:szCs w:val="22"/>
        </w:rPr>
        <w:t xml:space="preserve"> The key innovation is that consent effectiveness depends on the joint satisfaction of identity, authority, collective approval, policy, temporal, and jurisdictional conditions on every access decision.</w:t>
      </w:r>
      <w:r>
        <w:rPr>
          <w:rFonts w:ascii="Times New Roman" w:cs="Times New Roman" w:eastAsia="Times New Roman" w:hAnsi="Times New Roman"/>
          <w:sz w:val="22"/>
          <w:szCs w:val="22"/>
        </w:rPr>
        <w:t xml:space="preserve"> Blockchain or other tamper-resistant storage mechanisms are integrated as infrastructure for preserving selected authorisation evidence.</w:t>
      </w:r>
      <w:r>
        <w:rPr>
          <w:rFonts w:ascii="Times New Roman" w:cs="Times New Roman" w:eastAsia="Times New Roman" w:hAnsi="Times New Roman"/>
          <w:sz w:val="22"/>
          <w:szCs w:val="22"/>
        </w:rPr>
        <w:t xml:space="preserve"> However, the blockchain itself is not treated as the source of trust.</w:t>
      </w:r>
      <w:r>
        <w:rPr>
          <w:rFonts w:ascii="Times New Roman" w:cs="Times New Roman" w:eastAsia="Times New Roman" w:hAnsi="Times New Roman"/>
          <w:sz w:val="22"/>
          <w:szCs w:val="22"/>
        </w:rPr>
        <w:t xml:space="preserve"> Its role is to strengthen integrity, non-repudiation, and auditability of the evidence generated by the authorisation process [10, 18].</w:t>
      </w:r>
      <w:r>
        <w:rPr>
          <w:rFonts w:ascii="Times New Roman" w:cs="Times New Roman" w:eastAsia="Times New Roman" w:hAnsi="Times New Roman"/>
          <w:color w:val="00A000"/>
          <w:sz w:val="22"/>
          <w:szCs w:val="22"/>
        </w:rPr>
        <w:t xml:space="preserve"> The detailed solutions for RQ1 to RQ6 are presented in Sections 6 to 11, and the formal assurance of the complete decision model remains for CA3.</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6.1  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w:t>
      </w:r>
      <w:r>
        <w:rPr>
          <w:rFonts w:ascii="Times New Roman" w:cs="Times New Roman" w:eastAsia="Times New Roman" w:hAnsi="Times New Roman"/>
          <w:sz w:val="22"/>
          <w:szCs w:val="22"/>
        </w:rPr>
        <w:t xml:space="preserve"> The purpose of this objective is to establish a formal representation of what the patient intends to authorise, who is permitted to participate in the authorisation process, which healthcare data may be accessed, and under what conditions.</w:t>
      </w:r>
      <w:r>
        <w:rPr>
          <w:rFonts w:ascii="Times New Roman" w:cs="Times New Roman" w:eastAsia="Times New Roman" w:hAnsi="Times New Roman"/>
          <w:sz w:val="22"/>
          <w:szCs w:val="22"/>
        </w:rPr>
        <w:t xml:space="preserve"> The proposed consent object is represented as Equation (5).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(5)</w:t>
      </w:r>
    </w:p>
    <w:p>
      <w:pPr>
        <w:spacing w:after="110" w:line="264"/>
        <w:jc w:val="both"/>
      </w:pPr>
      <w:r>
        <w:rPr>
          <w:rFonts w:ascii="Times New Roman" w:cs="Times New Roman" w:eastAsia="Times New Roman" w:hAnsi="Times New Roman"/>
          <w:sz w:val="22"/>
          <w:szCs w:val="22"/>
        </w:rPr>
        <w:t xml:space="preserve">In Equation (5), I represents patient and participant identity information, A represents authorisation requirements, P represents policy constraints, and E represents authorisation evidence.</w:t>
      </w:r>
      <w:r>
        <w:rPr>
          <w:rFonts w:ascii="Times New Roman" w:cs="Times New Roman" w:eastAsia="Times New Roman" w:hAnsi="Times New Roman"/>
          <w:color w:val="00A000"/>
          <w:sz w:val="22"/>
          <w:szCs w:val="22"/>
        </w:rPr>
        <w:t xml:space="preserve"> T represents the temporal validity window, and L represents the jurisdiction in which the consent may be exercised.</w:t>
      </w:r>
      <w:r>
        <w:rPr>
          <w:rFonts w:ascii="Times New Roman" w:cs="Times New Roman" w:eastAsia="Times New Roman" w:hAnsi="Times New Roman"/>
          <w:sz w:val="22"/>
          <w:szCs w:val="22"/>
        </w:rPr>
        <w:t xml:space="preserve"> The identity component identifies the patient and relevant participants.</w:t>
      </w:r>
      <w:r>
        <w:rPr>
          <w:rFonts w:ascii="Times New Roman" w:cs="Times New Roman" w:eastAsia="Times New Roman" w:hAnsi="Times New Roman"/>
          <w:sz w:val="22"/>
          <w:szCs w:val="22"/>
        </w:rPr>
        <w:t xml:space="preserve"> The authorisation component defines the required participants and approval threshold.</w:t>
      </w:r>
      <w:r>
        <w:rPr>
          <w:rFonts w:ascii="Times New Roman" w:cs="Times New Roman" w:eastAsia="Times New Roman" w:hAnsi="Times New Roman"/>
          <w:sz w:val="22"/>
          <w:szCs w:val="22"/>
        </w:rPr>
        <w:t xml:space="preserve"> The policy component specifies the permitted purpose and healthcare data scope.</w:t>
      </w:r>
      <w:r>
        <w:rPr>
          <w:rFonts w:ascii="Times New Roman" w:cs="Times New Roman" w:eastAsia="Times New Roman" w:hAnsi="Times New Roman"/>
          <w:sz w:val="22"/>
          <w:szCs w:val="22"/>
        </w:rPr>
        <w:t xml:space="preserve"> The evidence component records the information required to support subsequent verification and audit.</w:t>
      </w:r>
      <w:r>
        <w:rPr>
          <w:rFonts w:ascii="Times New Roman" w:cs="Times New Roman" w:eastAsia="Times New Roman" w:hAnsi="Times New Roman"/>
          <w:sz w:val="22"/>
          <w:szCs w:val="22"/>
        </w:rPr>
        <w:t xml:space="preserve"> The consent model therefore separates the specification of consent from the final access decision.</w:t>
      </w:r>
      <w:r>
        <w:rPr>
          <w:rFonts w:ascii="Times New Roman" w:cs="Times New Roman" w:eastAsia="Times New Roman" w:hAnsi="Times New Roman"/>
          <w:sz w:val="22"/>
          <w:szCs w:val="22"/>
        </w:rPr>
        <w:t xml:space="preserve"> A consent object does not automatically imply that every subsequent request is authorised.</w:t>
      </w:r>
      <w:r>
        <w:rPr>
          <w:rFonts w:ascii="Times New Roman" w:cs="Times New Roman" w:eastAsia="Times New Roman" w:hAnsi="Times New Roman"/>
          <w:sz w:val="22"/>
          <w:szCs w:val="22"/>
        </w:rPr>
        <w:t xml:space="preserve">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Consent Creation Workflow</w:t>
      </w:r>
    </w:p>
    <w:p>
      <w:pPr>
        <w:spacing w:after="110" w:line="264"/>
        <w:jc w:val="both"/>
      </w:pPr>
      <w:r>
        <w:rPr>
          <w:rFonts w:ascii="Times New Roman" w:cs="Times New Roman" w:eastAsia="Times New Roman" w:hAnsi="Times New Roman"/>
          <w:sz w:val="22"/>
          <w:szCs w:val="22"/>
        </w:rPr>
        <w:t xml:space="preserve">Figure 7 describes the creation of a trust-aware consent object.</w:t>
      </w:r>
      <w:r>
        <w:rPr>
          <w:rFonts w:ascii="Times New Roman" w:cs="Times New Roman" w:eastAsia="Times New Roman" w:hAnsi="Times New Roman"/>
          <w:sz w:val="22"/>
          <w:szCs w:val="22"/>
        </w:rPr>
        <w:t xml:space="preserve"> The process begins with a patient request and ends with a structured consent record that can be verified by subsequent authorisation services.</w:t>
      </w:r>
      <w:r>
        <w:rPr>
          <w:rFonts w:ascii="Times New Roman" w:cs="Times New Roman" w:eastAsia="Times New Roman" w:hAnsi="Times New Roman"/>
          <w:sz w:val="22"/>
          <w:szCs w:val="22"/>
        </w:rPr>
        <w:t xml:space="preserve"> The workflow first collects the patient identity and the intended healthcare participants.</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w:t>
      </w:r>
      <w:r>
        <w:rPr>
          <w:rFonts w:ascii="Times New Roman" w:cs="Times New Roman" w:eastAsia="Times New Roman" w:hAnsi="Times New Roman"/>
          <w:sz w:val="22"/>
          <w:szCs w:val="22"/>
        </w:rPr>
        <w:t xml:space="preserve"> The implementation also collects the start and expiry time of the consent.</w:t>
      </w:r>
      <w:r>
        <w:rPr>
          <w:rFonts w:ascii="Times New Roman" w:cs="Times New Roman" w:eastAsia="Times New Roman" w:hAnsi="Times New Roman"/>
          <w:color w:val="00A000"/>
          <w:sz w:val="22"/>
          <w:szCs w:val="22"/>
        </w:rPr>
        <w:t xml:space="preserve">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419350" cy="428625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193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RO1 workflow for trust-centric consent creation.</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w:t>
      </w:r>
      <w:r>
        <w:rPr>
          <w:rFonts w:ascii="Times New Roman" w:cs="Times New Roman" w:eastAsia="Times New Roman" w:hAnsi="Times New Roman"/>
          <w:sz w:val="22"/>
          <w:szCs w:val="22"/>
        </w:rPr>
        <w:t xml:space="preserve"> For example, the expiry time must be later than the start time.</w:t>
      </w:r>
      <w:r>
        <w:rPr>
          <w:rFonts w:ascii="Times New Roman" w:cs="Times New Roman" w:eastAsia="Times New Roman" w:hAnsi="Times New Roman"/>
          <w:sz w:val="22"/>
          <w:szCs w:val="22"/>
        </w:rPr>
        <w:t xml:space="preserve"> After validation, the system creates the consent object, assigns a consent identifier, persists the record, and records the creation event in the audit layer.</w:t>
      </w:r>
      <w:r>
        <w:rPr>
          <w:rFonts w:ascii="Times New Roman" w:cs="Times New Roman" w:eastAsia="Times New Roman" w:hAnsi="Times New Roman"/>
          <w:sz w:val="22"/>
          <w:szCs w:val="22"/>
        </w:rPr>
        <w:t xml:space="preserve"> This process ensures that the consent object contains sufficient information for subsequent identity verification, multi-party authorisation, policy evaluation, and auditability.</w:t>
      </w:r>
      <w:r>
        <w:rPr>
          <w:rFonts w:ascii="Times New Roman" w:cs="Times New Roman" w:eastAsia="Times New Roman" w:hAnsi="Times New Roman"/>
          <w:color w:val="00A000"/>
          <w:sz w:val="22"/>
          <w:szCs w:val="22"/>
        </w:rPr>
        <w:t xml:space="preserve"> The declared jurisdiction L is validated as a well-formed ISO alpha-2 territory code, AU in the demonstrated transactions, and is bound to the consent object at creation because the subsequent access decision is evaluated against it.</w:t>
      </w:r>
    </w:p>
    <w:p>
      <w:pPr>
        <w:pStyle w:val="Heading2"/>
        <w:keepNext/>
        <w:spacing w:after="120" w:before="240"/>
      </w:pPr>
      <w:r>
        <w:rPr>
          <w:rFonts w:ascii="Times New Roman" w:cs="Times New Roman" w:eastAsia="Times New Roman" w:hAnsi="Times New Roman"/>
          <w:b/>
          <w:bCs/>
          <w:sz w:val="26"/>
          <w:szCs w:val="26"/>
        </w:rPr>
        <w:t xml:space="preserve">6.3  Structure of the Consent Object</w:t>
      </w:r>
    </w:p>
    <w:p>
      <w:pPr>
        <w:spacing w:after="110" w:line="264"/>
        <w:jc w:val="both"/>
      </w:pPr>
      <w:r>
        <w:rPr>
          <w:rFonts w:ascii="Times New Roman" w:cs="Times New Roman" w:eastAsia="Times New Roman" w:hAnsi="Times New Roman"/>
          <w:sz w:val="22"/>
          <w:szCs w:val="22"/>
        </w:rPr>
        <w:t xml:space="preserve">Figure 8 shows how the validated information is combined to construct the consent object.</w:t>
      </w:r>
      <w:r>
        <w:rPr>
          <w:rFonts w:ascii="Times New Roman" w:cs="Times New Roman" w:eastAsia="Times New Roman" w:hAnsi="Times New Roman"/>
          <w:sz w:val="22"/>
          <w:szCs w:val="22"/>
        </w:rPr>
        <w:t xml:space="preserve"> The resulting object therefore captures not only the patient's preference but also the evidence required to support subsequent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title="Six-component consent model C = (I, A, P, T, L, E) with the content and supplier of each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Six-component consent model C = (I, A, P, T, L, E) with the content and supplier of each component.</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r>
        <w:rPr>
          <w:rFonts w:ascii="Times New Roman" w:cs="Times New Roman" w:eastAsia="Times New Roman" w:hAnsi="Times New Roman"/>
          <w:color w:val="00A000"/>
          <w:sz w:val="22"/>
          <w:szCs w:val="22"/>
        </w:rPr>
        <w:t xml:space="preserve"> Unlike the consent objects reported in the literature [21, 24, 28, 48, 66], this object carries the guardian set and threshold together with the purpose, data scope, validity interval, jurisdiction, and lifecycle state.</w:t>
      </w:r>
    </w:p>
    <w:p>
      <w:pPr>
        <w:pStyle w:val="Heading2"/>
        <w:keepNext/>
        <w:spacing w:after="120" w:before="240"/>
      </w:pPr>
      <w:r>
        <w:rPr>
          <w:rFonts w:ascii="Times New Roman" w:cs="Times New Roman" w:eastAsia="Times New Roman" w:hAnsi="Times New Roman"/>
          <w:b/>
          <w:bCs/>
          <w:sz w:val="26"/>
          <w:szCs w:val="26"/>
        </w:rPr>
        <w:t xml:space="preserve">6.4  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w:t>
      </w:r>
      <w:r>
        <w:rPr>
          <w:rFonts w:ascii="Times New Roman" w:cs="Times New Roman" w:eastAsia="Times New Roman" w:hAnsi="Times New Roman"/>
          <w:sz w:val="22"/>
          <w:szCs w:val="22"/>
        </w:rPr>
        <w:t xml:space="preserve">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w:t>
      </w:r>
      <w:r>
        <w:rPr>
          <w:rFonts w:ascii="Times New Roman" w:cs="Times New Roman" w:eastAsia="Times New Roman" w:hAnsi="Times New Roman"/>
          <w:color w:val="00A000"/>
          <w:sz w:val="22"/>
          <w:szCs w:val="22"/>
        </w:rPr>
        <w:t xml:space="preserve"> The system validates the designated doctor D.</w:t>
      </w:r>
      <w:r>
        <w:rPr>
          <w:rFonts w:ascii="Times New Roman" w:cs="Times New Roman" w:eastAsia="Times New Roman" w:hAnsi="Times New Roman"/>
          <w:sz w:val="22"/>
          <w:szCs w:val="22"/>
        </w:rPr>
        <w:t xml:space="preserve"> If a guardian or proxy is specified, the system validates the guardian set G.</w:t>
      </w:r>
      <w:r>
        <w:rPr>
          <w:rFonts w:ascii="Times New Roman" w:cs="Times New Roman" w:eastAsia="Times New Roman" w:hAnsi="Times New Roman"/>
          <w:sz w:val="22"/>
          <w:szCs w:val="22"/>
        </w:rPr>
        <w:t xml:space="preserve"> This step prevents an arbitrary third party from being treated as an authorised representative of the patient.</w:t>
      </w:r>
      <w:r>
        <w:rPr>
          <w:rFonts w:ascii="Times New Roman" w:cs="Times New Roman" w:eastAsia="Times New Roman" w:hAnsi="Times New Roman"/>
          <w:sz w:val="22"/>
          <w:szCs w:val="22"/>
        </w:rPr>
        <w:t xml:space="preserve">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w:t>
      </w:r>
      <w:r>
        <w:rPr>
          <w:rFonts w:ascii="Times New Roman" w:cs="Times New Roman" w:eastAsia="Times New Roman" w:hAnsi="Times New Roman"/>
          <w:sz w:val="22"/>
          <w:szCs w:val="22"/>
        </w:rPr>
        <w:t xml:space="preserve"> The requested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w:t>
      </w:r>
      <w:r>
        <w:rPr>
          <w:rFonts w:ascii="Times New Roman" w:cs="Times New Roman" w:eastAsia="Times New Roman" w:hAnsi="Times New Roman"/>
          <w:sz w:val="22"/>
          <w:szCs w:val="22"/>
        </w:rPr>
        <w:t xml:space="preserve"> The scope may represent specific resource categories, such as observations, medications, procedures, or other FHIR resources.</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If this condition is not satisfied, the consent request is rejected.</w:t>
      </w:r>
      <w:r>
        <w:rPr>
          <w:rFonts w:ascii="Times New Roman" w:cs="Times New Roman" w:eastAsia="Times New Roman" w:hAnsi="Times New Roman"/>
          <w:sz w:val="22"/>
          <w:szCs w:val="22"/>
        </w:rPr>
        <w:t xml:space="preserve"> After all input elements have been validated, the system defines the authorisation requirement A.</w:t>
      </w:r>
      <w:r>
        <w:rPr>
          <w:rFonts w:ascii="Times New Roman" w:cs="Times New Roman" w:eastAsia="Times New Roman" w:hAnsi="Times New Roman"/>
          <w:sz w:val="22"/>
          <w:szCs w:val="22"/>
        </w:rPr>
        <w:t xml:space="preserve"> This requirement specifies the conditions that must subsequently be satisfied before access can be granted.</w:t>
      </w:r>
      <w:r>
        <w:rPr>
          <w:rFonts w:ascii="Times New Roman" w:cs="Times New Roman" w:eastAsia="Times New Roman" w:hAnsi="Times New Roman"/>
          <w:sz w:val="22"/>
          <w:szCs w:val="22"/>
        </w:rPr>
        <w:t xml:space="preserve">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w:t>
      </w:r>
      <w:r>
        <w:rPr>
          <w:rFonts w:ascii="Times New Roman" w:cs="Times New Roman" w:eastAsia="Times New Roman" w:hAnsi="Times New Roman"/>
          <w:color w:val="00A000"/>
          <w:sz w:val="22"/>
          <w:szCs w:val="22"/>
        </w:rPr>
        <w:t xml:space="preserve"> Possession of the identifier alone grants no access, because every subsequent request is evaluated by the complete decision rule.</w:t>
      </w:r>
      <w:r>
        <w:rPr>
          <w:rFonts w:ascii="Times New Roman" w:cs="Times New Roman" w:eastAsia="Times New Roman" w:hAnsi="Times New Roman"/>
          <w:color w:val="00A000"/>
          <w:sz w:val="22"/>
          <w:szCs w:val="22"/>
        </w:rPr>
        <w:t xml:space="preserve"> The smart contract assigns the on-chain token identifier separately, only when the consent is activated.</w:t>
      </w:r>
      <w:r>
        <w:rPr>
          <w:rFonts w:ascii="Times New Roman" w:cs="Times New Roman" w:eastAsia="Times New Roman" w:hAnsi="Times New Roman"/>
          <w:sz w:val="22"/>
          <w:szCs w:val="22"/>
        </w:rPr>
        <w:t xml:space="preserve"> The constructed consent object C is persisted, and finally the system records evidence associated with the creation event.</w:t>
      </w:r>
      <w:r>
        <w:rPr>
          <w:rFonts w:ascii="Times New Roman" w:cs="Times New Roman" w:eastAsia="Times New Roman" w:hAnsi="Times New Roman"/>
          <w:color w:val="00A000"/>
          <w:sz w:val="22"/>
          <w:szCs w:val="22"/>
        </w:rPr>
        <w:t xml:space="preserve"> The overall procedure can therefore be represented as a sequential trust establishment process that I</w:t>
      </w:r>
      <w:r>
        <w:rPr>
          <w:rFonts w:ascii="Times New Roman" w:cs="Times New Roman" w:eastAsia="Times New Roman" w:hAnsi="Times New Roman"/>
          <w:color w:val="00A000"/>
          <w:sz w:val="22"/>
          <w:szCs w:val="22"/>
          <w:vertAlign w:val="subscript"/>
        </w:rPr>
        <w:t xml:space="preserve">p</w:t>
      </w:r>
      <w:r>
        <w:rPr>
          <w:rFonts w:ascii="Times New Roman" w:cs="Times New Roman" w:eastAsia="Times New Roman" w:hAnsi="Times New Roman"/>
          <w:color w:val="00A000"/>
          <w:sz w:val="22"/>
          <w:szCs w:val="22"/>
        </w:rPr>
        <w:t xml:space="preserve"> → D → G → P</w:t>
      </w:r>
      <w:r>
        <w:rPr>
          <w:rFonts w:ascii="Times New Roman" w:cs="Times New Roman" w:eastAsia="Times New Roman" w:hAnsi="Times New Roman"/>
          <w:color w:val="00A000"/>
          <w:sz w:val="22"/>
          <w:szCs w:val="22"/>
          <w:vertAlign w:val="subscript"/>
        </w:rPr>
        <w:t xml:space="preserve">u</w:t>
      </w:r>
      <w:r>
        <w:rPr>
          <w:rFonts w:ascii="Times New Roman" w:cs="Times New Roman" w:eastAsia="Times New Roman" w:hAnsi="Times New Roman"/>
          <w:color w:val="00A000"/>
          <w:sz w:val="22"/>
          <w:szCs w:val="22"/>
        </w:rPr>
        <w:t xml:space="preserve"> → S</w:t>
      </w:r>
      <w:r>
        <w:rPr>
          <w:rFonts w:ascii="Times New Roman" w:cs="Times New Roman" w:eastAsia="Times New Roman" w:hAnsi="Times New Roman"/>
          <w:color w:val="00A000"/>
          <w:sz w:val="22"/>
          <w:szCs w:val="22"/>
          <w:vertAlign w:val="subscript"/>
        </w:rPr>
        <w:t xml:space="preserve">C</w:t>
      </w:r>
      <w:r>
        <w:rPr>
          <w:rFonts w:ascii="Times New Roman" w:cs="Times New Roman" w:eastAsia="Times New Roman" w:hAnsi="Times New Roman"/>
          <w:color w:val="00A000"/>
          <w:sz w:val="22"/>
          <w:szCs w:val="22"/>
        </w:rPr>
        <w:t xml:space="preserve"> → T → L → A → id</w:t>
      </w:r>
      <w:r>
        <w:rPr>
          <w:rFonts w:ascii="Times New Roman" w:cs="Times New Roman" w:eastAsia="Times New Roman" w:hAnsi="Times New Roman"/>
          <w:color w:val="00A000"/>
          <w:sz w:val="22"/>
          <w:szCs w:val="22"/>
          <w:vertAlign w:val="subscript"/>
        </w:rPr>
        <w:t xml:space="preserve">C</w:t>
      </w:r>
      <w:r>
        <w:rPr>
          <w:rFonts w:ascii="Times New Roman" w:cs="Times New Roman" w:eastAsia="Times New Roman" w:hAnsi="Times New Roman"/>
          <w:color w:val="00A000"/>
          <w:sz w:val="22"/>
          <w:szCs w:val="22"/>
        </w:rPr>
        <w:t xml:space="preserve"> → C → E.</w:t>
      </w:r>
      <w:r>
        <w:rPr>
          <w:rFonts w:ascii="Times New Roman" w:cs="Times New Roman" w:eastAsia="Times New Roman" w:hAnsi="Times New Roman"/>
          <w:sz w:val="22"/>
          <w:szCs w:val="22"/>
        </w:rPr>
        <w:t xml:space="preserve"> This sequence ensures that consent is created only after the relevant identity, authority, purpose, scope, and temporal constraints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validity interval T, jurisdiction L</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Validate authorised doctor D</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Validate guardian set G</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sz w:val="19"/>
          <w:szCs w:val="19"/>
        </w:rPr>
        <w:t xml:space="preserve">Validate purpose P</w:t>
      </w:r>
      <w:r>
        <w:rPr>
          <w:rFonts w:ascii="Times New Roman" w:cs="Times New Roman" w:eastAsia="Times New Roman" w:hAnsi="Times New Roman"/>
          <w:sz w:val="19"/>
          <w:szCs w:val="19"/>
          <w:vertAlign w:val="subscript"/>
        </w:rPr>
        <w:t xml:space="preserve">u</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Validate data scope S</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Validate jurisdiction L and 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sz w:val="19"/>
          <w:szCs w:val="19"/>
        </w:rPr>
        <w:t xml:space="preserve">Construct C = (I, A, P, T, L, E)</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state ← PENDING_SIGNATURE   ▷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1 formalises the creation process.</w:t>
      </w:r>
      <w:r>
        <w:rPr>
          <w:rFonts w:ascii="Times New Roman" w:cs="Times New Roman" w:eastAsia="Times New Roman" w:hAnsi="Times New Roman"/>
          <w:sz w:val="22"/>
          <w:szCs w:val="22"/>
        </w:rPr>
        <w:t xml:space="preserve"> The algorithm does not grant data access directly.</w:t>
      </w:r>
      <w:r>
        <w:rPr>
          <w:rFonts w:ascii="Times New Roman" w:cs="Times New Roman" w:eastAsia="Times New Roman" w:hAnsi="Times New Roman"/>
          <w:sz w:val="22"/>
          <w:szCs w:val="22"/>
        </w:rPr>
        <w:t xml:space="preserve"> Instead, it creates a consent object that can later be evaluated by the authorisation mechanism.</w:t>
      </w:r>
      <w:r>
        <w:rPr>
          <w:rFonts w:ascii="Times New Roman" w:cs="Times New Roman" w:eastAsia="Times New Roman" w:hAnsi="Times New Roman"/>
          <w:sz w:val="22"/>
          <w:szCs w:val="22"/>
        </w:rPr>
        <w:t xml:space="preserve"> This distinction is important because the research treats consent as a structured policy-bound object rather than as a simple Boolean permission.</w:t>
      </w:r>
      <w:r>
        <w:rPr>
          <w:rFonts w:ascii="Times New Roman" w:cs="Times New Roman" w:eastAsia="Times New Roman" w:hAnsi="Times New Roman"/>
          <w:color w:val="00A000"/>
          <w:sz w:val="22"/>
          <w:szCs w:val="22"/>
        </w:rPr>
        <w:t xml:space="preserve"> The consent is placed in the PENDING_SIGNATURE state, and nothing is anchored on-chain until all guardians approve.</w:t>
      </w:r>
      <w:r>
        <w:rPr>
          <w:rFonts w:ascii="Times New Roman" w:cs="Times New Roman" w:eastAsia="Times New Roman" w:hAnsi="Times New Roman"/>
          <w:sz w:val="22"/>
          <w:szCs w:val="22"/>
        </w:rPr>
        <w:t xml:space="preserve"> The algorithm also establishes the relationship between RO1 and the remaining objectives.</w:t>
      </w:r>
      <w:r>
        <w:rPr>
          <w:rFonts w:ascii="Times New Roman" w:cs="Times New Roman" w:eastAsia="Times New Roman" w:hAnsi="Times New Roman"/>
          <w:sz w:val="22"/>
          <w:szCs w:val="22"/>
        </w:rPr>
        <w:t xml:space="preserve"> RO2 uses the identity and authority information contained in I, RO3 evaluates the authorisation requirements contained in A, and RO4 evaluates the policy constraints contained in P.</w:t>
      </w:r>
      <w:r>
        <w:rPr>
          <w:rFonts w:ascii="Times New Roman" w:cs="Times New Roman" w:eastAsia="Times New Roman" w:hAnsi="Times New Roman"/>
          <w:sz w:val="22"/>
          <w:szCs w:val="22"/>
        </w:rPr>
        <w:t xml:space="preserve">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w:t>
      </w:r>
      <w:r>
        <w:rPr>
          <w:rFonts w:ascii="Times New Roman" w:cs="Times New Roman" w:eastAsia="Times New Roman" w:hAnsi="Times New Roman"/>
          <w:sz w:val="22"/>
          <w:szCs w:val="22"/>
        </w:rPr>
        <w:t xml:space="preserve"> The main contribution of RO1 is the transformation of consent from a static permission record into a structured authorisation object.</w:t>
      </w:r>
      <w:r>
        <w:rPr>
          <w:rFonts w:ascii="Times New Roman" w:cs="Times New Roman" w:eastAsia="Times New Roman" w:hAnsi="Times New Roman"/>
          <w:sz w:val="22"/>
          <w:szCs w:val="22"/>
        </w:rPr>
        <w:t xml:space="preserve"> The current result demonstrates that consent can be represented as an evaluable authorisation object rather than as a binary permission.</w:t>
      </w:r>
      <w:r>
        <w:rPr>
          <w:rFonts w:ascii="Times New Roman" w:cs="Times New Roman" w:eastAsia="Times New Roman" w:hAnsi="Times New Roman"/>
          <w:color w:val="00A000"/>
          <w:sz w:val="22"/>
          <w:szCs w:val="22"/>
        </w:rPr>
        <w:t xml:space="preserve"> In the current prototype, the identity validation of the first three steps is structural.</w:t>
      </w:r>
      <w:r>
        <w:rPr>
          <w:rFonts w:ascii="Times New Roman" w:cs="Times New Roman" w:eastAsia="Times New Roman" w:hAnsi="Times New Roman"/>
          <w:color w:val="00A000"/>
          <w:sz w:val="22"/>
          <w:szCs w:val="22"/>
        </w:rPr>
        <w:t xml:space="preserve"> In particular, the patient DID is selected from the loaded record set, and each guardian DID must be a well-formed DID before the consent is stored, whereas the doctor DID is checked for DID format only when the access decision is evaluated, as qualified in Section 7.</w:t>
      </w:r>
      <w:r>
        <w:rPr>
          <w:rFonts w:ascii="Times New Roman" w:cs="Times New Roman" w:eastAsia="Times New Roman" w:hAnsi="Times New Roman"/>
          <w:color w:val="00A000"/>
          <w:sz w:val="22"/>
          <w:szCs w:val="22"/>
        </w:rPr>
        <w:t xml:space="preserve"> The validation evidence for consent creation, including the demonstration scenarios and the unit-level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7.1  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w:t>
      </w:r>
      <w:r>
        <w:rPr>
          <w:rFonts w:ascii="Times New Roman" w:cs="Times New Roman" w:eastAsia="Times New Roman" w:hAnsi="Times New Roman"/>
          <w:sz w:val="22"/>
          <w:szCs w:val="22"/>
        </w:rPr>
        <w:t xml:space="preserve"> The objective is to establish trustworthy participants while separating identity authentication from authorisation authority.</w:t>
      </w:r>
      <w:r>
        <w:rPr>
          <w:rFonts w:ascii="Times New Roman" w:cs="Times New Roman" w:eastAsia="Times New Roman" w:hAnsi="Times New Roman"/>
          <w:sz w:val="22"/>
          <w:szCs w:val="22"/>
        </w:rPr>
        <w:t xml:space="preserve"> RO2 provides the trust inputs required by the subsequent multi-party authorisation process.</w:t>
      </w:r>
      <w:r>
        <w:rPr>
          <w:rFonts w:ascii="Times New Roman" w:cs="Times New Roman" w:eastAsia="Times New Roman" w:hAnsi="Times New Roman"/>
          <w:sz w:val="22"/>
          <w:szCs w:val="22"/>
        </w:rPr>
        <w:t xml:space="preserve"> The objective is based on the principle that successful identity verification does not automatically imply permission to access healthcare data.</w:t>
      </w:r>
      <w:r>
        <w:rPr>
          <w:rFonts w:ascii="Times New Roman" w:cs="Times New Roman" w:eastAsia="Times New Roman" w:hAnsi="Times New Roman"/>
          <w:sz w:val="22"/>
          <w:szCs w:val="22"/>
        </w:rPr>
        <w:t xml:space="preserve"> The central principle of RO2 is Equation (6).</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(6)</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[16].</w:t>
      </w:r>
      <w:r>
        <w:rPr>
          <w:rFonts w:ascii="Times New Roman" w:cs="Times New Roman" w:eastAsia="Times New Roman" w:hAnsi="Times New Roman"/>
          <w:sz w:val="22"/>
          <w:szCs w:val="22"/>
        </w:rPr>
        <w:t xml:space="preserve"> Neither mechanism should automatically grant access to patient data.</w:t>
      </w:r>
      <w:r>
        <w:rPr>
          <w:rFonts w:ascii="Times New Roman" w:cs="Times New Roman" w:eastAsia="Times New Roman" w:hAnsi="Times New Roman"/>
          <w:sz w:val="22"/>
          <w:szCs w:val="22"/>
        </w:rPr>
        <w:t xml:space="preserve"> Instead, the verified identity and authority information become inputs to the subsequent authorisation process.</w:t>
      </w:r>
      <w:r>
        <w:rPr>
          <w:rFonts w:ascii="Times New Roman" w:cs="Times New Roman" w:eastAsia="Times New Roman" w:hAnsi="Times New Roman"/>
          <w:color w:val="00A000"/>
          <w:sz w:val="22"/>
          <w:szCs w:val="22"/>
        </w:rPr>
        <w:t xml:space="preserve"> The identity and authority verification condition can be expressed as Equation (7), where u is the requesting participant and Authority(u, C) establishes whether the verified authority matches the role required by the consent.</w:t>
      </w:r>
      <w:r>
        <w:rPr>
          <w:rFonts w:ascii="Times New Roman" w:cs="Times New Roman" w:eastAsia="Times New Roman" w:hAnsi="Times New Roman"/>
          <w:sz w:val="22"/>
          <w:szCs w:val="22"/>
        </w:rPr>
        <w:t xml:space="preserve"> The DID verification process establishes whether the identity reference is valid.</w:t>
      </w:r>
      <w:r>
        <w:rPr>
          <w:rFonts w:ascii="Times New Roman" w:cs="Times New Roman" w:eastAsia="Times New Roman" w:hAnsi="Times New Roman"/>
          <w:sz w:val="22"/>
          <w:szCs w:val="22"/>
        </w:rPr>
        <w:t xml:space="preserve"> The VC verification process establishes whether the participant possesses valid authority evidence.</w:t>
      </w:r>
      <w:r>
        <w:rPr>
          <w:rFonts w:ascii="Times New Roman" w:cs="Times New Roman" w:eastAsia="Times New Roman" w:hAnsi="Times New Roman"/>
          <w:sz w:val="22"/>
          <w:szCs w:val="22"/>
        </w:rPr>
        <w:t xml:space="preserv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w:t>
      </w:r>
    </w:p>
    <w:p>
      <w:pPr>
        <w:pStyle w:val="Heading2"/>
        <w:keepNext/>
        <w:spacing w:after="120" w:before="240"/>
      </w:pPr>
      <w:r>
        <w:rPr>
          <w:rFonts w:ascii="Times New Roman" w:cs="Times New Roman" w:eastAsia="Times New Roman" w:hAnsi="Times New Roman"/>
          <w:b/>
          <w:bCs/>
          <w:sz w:val="26"/>
          <w:szCs w:val="26"/>
        </w:rPr>
        <w:t xml:space="preserve">7.2  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w:t>
      </w:r>
      <w:r>
        <w:rPr>
          <w:rFonts w:ascii="Times New Roman" w:cs="Times New Roman" w:eastAsia="Times New Roman" w:hAnsi="Times New Roman"/>
          <w:sz w:val="22"/>
          <w:szCs w:val="22"/>
        </w:rPr>
        <w:t xml:space="preserve"> The system resolves and verifies the participant's DID and then retrieves the associated VC.</w:t>
      </w:r>
      <w:r>
        <w:rPr>
          <w:rFonts w:ascii="Times New Roman" w:cs="Times New Roman" w:eastAsia="Times New Roman" w:hAnsi="Times New Roman"/>
          <w:sz w:val="22"/>
          <w:szCs w:val="22"/>
        </w:rPr>
        <w:t xml:space="preserve"> The credential is checked for validity and its claims are examined to determine whether the participant possesses the authority required by the consent.</w:t>
      </w:r>
      <w:r>
        <w:rPr>
          <w:rFonts w:ascii="Times New Roman" w:cs="Times New Roman" w:eastAsia="Times New Roman" w:hAnsi="Times New Roman"/>
          <w:sz w:val="22"/>
          <w:szCs w:val="22"/>
        </w:rPr>
        <w:t xml:space="preserve"> As shown in Figure 9, the output of RO2 is not an access-grant decision.</w:t>
      </w:r>
      <w:r>
        <w:rPr>
          <w:rFonts w:ascii="Times New Roman" w:cs="Times New Roman" w:eastAsia="Times New Roman" w:hAnsi="Times New Roman"/>
          <w:sz w:val="22"/>
          <w:szCs w:val="22"/>
        </w:rPr>
        <w:t xml:space="preserve"> It is a verified identity and authority result that can be consumed by RO3 and RO4.</w:t>
      </w:r>
      <w:r>
        <w:rPr>
          <w:rFonts w:ascii="Times New Roman" w:cs="Times New Roman" w:eastAsia="Times New Roman" w:hAnsi="Times New Roman"/>
          <w:sz w:val="22"/>
          <w:szCs w:val="22"/>
        </w:rPr>
        <w:t xml:space="preserve"> This separation prevents a participant from obtaining access merely by presenting a valid identity credential.</w:t>
      </w:r>
    </w:p>
    <w:p>
      <w:pPr>
        <w:keepNext/>
        <w:spacing w:after="60" w:before="160"/>
        <w:jc w:val="center"/>
      </w:pPr>
      <w:r>
        <w:drawing>
          <wp:inline distT="0" distB="0" distL="0" distR="0">
            <wp:extent cx="2876550" cy="4286250"/>
            <wp:effectExtent t="0" r="0" b="0" l="0"/>
            <wp:docPr id="1" name="F12.png" descr="RO2 workflow for decentralised identity and authority verification" title="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 </w:t>
      </w:r>
      <w:r>
        <w:rPr>
          <w:rFonts w:ascii="Times New Roman" w:cs="Times New Roman" w:eastAsia="Times New Roman" w:hAnsi="Times New Roman"/>
          <w:sz w:val="18"/>
          <w:szCs w:val="18"/>
        </w:rPr>
        <w:t xml:space="preserve">RO2 workflow for decentralised identity and authority verification.</w:t>
      </w:r>
    </w:p>
    <w:p>
      <w:pPr>
        <w:pStyle w:val="Heading2"/>
        <w:keepNext/>
        <w:spacing w:after="120" w:before="240"/>
      </w:pPr>
      <w:r>
        <w:rPr>
          <w:rFonts w:ascii="Times New Roman" w:cs="Times New Roman" w:eastAsia="Times New Roman" w:hAnsi="Times New Roman"/>
          <w:b/>
          <w:bCs/>
          <w:sz w:val="26"/>
          <w:szCs w:val="26"/>
        </w:rPr>
        <w:t xml:space="preserve">7.3  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w:t>
      </w:r>
      <w:r>
        <w:rPr>
          <w:rFonts w:ascii="Times New Roman" w:cs="Times New Roman" w:eastAsia="Times New Roman" w:hAnsi="Times New Roman"/>
          <w:sz w:val="22"/>
          <w:szCs w:val="22"/>
        </w:rPr>
        <w:t xml:space="preserve"> The system first resolves the decentralised identifier (DID) associated with participant u.</w:t>
      </w:r>
      <w:r>
        <w:rPr>
          <w:rFonts w:ascii="Times New Roman" w:cs="Times New Roman" w:eastAsia="Times New Roman" w:hAnsi="Times New Roman"/>
          <w:sz w:val="22"/>
          <w:szCs w:val="22"/>
        </w:rPr>
        <w:t xml:space="preserve"> The system verifies the DID document and whether the relevant cryptographic information, such as verification methods and public keys, can be trusted.</w:t>
      </w:r>
      <w:r>
        <w:rPr>
          <w:rFonts w:ascii="Times New Roman" w:cs="Times New Roman" w:eastAsia="Times New Roman" w:hAnsi="Times New Roman"/>
          <w:sz w:val="22"/>
          <w:szCs w:val="22"/>
        </w:rPr>
        <w:t xml:space="preserve"> The VC provides machine-verifiable claims, such as professional role, organisational affiliation, or delegated authority.</w:t>
      </w:r>
      <w:r>
        <w:rPr>
          <w:rFonts w:ascii="Times New Roman" w:cs="Times New Roman" w:eastAsia="Times New Roman" w:hAnsi="Times New Roman"/>
          <w:color w:val="00A000"/>
          <w:sz w:val="22"/>
          <w:szCs w:val="22"/>
        </w:rPr>
        <w:t xml:space="preserve"> In the target design, the credential can be considered valid only when VC</w:t>
      </w:r>
      <w:r>
        <w:rPr>
          <w:rFonts w:ascii="Times New Roman" w:cs="Times New Roman" w:eastAsia="Times New Roman" w:hAnsi="Times New Roman"/>
          <w:color w:val="00A000"/>
          <w:sz w:val="22"/>
          <w:szCs w:val="22"/>
          <w:vertAlign w:val="subscript"/>
        </w:rPr>
        <w:t xml:space="preserve">valid</w:t>
      </w:r>
      <w:r>
        <w:rPr>
          <w:rFonts w:ascii="Times New Roman" w:cs="Times New Roman" w:eastAsia="Times New Roman" w:hAnsi="Times New Roman"/>
          <w:color w:val="00A000"/>
          <w:sz w:val="22"/>
          <w:szCs w:val="22"/>
        </w:rPr>
        <w:t xml:space="preserve"> = Sig</w:t>
      </w:r>
      <w:r>
        <w:rPr>
          <w:rFonts w:ascii="Times New Roman" w:cs="Times New Roman" w:eastAsia="Times New Roman" w:hAnsi="Times New Roman"/>
          <w:color w:val="00A000"/>
          <w:sz w:val="22"/>
          <w:szCs w:val="22"/>
          <w:vertAlign w:val="subscript"/>
        </w:rPr>
        <w:t xml:space="preserve">VC</w:t>
      </w:r>
      <w:r>
        <w:rPr>
          <w:rFonts w:ascii="Times New Roman" w:cs="Times New Roman" w:eastAsia="Times New Roman" w:hAnsi="Times New Roman"/>
          <w:color w:val="00A000"/>
          <w:sz w:val="22"/>
          <w:szCs w:val="22"/>
        </w:rPr>
        <w:t xml:space="preserve"> ∧ Issuer</w:t>
      </w:r>
      <w:r>
        <w:rPr>
          <w:rFonts w:ascii="Times New Roman" w:cs="Times New Roman" w:eastAsia="Times New Roman" w:hAnsi="Times New Roman"/>
          <w:color w:val="00A000"/>
          <w:sz w:val="22"/>
          <w:szCs w:val="22"/>
          <w:vertAlign w:val="subscript"/>
        </w:rPr>
        <w:t xml:space="preserve">valid</w:t>
      </w:r>
      <w:r>
        <w:rPr>
          <w:rFonts w:ascii="Times New Roman" w:cs="Times New Roman" w:eastAsia="Times New Roman" w:hAnsi="Times New Roman"/>
          <w:color w:val="00A000"/>
          <w:sz w:val="22"/>
          <w:szCs w:val="22"/>
        </w:rPr>
        <w:t xml:space="preserve"> ∧ Subject</w:t>
      </w:r>
      <w:r>
        <w:rPr>
          <w:rFonts w:ascii="Times New Roman" w:cs="Times New Roman" w:eastAsia="Times New Roman" w:hAnsi="Times New Roman"/>
          <w:color w:val="00A000"/>
          <w:sz w:val="22"/>
          <w:szCs w:val="22"/>
          <w:vertAlign w:val="subscript"/>
        </w:rPr>
        <w:t xml:space="preserve">match</w:t>
      </w:r>
      <w:r>
        <w:rPr>
          <w:rFonts w:ascii="Times New Roman" w:cs="Times New Roman" w:eastAsia="Times New Roman" w:hAnsi="Times New Roman"/>
          <w:color w:val="00A000"/>
          <w:sz w:val="22"/>
          <w:szCs w:val="22"/>
        </w:rPr>
        <w:t xml:space="preserve"> ∧ Time</w:t>
      </w:r>
      <w:r>
        <w:rPr>
          <w:rFonts w:ascii="Times New Roman" w:cs="Times New Roman" w:eastAsia="Times New Roman" w:hAnsi="Times New Roman"/>
          <w:color w:val="00A000"/>
          <w:sz w:val="22"/>
          <w:szCs w:val="22"/>
          <w:vertAlign w:val="subscript"/>
        </w:rPr>
        <w:t xml:space="preserve">valid</w:t>
      </w:r>
      <w:r>
        <w:rPr>
          <w:rFonts w:ascii="Times New Roman" w:cs="Times New Roman" w:eastAsia="Times New Roman" w:hAnsi="Times New Roman"/>
          <w:color w:val="00A000"/>
          <w:sz w:val="22"/>
          <w:szCs w:val="22"/>
        </w:rPr>
        <w:t xml:space="preserve">.</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w:t>
      </w:r>
      <w:r>
        <w:rPr>
          <w:rFonts w:ascii="Times New Roman" w:cs="Times New Roman" w:eastAsia="Times New Roman" w:hAnsi="Times New Roman"/>
          <w:sz w:val="22"/>
          <w:szCs w:val="22"/>
        </w:rPr>
        <w:t xml:space="preserve">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w:t>
      </w:r>
      <w:r>
        <w:rPr>
          <w:rFonts w:ascii="Times New Roman" w:cs="Times New Roman" w:eastAsia="Times New Roman" w:hAnsi="Times New Roman"/>
          <w:sz w:val="22"/>
          <w:szCs w:val="22"/>
        </w:rPr>
        <w:t xml:space="preserve"> These claims may identify a doctor, guardian, researcher, auditor, or another authorised participant.</w:t>
      </w:r>
      <w:r>
        <w:rPr>
          <w:rFonts w:ascii="Times New Roman" w:cs="Times New Roman" w:eastAsia="Times New Roman" w:hAnsi="Times New Roman"/>
          <w:sz w:val="22"/>
          <w:szCs w:val="22"/>
        </w:rPr>
        <w:t xml:space="preserve"> The extracted claims are compared against the authorisation requirements specified in the consent object C.</w:t>
      </w:r>
      <w:r>
        <w:rPr>
          <w:rFonts w:ascii="Times New Roman" w:cs="Times New Roman" w:eastAsia="Times New Roman" w:hAnsi="Times New Roman"/>
          <w:sz w:val="22"/>
          <w:szCs w:val="22"/>
        </w:rPr>
        <w:t xml:space="preserve">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w:t>
      </w:r>
      <w:r>
        <w:rPr>
          <w:rFonts w:ascii="Times New Roman" w:cs="Times New Roman" w:eastAsia="Times New Roman" w:hAnsi="Times New Roman"/>
          <w:sz w:val="22"/>
          <w:szCs w:val="22"/>
        </w:rPr>
        <w:t xml:space="preserve"> The purpose of this comparison is to ensure that possession of a valid identity or credential is not automatically interpreted as permission to access healthcare information.</w:t>
      </w:r>
      <w:r>
        <w:rPr>
          <w:rFonts w:ascii="Times New Roman" w:cs="Times New Roman" w:eastAsia="Times New Roman" w:hAnsi="Times New Roman"/>
          <w:sz w:val="22"/>
          <w:szCs w:val="22"/>
        </w:rPr>
        <w:t xml:space="preserve"> The system establishes the binding between the verified participant identity and the corresponding authority, thereby reducing the possibility of an unrelated credential being used to obtain access.</w:t>
      </w:r>
      <w:r>
        <w:rPr>
          <w:rFonts w:ascii="Times New Roman" w:cs="Times New Roman" w:eastAsia="Times New Roman" w:hAnsi="Times New Roman"/>
          <w:sz w:val="22"/>
          <w:szCs w:val="22"/>
        </w:rPr>
        <w:t xml:space="preserve"> Consequently, the procedure can be interpreted as a two-layer verification mechanism Identity(u) ∧ CredentialValidity(u)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w:t>
      </w:r>
      <w:r>
        <w:rPr>
          <w:rFonts w:ascii="Times New Roman" w:cs="Times New Roman" w:eastAsia="Times New Roman" w:hAnsi="Times New Roman"/>
          <w:color w:val="00A000"/>
          <w:sz w:val="22"/>
          <w:szCs w:val="22"/>
        </w:rPr>
        <w:t xml:space="preserve"> The overall verification process can therefore be represented as DID</w:t>
      </w:r>
      <w:r>
        <w:rPr>
          <w:rFonts w:ascii="Times New Roman" w:cs="Times New Roman" w:eastAsia="Times New Roman" w:hAnsi="Times New Roman"/>
          <w:color w:val="00A000"/>
          <w:sz w:val="22"/>
          <w:szCs w:val="22"/>
          <w:vertAlign w:val="subscript"/>
        </w:rPr>
        <w:t xml:space="preserve">resolve</w:t>
      </w:r>
      <w:r>
        <w:rPr>
          <w:rFonts w:ascii="Times New Roman" w:cs="Times New Roman" w:eastAsia="Times New Roman" w:hAnsi="Times New Roman"/>
          <w:color w:val="00A000"/>
          <w:sz w:val="22"/>
          <w:szCs w:val="22"/>
        </w:rPr>
        <w:t xml:space="preserve"> → DID</w:t>
      </w:r>
      <w:r>
        <w:rPr>
          <w:rFonts w:ascii="Times New Roman" w:cs="Times New Roman" w:eastAsia="Times New Roman" w:hAnsi="Times New Roman"/>
          <w:color w:val="00A000"/>
          <w:sz w:val="22"/>
          <w:szCs w:val="22"/>
          <w:vertAlign w:val="subscript"/>
        </w:rPr>
        <w:t xml:space="preserve">verify</w:t>
      </w:r>
      <w:r>
        <w:rPr>
          <w:rFonts w:ascii="Times New Roman" w:cs="Times New Roman" w:eastAsia="Times New Roman" w:hAnsi="Times New Roman"/>
          <w:color w:val="00A000"/>
          <w:sz w:val="22"/>
          <w:szCs w:val="22"/>
        </w:rPr>
        <w:t xml:space="preserve"> → VC</w:t>
      </w:r>
      <w:r>
        <w:rPr>
          <w:rFonts w:ascii="Times New Roman" w:cs="Times New Roman" w:eastAsia="Times New Roman" w:hAnsi="Times New Roman"/>
          <w:color w:val="00A000"/>
          <w:sz w:val="22"/>
          <w:szCs w:val="22"/>
          <w:vertAlign w:val="subscript"/>
        </w:rPr>
        <w:t xml:space="preserve">retrieve</w:t>
      </w:r>
      <w:r>
        <w:rPr>
          <w:rFonts w:ascii="Times New Roman" w:cs="Times New Roman" w:eastAsia="Times New Roman" w:hAnsi="Times New Roman"/>
          <w:color w:val="00A000"/>
          <w:sz w:val="22"/>
          <w:szCs w:val="22"/>
        </w:rPr>
        <w:t xml:space="preserve"> → VC</w:t>
      </w:r>
      <w:r>
        <w:rPr>
          <w:rFonts w:ascii="Times New Roman" w:cs="Times New Roman" w:eastAsia="Times New Roman" w:hAnsi="Times New Roman"/>
          <w:color w:val="00A000"/>
          <w:sz w:val="22"/>
          <w:szCs w:val="22"/>
          <w:vertAlign w:val="subscript"/>
        </w:rPr>
        <w:t xml:space="preserve">verify</w:t>
      </w:r>
      <w:r>
        <w:rPr>
          <w:rFonts w:ascii="Times New Roman" w:cs="Times New Roman" w:eastAsia="Times New Roman" w:hAnsi="Times New Roman"/>
          <w:color w:val="00A000"/>
          <w:sz w:val="22"/>
          <w:szCs w:val="22"/>
        </w:rPr>
        <w:t xml:space="preserve"> → Claims</w:t>
      </w:r>
      <w:r>
        <w:rPr>
          <w:rFonts w:ascii="Times New Roman" w:cs="Times New Roman" w:eastAsia="Times New Roman" w:hAnsi="Times New Roman"/>
          <w:color w:val="00A000"/>
          <w:sz w:val="22"/>
          <w:szCs w:val="22"/>
          <w:vertAlign w:val="subscript"/>
        </w:rPr>
        <w:t xml:space="preserve">extract</w:t>
      </w:r>
      <w:r>
        <w:rPr>
          <w:rFonts w:ascii="Times New Roman" w:cs="Times New Roman" w:eastAsia="Times New Roman" w:hAnsi="Times New Roman"/>
          <w:color w:val="00A000"/>
          <w:sz w:val="22"/>
          <w:szCs w:val="22"/>
        </w:rPr>
        <w:t xml:space="preserve"> → Authority</w:t>
      </w:r>
      <w:r>
        <w:rPr>
          <w:rFonts w:ascii="Times New Roman" w:cs="Times New Roman" w:eastAsia="Times New Roman" w:hAnsi="Times New Roman"/>
          <w:color w:val="00A000"/>
          <w:sz w:val="22"/>
          <w:szCs w:val="22"/>
          <w:vertAlign w:val="subscript"/>
        </w:rPr>
        <w:t xml:space="preserve">match</w:t>
      </w:r>
      <w:r>
        <w:rPr>
          <w:rFonts w:ascii="Times New Roman" w:cs="Times New Roman" w:eastAsia="Times New Roman" w:hAnsi="Times New Roman"/>
          <w:color w:val="00A000"/>
          <w:sz w:val="22"/>
          <w:szCs w:val="22"/>
        </w:rPr>
        <w:t xml:space="preserve"> → Evidence</w:t>
      </w:r>
      <w:r>
        <w:rPr>
          <w:rFonts w:ascii="Times New Roman" w:cs="Times New Roman" w:eastAsia="Times New Roman" w:hAnsi="Times New Roman"/>
          <w:color w:val="00A000"/>
          <w:sz w:val="22"/>
          <w:szCs w:val="22"/>
          <w:vertAlign w:val="subscript"/>
        </w:rPr>
        <w:t xml:space="preserve">record</w:t>
      </w:r>
      <w:r>
        <w:rPr>
          <w:rFonts w:ascii="Times New Roman" w:cs="Times New Roman" w:eastAsia="Times New Roman" w:hAnsi="Times New Roman"/>
          <w:color w:val="00A000"/>
          <w:sz w:val="22"/>
          <w:szCs w:val="22"/>
        </w:rPr>
        <w:t xml:space="preserve"> →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(u).</w:t>
      </w:r>
    </w:p>
    <w:p>
      <w:pPr>
        <w:spacing w:after="110" w:line="264"/>
        <w:jc w:val="both"/>
      </w:pPr>
      <w:r>
        <w:rPr>
          <w:rFonts w:ascii="Times New Roman" w:cs="Times New Roman" w:eastAsia="Times New Roman" w:hAnsi="Times New Roman"/>
          <w:color w:val="00A000"/>
          <w:sz w:val="22"/>
          <w:szCs w:val="22"/>
        </w:rPr>
        <w:t xml:space="preserve">Algorithm 2 formalises the procedure.</w:t>
      </w:r>
      <w:r>
        <w:rPr>
          <w:rFonts w:ascii="Times New Roman" w:cs="Times New Roman" w:eastAsia="Times New Roman" w:hAnsi="Times New Roman"/>
          <w:sz w:val="22"/>
          <w:szCs w:val="22"/>
        </w:rPr>
        <w:t xml:space="preserv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w:t>
      </w:r>
      <w:r>
        <w:rPr>
          <w:rFonts w:ascii="Times New Roman" w:cs="Times New Roman" w:eastAsia="Times New Roman" w:hAnsi="Times New Roman"/>
          <w:sz w:val="22"/>
          <w:szCs w:val="22"/>
        </w:rPr>
        <w:t xml:space="preserve">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w:t>
      </w:r>
      <w:r>
        <w:rPr>
          <w:rFonts w:ascii="Times New Roman" w:cs="Times New Roman" w:eastAsia="Times New Roman" w:hAnsi="Times New Roman"/>
          <w:sz w:val="22"/>
          <w:szCs w:val="22"/>
        </w:rPr>
        <w:t xml:space="preserve"> The system records the evidence.</w:t>
      </w:r>
      <w:r>
        <w:rPr>
          <w:rFonts w:ascii="Times New Roman" w:cs="Times New Roman" w:eastAsia="Times New Roman" w:hAnsi="Times New Roman"/>
          <w:sz w:val="22"/>
          <w:szCs w:val="22"/>
        </w:rPr>
        <w:t xml:space="preserve"> The evidence may include the resolved DID, verification status, credential identifier, issuer information, relevant authority claims, and verification timestamp.</w:t>
      </w:r>
      <w:r>
        <w:rPr>
          <w:rFonts w:ascii="Times New Roman" w:cs="Times New Roman" w:eastAsia="Times New Roman" w:hAnsi="Times New Roman"/>
          <w:sz w:val="22"/>
          <w:szCs w:val="22"/>
        </w:rPr>
        <w:t xml:space="preserve">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2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2 establishes that identity verification and authority verification are related but distinct operations.</w:t>
      </w:r>
      <w:r>
        <w:rPr>
          <w:rFonts w:ascii="Times New Roman" w:cs="Times New Roman" w:eastAsia="Times New Roman" w:hAnsi="Times New Roman"/>
          <w:sz w:val="22"/>
          <w:szCs w:val="22"/>
        </w:rPr>
        <w:t xml:space="preserve"> A participant may possess a valid DID while lacking the authority required by the consent.</w:t>
      </w:r>
      <w:r>
        <w:rPr>
          <w:rFonts w:ascii="Times New Roman" w:cs="Times New Roman" w:eastAsia="Times New Roman" w:hAnsi="Times New Roman"/>
          <w:sz w:val="22"/>
          <w:szCs w:val="22"/>
        </w:rPr>
        <w:t xml:space="preserve"> Similarly, a credential may be structurally valid but irrelevant to the specific authorisation requirement.</w:t>
      </w:r>
      <w:r>
        <w:rPr>
          <w:rFonts w:ascii="Times New Roman" w:cs="Times New Roman" w:eastAsia="Times New Roman" w:hAnsi="Times New Roman"/>
          <w:sz w:val="22"/>
          <w:szCs w:val="22"/>
        </w:rPr>
        <w:t xml:space="preserve"> Therefore, the algorithm verifies both credential validity and authority relevance.</w:t>
      </w:r>
      <w:r>
        <w:rPr>
          <w:rFonts w:ascii="Times New Roman" w:cs="Times New Roman" w:eastAsia="Times New Roman" w:hAnsi="Times New Roman"/>
          <w:sz w:val="22"/>
          <w:szCs w:val="22"/>
        </w:rPr>
        <w:t xml:space="preserve"> This mechanism contributes to the trust-oriented framework by converting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w:t>
      </w:r>
      <w:r>
        <w:rPr>
          <w:rFonts w:ascii="Times New Roman" w:cs="Times New Roman" w:eastAsia="Times New Roman" w:hAnsi="Times New Roman"/>
          <w:sz w:val="22"/>
          <w:szCs w:val="22"/>
        </w:rPr>
        <w:t xml:space="preserv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w:t>
      </w:r>
      <w:r>
        <w:rPr>
          <w:rFonts w:ascii="Times New Roman" w:cs="Times New Roman" w:eastAsia="Times New Roman" w:hAnsi="Times New Roman"/>
          <w:sz w:val="22"/>
          <w:szCs w:val="22"/>
        </w:rPr>
        <w:t xml:space="preserve"> The current implementation demonstrates the separation between participant identity and authorisation authority.</w:t>
      </w:r>
      <w:r>
        <w:rPr>
          <w:rFonts w:ascii="Times New Roman" w:cs="Times New Roman" w:eastAsia="Times New Roman" w:hAnsi="Times New Roman"/>
          <w:sz w:val="22"/>
          <w:szCs w:val="22"/>
        </w:rPr>
        <w:t xml:space="preserve"> A valid healthcare participant identity can be verified independently from the question of whether that participant is authorised to access a particular patient's data.</w:t>
      </w:r>
      <w:r>
        <w:rPr>
          <w:rFonts w:ascii="Times New Roman" w:cs="Times New Roman" w:eastAsia="Times New Roman" w:hAnsi="Times New Roman"/>
          <w:color w:val="00A000"/>
          <w:sz w:val="22"/>
          <w:szCs w:val="22"/>
        </w:rPr>
        <w:t xml:space="preserve">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 in the current prototype combines a structural DID and credential-format check with EIP-712 verification of the signature of each listed guardian, and its outcome is recorded in the audit ledger.</w:t>
      </w:r>
      <w:r>
        <w:rPr>
          <w:rFonts w:ascii="Times New Roman" w:cs="Times New Roman" w:eastAsia="Times New Roman" w:hAnsi="Times New Roman"/>
          <w:color w:val="00A000"/>
          <w:sz w:val="22"/>
          <w:szCs w:val="22"/>
        </w:rPr>
        <w:t xml:space="preserve"> The condition VC</w:t>
      </w:r>
      <w:r>
        <w:rPr>
          <w:rFonts w:ascii="Times New Roman" w:cs="Times New Roman" w:eastAsia="Times New Roman" w:hAnsi="Times New Roman"/>
          <w:color w:val="00A000"/>
          <w:sz w:val="22"/>
          <w:szCs w:val="22"/>
          <w:vertAlign w:val="subscript"/>
        </w:rPr>
        <w:t xml:space="preserve">valid</w:t>
      </w:r>
      <w:r>
        <w:rPr>
          <w:rFonts w:ascii="Times New Roman" w:cs="Times New Roman" w:eastAsia="Times New Roman" w:hAnsi="Times New Roman"/>
          <w:color w:val="00A000"/>
          <w:sz w:val="22"/>
          <w:szCs w:val="22"/>
        </w:rPr>
        <w:t xml:space="preserve"> therefore defines the target verification model rather than the behaviour presently exercised by the demonstration.</w:t>
      </w:r>
      <w:r>
        <w:rPr>
          <w:rFonts w:ascii="Times New Roman" w:cs="Times New Roman" w:eastAsia="Times New Roman" w:hAnsi="Times New Roman"/>
          <w:color w:val="00A000"/>
          <w:sz w:val="22"/>
          <w:szCs w:val="22"/>
        </w:rPr>
        <w:t xml:space="preserve"> The doctor is not independently authenticated at consent creation, because the doctor DID is checked for DID format only when the access decision is evaluated.</w:t>
      </w:r>
      <w:r>
        <w:rPr>
          <w:rFonts w:ascii="Times New Roman" w:cs="Times New Roman" w:eastAsia="Times New Roman" w:hAnsi="Times New Roman"/>
          <w:color w:val="00A000"/>
          <w:sz w:val="22"/>
          <w:szCs w:val="22"/>
        </w:rPr>
        <w:t xml:space="preserve"> Cryptographic DID resolution against a registry, cryptographic validation of verifiable credentials, and authentication of the requester are acknowledged limitations reserved for the next stage.</w:t>
      </w:r>
      <w:r>
        <w:rPr>
          <w:rFonts w:ascii="Times New Roman" w:cs="Times New Roman" w:eastAsia="Times New Roman" w:hAnsi="Times New Roman"/>
          <w:color w:val="00A000"/>
          <w:sz w:val="22"/>
          <w:szCs w:val="22"/>
        </w:rPr>
        <w:t xml:space="preserve"> The validation evidence for RO2, including the scenarios and the unit-level adversarial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w:t>
      </w:r>
      <w:r>
        <w:rPr>
          <w:rFonts w:ascii="Times New Roman" w:cs="Times New Roman" w:eastAsia="Times New Roman" w:hAnsi="Times New Roman"/>
          <w:sz w:val="22"/>
          <w:szCs w:val="22"/>
        </w:rPr>
        <w:t xml:space="preserve"> RO3 introduces threshold-based multi-party authorisation for consent approval to prevent a single participant from unilaterally establishing sensitive healthcare data access when the consent requires several independently verified parties.</w:t>
      </w:r>
    </w:p>
    <w:p>
      <w:pPr>
        <w:pStyle w:val="Heading2"/>
        <w:keepNext/>
        <w:spacing w:after="120" w:before="240"/>
      </w:pPr>
      <w:r>
        <w:rPr>
          <w:rFonts w:ascii="Times New Roman" w:cs="Times New Roman" w:eastAsia="Times New Roman" w:hAnsi="Times New Roman"/>
          <w:b/>
          <w:bCs/>
          <w:sz w:val="26"/>
          <w:szCs w:val="26"/>
        </w:rPr>
        <w:t xml:space="preserve">8.1  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authorisation participants and N represent the required approval threshold.</w:t>
      </w:r>
      <w:r>
        <w:rPr>
          <w:rFonts w:ascii="Times New Roman" w:cs="Times New Roman" w:eastAsia="Times New Roman" w:hAnsi="Times New Roman"/>
          <w:color w:val="00A000"/>
          <w:sz w:val="22"/>
          <w:szCs w:val="22"/>
        </w:rPr>
        <w:t xml:space="preserve"> The authorisation condition can then be represented as Equation (8),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w:t>
      </w:r>
      <w:r>
        <w:rPr>
          <w:rFonts w:ascii="Times New Roman" w:cs="Times New Roman" w:eastAsia="Times New Roman" w:hAnsi="Times New Roman"/>
          <w:sz w:val="22"/>
          <w:szCs w:val="22"/>
        </w:rPr>
        <w:t xml:space="preserve"> For example, a consent may require two valid guardian approvals.</w:t>
      </w:r>
      <w:r>
        <w:rPr>
          <w:rFonts w:ascii="Times New Roman" w:cs="Times New Roman" w:eastAsia="Times New Roman" w:hAnsi="Times New Roman"/>
          <w:sz w:val="22"/>
          <w:szCs w:val="22"/>
        </w:rPr>
        <w:t xml:space="preserve"> In this case, one valid approval is insufficient, whereas two valid approvals satisfy the threshold.</w:t>
      </w:r>
      <w:r>
        <w:rPr>
          <w:rFonts w:ascii="Times New Roman" w:cs="Times New Roman" w:eastAsia="Times New Roman" w:hAnsi="Times New Roman"/>
          <w:sz w:val="22"/>
          <w:szCs w:val="22"/>
        </w:rPr>
        <w:t xml:space="preserve"> Decentralised identity systems with multi-party verification have demonstrated the potential to strengthen the process through which identity claims are established or validated [40, 41].</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w:t>
      </w:r>
      <w:r>
        <w:rPr>
          <w:rFonts w:ascii="Times New Roman" w:cs="Times New Roman" w:eastAsia="Times New Roman" w:hAnsi="Times New Roman"/>
          <w:sz w:val="22"/>
          <w:szCs w:val="22"/>
        </w:rPr>
        <w:t xml:space="preserve">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color w:val="00A000"/>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w:t>
      </w:r>
      <w:r>
        <w:rPr>
          <w:rFonts w:ascii="Times New Roman" w:cs="Times New Roman" w:eastAsia="Times New Roman" w:hAnsi="Times New Roman"/>
          <w:color w:val="00A000"/>
          <w:sz w:val="22"/>
          <w:szCs w:val="22"/>
        </w:rPr>
        <w:t xml:space="preserve">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w:t>
      </w:r>
      <w:r>
        <w:rPr>
          <w:rFonts w:ascii="Times New Roman" w:cs="Times New Roman" w:eastAsia="Times New Roman" w:hAnsi="Times New Roman"/>
          <w:sz w:val="22"/>
          <w:szCs w:val="22"/>
        </w:rPr>
        <w:t xml:space="preserve"> Each participant must submit an approval that can be independently verified.</w:t>
      </w:r>
      <w:r>
        <w:rPr>
          <w:rFonts w:ascii="Times New Roman" w:cs="Times New Roman" w:eastAsia="Times New Roman" w:hAnsi="Times New Roman"/>
          <w:sz w:val="22"/>
          <w:szCs w:val="22"/>
        </w:rPr>
        <w:t xml:space="preserve"> Invalid approvals are rejected and must not contribute to the threshold count.</w:t>
      </w:r>
      <w:r>
        <w:rPr>
          <w:rFonts w:ascii="Times New Roman" w:cs="Times New Roman" w:eastAsia="Times New Roman" w:hAnsi="Times New Roman"/>
          <w:sz w:val="22"/>
          <w:szCs w:val="22"/>
        </w:rPr>
        <w:t xml:space="preserve"> The authorisation becomes active only when the number of valid approvals reaches the required threshold.</w:t>
      </w:r>
      <w:r>
        <w:rPr>
          <w:rFonts w:ascii="Times New Roman" w:cs="Times New Roman" w:eastAsia="Times New Roman" w:hAnsi="Times New Roman"/>
          <w:sz w:val="22"/>
          <w:szCs w:val="22"/>
        </w:rPr>
        <w:t xml:space="preserve"> In the HALAH implementation, as shown in Figure 10, the Guardian workflow verifies the guardian VC, appends the guardian DID to the consent signatures, and displays the current approval count relative to the threshold.</w:t>
      </w:r>
      <w:r>
        <w:rPr>
          <w:rFonts w:ascii="Times New Roman" w:cs="Times New Roman" w:eastAsia="Times New Roman" w:hAnsi="Times New Roman"/>
          <w:sz w:val="22"/>
          <w:szCs w:val="22"/>
        </w:rPr>
        <w:t xml:space="preserve"> The code therefore demonstrates the separation between participant identity verification and the subsequent authorisation operation.</w:t>
      </w:r>
      <w:r>
        <w:rPr>
          <w:rFonts w:ascii="Times New Roman" w:cs="Times New Roman" w:eastAsia="Times New Roman" w:hAnsi="Times New Roman"/>
          <w:sz w:val="22"/>
          <w:szCs w:val="22"/>
        </w:rPr>
        <w:t xml:space="preserve"> When the threshold is reached, the implementation assigns an SBT identifier and records the corresponding minting event.</w:t>
      </w:r>
    </w:p>
    <w:p>
      <w:pPr>
        <w:keepNext/>
        <w:spacing w:after="60" w:before="160"/>
        <w:jc w:val="center"/>
      </w:pPr>
      <w:r>
        <w:drawing>
          <wp:inline distT="0" distB="0" distL="0" distR="0">
            <wp:extent cx="3000375" cy="428625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0037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 </w:t>
      </w:r>
      <w:r>
        <w:rPr>
          <w:rFonts w:ascii="Times New Roman" w:cs="Times New Roman" w:eastAsia="Times New Roman" w:hAnsi="Times New Roman"/>
          <w:sz w:val="18"/>
          <w:szCs w:val="18"/>
        </w:rPr>
        <w:t xml:space="preserve">RO3 workflow for threshold-based multi-party authorisation.</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w:t>
      </w:r>
      <w:r>
        <w:rPr>
          <w:rFonts w:ascii="Times New Roman" w:cs="Times New Roman" w:eastAsia="Times New Roman" w:hAnsi="Times New Roman"/>
          <w:sz w:val="22"/>
          <w:szCs w:val="22"/>
        </w:rPr>
        <w:t xml:space="preserve"> The trust decision is established by the verification of participants and the satisfaction of the authorisation threshold.</w:t>
      </w:r>
      <w:r>
        <w:rPr>
          <w:rFonts w:ascii="Times New Roman" w:cs="Times New Roman" w:eastAsia="Times New Roman" w:hAnsi="Times New Roman"/>
          <w:sz w:val="22"/>
          <w:szCs w:val="22"/>
        </w:rPr>
        <w:t xml:space="preserve"> The blockchain layer provides persistence, traceability, and evidence of the resulting state.</w:t>
      </w:r>
    </w:p>
    <w:p>
      <w:pPr>
        <w:spacing w:after="110" w:line="264"/>
        <w:jc w:val="both"/>
      </w:pPr>
      <w:r>
        <w:rPr>
          <w:rFonts w:ascii="Times New Roman" w:cs="Times New Roman" w:eastAsia="Times New Roman" w:hAnsi="Times New Roman"/>
          <w:color w:val="00A000"/>
          <w:sz w:val="22"/>
          <w:szCs w:val="22"/>
        </w:rPr>
        <w:t xml:space="preserve">In the HALAH implementation, guardian authority is evidenced by an EIP-712 typed-data signature bound to the consent identifier, the guardian DID, and the Sepolia chain identifier, and verified through off-chain signer recovery.</w:t>
      </w:r>
      <w:r>
        <w:rPr>
          <w:rFonts w:ascii="Times New Roman" w:cs="Times New Roman" w:eastAsia="Times New Roman" w:hAnsi="Times New Roman"/>
          <w:color w:val="00A000"/>
          <w:sz w:val="22"/>
          <w:szCs w:val="22"/>
        </w:rPr>
        <w:t xml:space="preserve"> The preceding VC verification is presently a DID-format check, and the signing keys are derived deterministically from the guardian DIDs rather than held in wallets, which is a limitation of the prototype.</w:t>
      </w:r>
      <w:r>
        <w:rPr>
          <w:rFonts w:ascii="Times New Roman" w:cs="Times New Roman" w:eastAsia="Times New Roman" w:hAnsi="Times New Roman"/>
          <w:color w:val="00A000"/>
          <w:sz w:val="22"/>
          <w:szCs w:val="22"/>
        </w:rPr>
        <w:t xml:space="preserve"> At access time, the recovery is repeated for every recorded signature within the identity predicate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w:t>
      </w:r>
      <w:r>
        <w:rPr>
          <w:rFonts w:ascii="Times New Roman" w:cs="Times New Roman" w:eastAsia="Times New Roman" w:hAnsi="Times New Roman"/>
          <w:color w:val="00A000"/>
          <w:sz w:val="22"/>
          <w:szCs w:val="22"/>
        </w:rPr>
        <w:t xml:space="preserve">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w:t>
      </w:r>
      <w:r>
        <w:rPr>
          <w:rFonts w:ascii="Times New Roman" w:cs="Times New Roman" w:eastAsia="Times New Roman" w:hAnsi="Times New Roman"/>
          <w:sz w:val="22"/>
          <w:szCs w:val="22"/>
        </w:rPr>
        <w:t xml:space="preserve"> The system first retrieves the required participant set G associated with the consent object C.</w:t>
      </w:r>
      <w:r>
        <w:rPr>
          <w:rFonts w:ascii="Times New Roman" w:cs="Times New Roman" w:eastAsia="Times New Roman" w:hAnsi="Times New Roman"/>
          <w:sz w:val="22"/>
          <w:szCs w:val="22"/>
        </w:rPr>
        <w:t xml:space="preserve"> The system obtains the threshold value N, which specifies the minimum number of valid and distinct approvals required to activate the authorisation.</w:t>
      </w:r>
      <w:r>
        <w:rPr>
          <w:rFonts w:ascii="Times New Roman" w:cs="Times New Roman" w:eastAsia="Times New Roman" w:hAnsi="Times New Roman"/>
          <w:sz w:val="22"/>
          <w:szCs w:val="22"/>
        </w:rPr>
        <w:t xml:space="preserve"> The threshold must satisfy 1 ≤ N ≤ |G|.</w:t>
      </w:r>
      <w:r>
        <w:rPr>
          <w:rFonts w:ascii="Times New Roman" w:cs="Times New Roman" w:eastAsia="Times New Roman" w:hAnsi="Times New Roman"/>
          <w:sz w:val="22"/>
          <w:szCs w:val="22"/>
        </w:rPr>
        <w:t xml:space="preserve"> The threshold therefore determines how many eligible participants must independently approve the consent before the authorisation becomes active.</w:t>
      </w:r>
      <w:r>
        <w:rPr>
          <w:rFonts w:ascii="Times New Roman" w:cs="Times New Roman" w:eastAsia="Times New Roman" w:hAnsi="Times New Roman"/>
          <w:sz w:val="22"/>
          <w:szCs w:val="22"/>
        </w:rPr>
        <w:t xml:space="preserve"> The approval a is not considered valid until the identity and authority of the submitting participant have been verified.</w:t>
      </w:r>
      <w:r>
        <w:rPr>
          <w:rFonts w:ascii="Times New Roman" w:cs="Times New Roman" w:eastAsia="Times New Roman" w:hAnsi="Times New Roman"/>
          <w:sz w:val="22"/>
          <w:szCs w:val="22"/>
        </w:rPr>
        <w:t xml:space="preserve"> The verification process may invoke the DID and VC verification procedure described in Algorithm 2.</w:t>
      </w:r>
      <w:r>
        <w:rPr>
          <w:rFonts w:ascii="Times New Roman" w:cs="Times New Roman" w:eastAsia="Times New Roman" w:hAnsi="Times New Roman"/>
          <w:sz w:val="22"/>
          <w:szCs w:val="22"/>
        </w:rPr>
        <w:t xml:space="preserve"> If the verification fails, the approval is classified as invalid.</w:t>
      </w:r>
      <w:r>
        <w:rPr>
          <w:rFonts w:ascii="Times New Roman" w:cs="Times New Roman" w:eastAsia="Times New Roman" w:hAnsi="Times New Roman"/>
          <w:sz w:val="22"/>
          <w:szCs w:val="22"/>
        </w:rPr>
        <w:t xml:space="preserve">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belongs to the required participant set G (u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w:t>
      </w:r>
      <w:r>
        <w:rPr>
          <w:rFonts w:ascii="Times New Roman" w:cs="Times New Roman" w:eastAsia="Times New Roman" w:hAnsi="Times New Roman"/>
          <w:sz w:val="22"/>
          <w:szCs w:val="22"/>
        </w:rPr>
        <w:t xml:space="preserve"> The system checks whether the participant has already approved consent object C.</w:t>
      </w:r>
      <w:r>
        <w:rPr>
          <w:rFonts w:ascii="Times New Roman" w:cs="Times New Roman" w:eastAsia="Times New Roman" w:hAnsi="Times New Roman"/>
          <w:sz w:val="22"/>
          <w:szCs w:val="22"/>
        </w:rPr>
        <w:t xml:space="preserve"> This prevents a single participant from submitting multiple approvals and artificially satisfying the threshold.</w:t>
      </w:r>
      <w:r>
        <w:rPr>
          <w:rFonts w:ascii="Times New Roman" w:cs="Times New Roman" w:eastAsia="Times New Roman" w:hAnsi="Times New Roman"/>
          <w:sz w:val="22"/>
          <w:szCs w:val="22"/>
        </w:rPr>
        <w:t xml:space="preserve"> Only approvals that have passed identity, authority, membership, and duplicate checks are included in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w:t>
      </w:r>
      <w:r>
        <w:rPr>
          <w:rFonts w:ascii="Times New Roman" w:cs="Times New Roman" w:eastAsia="Times New Roman" w:hAnsi="Times New Roman"/>
          <w:sz w:val="22"/>
          <w:szCs w:val="22"/>
        </w:rPr>
        <w:t xml:space="preserve"> The system activates the authorisation associated with consent object C.</w:t>
      </w:r>
      <w:r>
        <w:rPr>
          <w:rFonts w:ascii="Times New Roman" w:cs="Times New Roman" w:eastAsia="Times New Roman" w:hAnsi="Times New Roman"/>
          <w:sz w:val="22"/>
          <w:szCs w:val="22"/>
        </w:rPr>
        <w:t xml:space="preserve"> Following successful threshold satisfaction, the system generates activation or token evidence associated with the authorisation decision.</w:t>
      </w:r>
      <w:r>
        <w:rPr>
          <w:rFonts w:ascii="Times New Roman" w:cs="Times New Roman" w:eastAsia="Times New Roman" w:hAnsi="Times New Roman"/>
          <w:sz w:val="22"/>
          <w:szCs w:val="22"/>
        </w:rPr>
        <w:t xml:space="preserve"> The evidence may include the consent identifier, threshold value N, identities of the approving participants, and approval timestamps.</w:t>
      </w:r>
      <w:r>
        <w:rPr>
          <w:rFonts w:ascii="Times New Roman" w:cs="Times New Roman" w:eastAsia="Times New Roman" w:hAnsi="Times New Roman"/>
          <w:sz w:val="22"/>
          <w:szCs w:val="22"/>
        </w:rPr>
        <w:t xml:space="preserve"> The system records a threshold-satisfied event.</w:t>
      </w:r>
      <w:r>
        <w:rPr>
          <w:rFonts w:ascii="Times New Roman" w:cs="Times New Roman" w:eastAsia="Times New Roman" w:hAnsi="Times New Roman"/>
          <w:sz w:val="22"/>
          <w:szCs w:val="22"/>
        </w:rPr>
        <w:t xml:space="preserve">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w:t>
      </w:r>
      <w:r>
        <w:rPr>
          <w:rFonts w:ascii="Times New Roman" w:cs="Times New Roman" w:eastAsia="Times New Roman" w:hAnsi="Times New Roman"/>
          <w:sz w:val="22"/>
          <w:szCs w:val="22"/>
        </w:rPr>
        <w:t xml:space="preserve"> The overall procedure can therefore be represented as Equation (9).</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(9)</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w:t>
      </w:r>
      <w:r>
        <w:rPr>
          <w:rFonts w:ascii="Times New Roman" w:cs="Times New Roman" w:eastAsia="Times New Roman" w:hAnsi="Times New Roman"/>
          <w:sz w:val="22"/>
          <w:szCs w:val="22"/>
        </w:rPr>
        <w:t xml:space="preserve"> Instead, only valid, authorised, eligible, and non-duplicate approvals contribute to the threshold.</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w:t>
      </w:r>
      <w:r>
        <w:rPr>
          <w:rFonts w:ascii="Times New Roman" w:cs="Times New Roman" w:eastAsia="Times New Roman" w:hAnsi="Times New Roman"/>
          <w:sz w:val="22"/>
          <w:szCs w:val="22"/>
        </w:rPr>
        <w:t xml:space="preserve"> An individual approval represents one participant’s contribution to the decision, whereas authorisation is activated only when the collective evidence satisfies the predefined threshold.</w:t>
      </w:r>
      <w:r>
        <w:rPr>
          <w:rFonts w:ascii="Times New Roman" w:cs="Times New Roman" w:eastAsia="Times New Roman" w:hAnsi="Times New Roman"/>
          <w:sz w:val="22"/>
          <w:szCs w:val="22"/>
        </w:rPr>
        <w:t xml:space="preserve"> From a trust perspective, the procedure can therefore be interpreted as Equation (10).</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(10)</w:t>
      </w:r>
    </w:p>
    <w:p>
      <w:pPr>
        <w:spacing w:after="110" w:line="264"/>
        <w:jc w:val="both"/>
      </w:pPr>
      <w:r>
        <w:rPr>
          <w:rFonts w:ascii="Times New Roman" w:cs="Times New Roman" w:eastAsia="Times New Roman" w:hAnsi="Times New Roman"/>
          <w:sz w:val="22"/>
          <w:szCs w:val="22"/>
        </w:rPr>
        <w:t xml:space="preserve">Algorithm 3 explicitly distinguishes between invalid, duplicate, and valid approvals.</w:t>
      </w:r>
      <w:r>
        <w:rPr>
          <w:rFonts w:ascii="Times New Roman" w:cs="Times New Roman" w:eastAsia="Times New Roman" w:hAnsi="Times New Roman"/>
          <w:sz w:val="22"/>
          <w:szCs w:val="22"/>
        </w:rPr>
        <w:t xml:space="preserve">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3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jurisdiction L,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 threshold N =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2,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participant is not in G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 shown in the interface in the prototype</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participant has already approved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approval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a local token identifier and set state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L,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on confirmation: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demonstrates why multi-party authorisation is a trust mechanism rather than merely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w:t>
      </w:r>
      <w:r>
        <w:rPr>
          <w:rFonts w:ascii="Times New Roman" w:cs="Times New Roman" w:eastAsia="Times New Roman" w:hAnsi="Times New Roman"/>
          <w:sz w:val="22"/>
          <w:szCs w:val="22"/>
        </w:rPr>
        <w:t xml:space="preserve"> Therefore, a single participant cannot unilaterally activate the consent when the threshold has not been satisfied.</w:t>
      </w:r>
      <w:r>
        <w:rPr>
          <w:rFonts w:ascii="Times New Roman" w:cs="Times New Roman" w:eastAsia="Times New Roman" w:hAnsi="Times New Roman"/>
          <w:color w:val="00A000"/>
          <w:sz w:val="22"/>
          <w:szCs w:val="22"/>
        </w:rPr>
        <w:t xml:space="preserve"> In the prototype, the on-chain mint is submitted as a background job through the owner account, and the contract stores keccak256(P</w:t>
      </w:r>
      <w:r>
        <w:rPr>
          <w:rFonts w:ascii="Times New Roman" w:cs="Times New Roman" w:eastAsia="Times New Roman" w:hAnsi="Times New Roman"/>
          <w:color w:val="00A000"/>
          <w:sz w:val="22"/>
          <w:szCs w:val="22"/>
          <w:vertAlign w:val="subscript"/>
        </w:rPr>
        <w:t xml:space="preserve">u</w:t>
      </w:r>
      <w:r>
        <w:rPr>
          <w:rFonts w:ascii="Times New Roman" w:cs="Times New Roman" w:eastAsia="Times New Roman" w:hAnsi="Times New Roman"/>
          <w:color w:val="00A000"/>
          <w:sz w:val="22"/>
          <w:szCs w:val="22"/>
        </w:rPr>
        <w:t xml:space="preserve">) rather than the purpose itself.</w:t>
      </w:r>
      <w:r>
        <w:rPr>
          <w:rFonts w:ascii="Times New Roman" w:cs="Times New Roman" w:eastAsia="Times New Roman" w:hAnsi="Times New Roman"/>
          <w:color w:val="00A000"/>
          <w:sz w:val="22"/>
          <w:szCs w:val="22"/>
        </w:rPr>
        <w:t xml:space="preserve"> Activation is distinct from the access decision.</w:t>
      </w:r>
      <w:r>
        <w:rPr>
          <w:rFonts w:ascii="Times New Roman" w:cs="Times New Roman" w:eastAsia="Times New Roman" w:hAnsi="Times New Roman"/>
          <w:sz w:val="22"/>
          <w:szCs w:val="22"/>
        </w:rPr>
        <w:t xml:space="preserve">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w:t>
      </w:r>
      <w:r>
        <w:rPr>
          <w:rFonts w:ascii="Times New Roman" w:cs="Times New Roman" w:eastAsia="Times New Roman" w:hAnsi="Times New Roman"/>
          <w:sz w:val="22"/>
          <w:szCs w:val="22"/>
        </w:rPr>
        <w:t xml:space="preserve">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w:t>
      </w:r>
      <w:r>
        <w:rPr>
          <w:rFonts w:ascii="Times New Roman" w:cs="Times New Roman" w:eastAsia="Times New Roman" w:hAnsi="Times New Roman"/>
          <w:sz w:val="22"/>
          <w:szCs w:val="22"/>
        </w:rPr>
        <w:t xml:space="preserve"> If the threshold is not satisfied, the consent cannot be used to authorise the requested access, as stated in Equation (11).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 DENY.</w:t>
      </w:r>
      <w:r>
        <w:rPr>
          <w:rFonts w:ascii="Times New Roman" w:cs="Times New Roman" w:eastAsia="Times New Roman" w:hAnsi="Times New Roman"/>
          <w:sz w:val="22"/>
          <w:szCs w:val="22"/>
        </w:rPr>
        <w:t xml:space="preserve">	(11)</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w:t>
      </w:r>
      <w:r>
        <w:rPr>
          <w:rFonts w:ascii="Times New Roman" w:cs="Times New Roman" w:eastAsia="Times New Roman" w:hAnsi="Times New Roman"/>
          <w:color w:val="00A000"/>
          <w:sz w:val="22"/>
          <w:szCs w:val="22"/>
        </w:rPr>
        <w:t xml:space="preserve"> For example, where two approvals are required and the consent has not been revoked, Equation (12), whereas Equation (13).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(12)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(13)</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w:t>
      </w:r>
      <w:r>
        <w:rPr>
          <w:rFonts w:ascii="Times New Roman" w:cs="Times New Roman" w:eastAsia="Times New Roman" w:hAnsi="Times New Roman"/>
          <w:color w:val="00A000"/>
          <w:sz w:val="22"/>
          <w:szCs w:val="22"/>
        </w:rPr>
        <w:t xml:space="preserve"> The implemented threshold is derived from the designated guardian set as N = |G|, and the prototype therefore enforces an N-of-N instantiation of Equation (8) and has been evaluated in the 2-of-2 configuration.</w:t>
      </w:r>
      <w:r>
        <w:rPr>
          <w:rFonts w:ascii="Times New Roman" w:cs="Times New Roman" w:eastAsia="Times New Roman" w:hAnsi="Times New Roman"/>
          <w:color w:val="00A000"/>
          <w:sz w:val="22"/>
          <w:szCs w:val="22"/>
        </w:rPr>
        <w:t xml:space="preserve"> The unit-level adversarial tests include an approval from a signer outside G and a repeated approval from the same guardian, and before the hardening of 1 October 2026, both attacks were blocked only by the interface.</w:t>
      </w:r>
      <w:r>
        <w:rPr>
          <w:rFonts w:ascii="Times New Roman" w:cs="Times New Roman" w:eastAsia="Times New Roman" w:hAnsi="Times New Roman"/>
          <w:color w:val="00A000"/>
          <w:sz w:val="22"/>
          <w:szCs w:val="22"/>
        </w:rPr>
        <w:t xml:space="preserve"> However, since that hardening, the decision rule and the lifecycle evaluation count only distinct approvals from members of G towards N, and both attacks are refused.</w:t>
      </w:r>
      <w:r>
        <w:rPr>
          <w:rFonts w:ascii="Times New Roman" w:cs="Times New Roman" w:eastAsia="Times New Roman" w:hAnsi="Times New Roman"/>
          <w:color w:val="00A000"/>
          <w:sz w:val="22"/>
          <w:szCs w:val="22"/>
        </w:rPr>
        <w:t xml:space="preserve"> Section 11 presents the corresponding scenarios and test results.</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current stage.</w:t>
      </w:r>
      <w:r>
        <w:rPr>
          <w:rFonts w:ascii="Times New Roman" w:cs="Times New Roman" w:eastAsia="Times New Roman" w:hAnsi="Times New Roman"/>
          <w:sz w:val="22"/>
          <w:szCs w:val="22"/>
        </w:rPr>
        <w:t xml:space="preserve"> The objective is to ensure that an otherwise valid requester cannot access healthcare information outside the purpose and data scope authorised by the consent.</w:t>
      </w:r>
      <w:r>
        <w:rPr>
          <w:rFonts w:ascii="Times New Roman" w:cs="Times New Roman" w:eastAsia="Times New Roman" w:hAnsi="Times New Roman"/>
          <w:sz w:val="22"/>
          <w:szCs w:val="22"/>
        </w:rPr>
        <w:t xml:space="preserve"> RO4 develops a policy-aware access-control mechanism capable of evaluating purpose and data-scope constraints before an access decision is issued.</w:t>
      </w:r>
      <w:r>
        <w:rPr>
          <w:rFonts w:ascii="Times New Roman" w:cs="Times New Roman" w:eastAsia="Times New Roman" w:hAnsi="Times New Roman"/>
          <w:sz w:val="22"/>
          <w:szCs w:val="22"/>
        </w:rPr>
        <w:t xml:space="preserve"> The objective is based on the observation that a valid identity and sufficient approval do not necessarily imply that every requested operation is permitted.</w:t>
      </w:r>
      <w:r>
        <w:rPr>
          <w:rFonts w:ascii="Times New Roman" w:cs="Times New Roman" w:eastAsia="Times New Roman" w:hAnsi="Times New Roman"/>
          <w:sz w:val="22"/>
          <w:szCs w:val="22"/>
        </w:rPr>
        <w:t xml:space="preserve"> A doctor may be a legitimate participant and may possess a valid consent, but the requested data may exceed the authorised scope or the requested purpose may not match the purpose specified by the patient.</w:t>
      </w:r>
    </w:p>
    <w:p>
      <w:pPr>
        <w:pStyle w:val="Heading2"/>
        <w:keepNext/>
        <w:spacing w:after="120" w:before="240"/>
      </w:pPr>
      <w:r>
        <w:rPr>
          <w:rFonts w:ascii="Times New Roman" w:cs="Times New Roman" w:eastAsia="Times New Roman" w:hAnsi="Times New Roman"/>
          <w:b/>
          <w:bCs/>
          <w:sz w:val="26"/>
          <w:szCs w:val="26"/>
        </w:rPr>
        <w:t xml:space="preserve">9.1  Scope and Policy Conditions</w:t>
      </w:r>
    </w:p>
    <w:p>
      <w:pPr>
        <w:spacing w:after="110" w:line="264"/>
        <w:jc w:val="both"/>
      </w:pPr>
      <w:r>
        <w:rPr>
          <w:rFonts w:ascii="Times New Roman" w:cs="Times New Roman" w:eastAsia="Times New Roman" w:hAnsi="Times New Roman"/>
          <w:color w:val="00A000"/>
          <w:sz w:val="22"/>
          <w:szCs w:val="22"/>
        </w:rPr>
        <w:t xml:space="preserve">The system evaluates whether the requested data scope S</w:t>
      </w:r>
      <w:r>
        <w:rPr>
          <w:rFonts w:ascii="Times New Roman" w:cs="Times New Roman" w:eastAsia="Times New Roman" w:hAnsi="Times New Roman"/>
          <w:color w:val="00A000"/>
          <w:sz w:val="22"/>
          <w:szCs w:val="22"/>
          <w:vertAlign w:val="subscript"/>
        </w:rPr>
        <w:t xml:space="preserve">R</w:t>
      </w:r>
      <w:r>
        <w:rPr>
          <w:rFonts w:ascii="Times New Roman" w:cs="Times New Roman" w:eastAsia="Times New Roman" w:hAnsi="Times New Roman"/>
          <w:color w:val="00A000"/>
          <w:sz w:val="22"/>
          <w:szCs w:val="22"/>
        </w:rPr>
        <w:t xml:space="preserve"> is non-empty and contained within the data scope authorised by the consent, denoted by S</w:t>
      </w:r>
      <w:r>
        <w:rPr>
          <w:rFonts w:ascii="Times New Roman" w:cs="Times New Roman" w:eastAsia="Times New Roman" w:hAnsi="Times New Roman"/>
          <w:color w:val="00A000"/>
          <w:sz w:val="22"/>
          <w:szCs w:val="22"/>
          <w:vertAlign w:val="subscript"/>
        </w:rPr>
        <w:t xml:space="preserve">C</w:t>
      </w:r>
      <w:r>
        <w:rPr>
          <w:rFonts w:ascii="Times New Roman" w:cs="Times New Roman" w:eastAsia="Times New Roman" w:hAnsi="Times New Roman"/>
          <w:color w:val="00A000"/>
          <w:sz w:val="22"/>
          <w:szCs w:val="22"/>
        </w:rPr>
        <w:t xml:space="preserve">, and Equation (14) defines the scope condition V</w:t>
      </w:r>
      <w:r>
        <w:rPr>
          <w:rFonts w:ascii="Times New Roman" w:cs="Times New Roman" w:eastAsia="Times New Roman" w:hAnsi="Times New Roman"/>
          <w:color w:val="00A000"/>
          <w:sz w:val="22"/>
          <w:szCs w:val="22"/>
          <w:vertAlign w:val="subscript"/>
        </w:rPr>
        <w:t xml:space="preserve">S</w:t>
      </w:r>
      <w:r>
        <w:rPr>
          <w:rFonts w:ascii="Times New Roman" w:cs="Times New Roman" w:eastAsia="Times New Roman" w:hAnsi="Times New Roman"/>
          <w:color w:val="00A000"/>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(14)</w:t>
      </w:r>
    </w:p>
    <w:p>
      <w:pPr>
        <w:spacing w:after="110" w:line="264"/>
        <w:jc w:val="both"/>
      </w:pPr>
      <w:r>
        <w:rPr>
          <w:rFonts w:ascii="Times New Roman" w:cs="Times New Roman" w:eastAsia="Times New Roman" w:hAnsi="Times New Roman"/>
          <w:sz w:val="22"/>
          <w:szCs w:val="22"/>
        </w:rPr>
        <w:t xml:space="preserve">The policy condition can therefore be expressed as Equation (15)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(15)</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the five verification predicates in Equation (16).</w:t>
      </w:r>
      <w:r>
        <w:rPr>
          <w:rFonts w:ascii="Times New Roman" w:cs="Times New Roman" w:eastAsia="Times New Roman" w:hAnsi="Times New Roman"/>
          <w:sz w:val="22"/>
          <w:szCs w:val="22"/>
        </w:rPr>
        <w:t xml:space="preserve"> If any of these conditions is false, the request is denied.</w:t>
      </w:r>
      <w:r>
        <w:rPr>
          <w:rFonts w:ascii="Times New Roman" w:cs="Times New Roman" w:eastAsia="Times New Roman" w:hAnsi="Times New Roman"/>
          <w:sz w:val="22"/>
          <w:szCs w:val="22"/>
        </w:rPr>
        <w:t xml:space="preserve"> This creates a conjunctive trust model in which the failure of any required condition prevents the final authorisation decision.</w:t>
      </w:r>
      <w:r>
        <w:rPr>
          <w:rFonts w:ascii="Times New Roman" w:cs="Times New Roman" w:eastAsia="Times New Roman" w:hAnsi="Times New Roman"/>
          <w:color w:val="00A000"/>
          <w:sz w:val="22"/>
          <w:szCs w:val="22"/>
        </w:rPr>
        <w:t xml:space="preserve"> In the current version, each request against an ACTIVE consent has its decision matrix recorded in the audit ledger with the GRANTED or DENIED outcome, although the three earliest grants of 22 September 2026 predate this logging.</w:t>
      </w:r>
      <w:r>
        <w:rPr>
          <w:rFonts w:ascii="Times New Roman" w:cs="Times New Roman" w:eastAsia="Times New Roman" w:hAnsi="Times New Roman"/>
          <w:sz w:val="22"/>
          <w:szCs w:val="22"/>
        </w:rPr>
        <w:t xml:space="preserve"> Importantly, both successful and denied decisions should be recorded because a trustworthy authorisation framework requires accountability not only for data that were released but also for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(16)</w:t>
      </w:r>
    </w:p>
    <w:p>
      <w:pPr>
        <w:spacing w:after="110" w:line="264"/>
        <w:jc w:val="both"/>
      </w:pPr>
      <w:r>
        <w:rPr>
          <w:rFonts w:ascii="Times New Roman" w:cs="Times New Roman" w:eastAsia="Times New Roman" w:hAnsi="Times New Roman"/>
          <w:color w:val="00A000"/>
          <w:sz w:val="22"/>
          <w:szCs w:val="22"/>
        </w:rPr>
        <w:t xml:space="preserve">In the prototype, the matrix column V</w:t>
      </w:r>
      <w:r>
        <w:rPr>
          <w:rFonts w:ascii="Times New Roman" w:cs="Times New Roman" w:eastAsia="Times New Roman" w:hAnsi="Times New Roman"/>
          <w:color w:val="00A000"/>
          <w:sz w:val="22"/>
          <w:szCs w:val="22"/>
          <w:vertAlign w:val="subscript"/>
        </w:rPr>
        <w:t xml:space="preserve">P</w:t>
      </w:r>
      <w:r>
        <w:rPr>
          <w:rFonts w:ascii="Times New Roman" w:cs="Times New Roman" w:eastAsia="Times New Roman" w:hAnsi="Times New Roman"/>
          <w:color w:val="00A000"/>
          <w:sz w:val="22"/>
          <w:szCs w:val="22"/>
        </w:rPr>
        <w:t xml:space="preserve"> records the purpose check V</w:t>
      </w:r>
      <w:r>
        <w:rPr>
          <w:rFonts w:ascii="Times New Roman" w:cs="Times New Roman" w:eastAsia="Times New Roman" w:hAnsi="Times New Roman"/>
          <w:color w:val="00A000"/>
          <w:sz w:val="22"/>
          <w:szCs w:val="22"/>
          <w:vertAlign w:val="subscript"/>
        </w:rPr>
        <w:t xml:space="preserve">U</w:t>
      </w:r>
      <w:r>
        <w:rPr>
          <w:rFonts w:ascii="Times New Roman" w:cs="Times New Roman" w:eastAsia="Times New Roman" w:hAnsi="Times New Roman"/>
          <w:color w:val="00A000"/>
          <w:sz w:val="22"/>
          <w:szCs w:val="22"/>
        </w:rPr>
        <w:t xml:space="preserve"> only, while the scope condition V</w:t>
      </w:r>
      <w:r>
        <w:rPr>
          <w:rFonts w:ascii="Times New Roman" w:cs="Times New Roman" w:eastAsia="Times New Roman" w:hAnsi="Times New Roman"/>
          <w:color w:val="00A000"/>
          <w:sz w:val="22"/>
          <w:szCs w:val="22"/>
          <w:vertAlign w:val="subscript"/>
        </w:rPr>
        <w:t xml:space="preserve">S</w:t>
      </w:r>
      <w:r>
        <w:rPr>
          <w:rFonts w:ascii="Times New Roman" w:cs="Times New Roman" w:eastAsia="Times New Roman" w:hAnsi="Times New Roman"/>
          <w:color w:val="00A000"/>
          <w:sz w:val="22"/>
          <w:szCs w:val="22"/>
        </w:rPr>
        <w:t xml:space="preserve"> is evaluated separately by the scope check of the doctor subsystem at request time.</w:t>
      </w:r>
      <w:r>
        <w:rPr>
          <w:rFonts w:ascii="Times New Roman" w:cs="Times New Roman" w:eastAsia="Times New Roman" w:hAnsi="Times New Roman"/>
          <w:color w:val="00A000"/>
          <w:sz w:val="22"/>
          <w:szCs w:val="22"/>
        </w:rPr>
        <w:t xml:space="preserve"> The final decision therefore combines the decision matrix with that scope check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w:t>
      </w:r>
      <w:r>
        <w:rPr>
          <w:rFonts w:ascii="Times New Roman" w:cs="Times New Roman" w:eastAsia="Times New Roman" w:hAnsi="Times New Roman"/>
          <w:sz w:val="22"/>
          <w:szCs w:val="22"/>
        </w:rPr>
        <w:t xml:space="preserve"> The system retrieves the consent object and verifies the requesting participant.</w:t>
      </w:r>
      <w:r>
        <w:rPr>
          <w:rFonts w:ascii="Times New Roman" w:cs="Times New Roman" w:eastAsia="Times New Roman" w:hAnsi="Times New Roman"/>
          <w:sz w:val="22"/>
          <w:szCs w:val="22"/>
        </w:rPr>
        <w:t xml:space="preserve"> It then checks whether the required multi-party authorisation has been established.</w:t>
      </w:r>
      <w:r>
        <w:rPr>
          <w:rFonts w:ascii="Times New Roman" w:cs="Times New Roman" w:eastAsia="Times New Roman" w:hAnsi="Times New Roman"/>
          <w:sz w:val="22"/>
          <w:szCs w:val="22"/>
        </w:rPr>
        <w:t xml:space="preserve"> After the identity and authorisation conditions are satisfied, the system evaluates the requested purpose and data scope.</w:t>
      </w:r>
      <w:r>
        <w:rPr>
          <w:rFonts w:ascii="Times New Roman" w:cs="Times New Roman" w:eastAsia="Times New Roman" w:hAnsi="Times New Roman"/>
          <w:sz w:val="22"/>
          <w:szCs w:val="22"/>
        </w:rPr>
        <w:t xml:space="preserve"> The HALAH implementation provides a concrete basis for this objective.</w:t>
      </w:r>
      <w:r>
        <w:rPr>
          <w:rFonts w:ascii="Times New Roman" w:cs="Times New Roman" w:eastAsia="Times New Roman" w:hAnsi="Times New Roman"/>
          <w:sz w:val="22"/>
          <w:szCs w:val="22"/>
        </w:rPr>
        <w:t xml:space="preserve"> As shown in Figure 11, the Doctor interface retrieves a consent, evaluates its state, allows a requested scope to be selected from the consent scope, generates a proof, checks the requested scope, and invokes the authorisation function before returning data.</w:t>
      </w:r>
      <w:r>
        <w:rPr>
          <w:rFonts w:ascii="Times New Roman" w:cs="Times New Roman" w:eastAsia="Times New Roman" w:hAnsi="Times New Roman"/>
          <w:sz w:val="22"/>
          <w:szCs w:val="22"/>
        </w:rPr>
        <w:t xml:space="preserve"> Suppose that a consent permits access to the following healthcare data categories Equation (17), and a healthcare professional subsequently requests Equation (18).</w:t>
      </w:r>
    </w:p>
    <w:p>
      <w:pPr>
        <w:keepNext/>
        <w:spacing w:after="60" w:before="160"/>
        <w:jc w:val="center"/>
      </w:pPr>
      <w:r>
        <w:drawing>
          <wp:inline distT="0" distB="0" distL="0" distR="0">
            <wp:extent cx="2352675" cy="428625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and the requested purpose is the consent purpose)" title="RO4 workflow for policy- and context-aware access control (in the current prototype, a refusal for a consent that is not ACTIVE is reported in the doctor interface and is not written to the audit ledger, whereas every decision on an ACTIVE consent is recorded, and the requested purpose is the consent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5267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 </w:t>
      </w:r>
      <w:r>
        <w:rPr>
          <w:rFonts w:ascii="Times New Roman" w:cs="Times New Roman" w:eastAsia="Times New Roman" w:hAnsi="Times New Roman"/>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and the requested purpose is the consent purpose).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(17)</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Times New Roman" w:cs="Times New Roman" w:eastAsia="Times New Roman" w:hAnsi="Times New Roman"/>
          <w:sz w:val="22"/>
          <w:szCs w:val="22"/>
        </w:rPr>
        <w:t xml:space="preserve">	(18)</w:t>
      </w:r>
    </w:p>
    <w:p>
      <w:pPr>
        <w:spacing w:after="110" w:line="264"/>
        <w:jc w:val="both"/>
      </w:pPr>
      <w:r>
        <w:rPr>
          <w:rFonts w:ascii="Times New Roman" w:cs="Times New Roman" w:eastAsia="Times New Roman" w:hAnsi="Times New Roman"/>
          <w:sz w:val="22"/>
          <w:szCs w:val="22"/>
        </w:rPr>
        <w:t xml:space="preserve">In this case, Equation (19) holds, and the request must be denied.</w:t>
      </w:r>
      <w:r>
        <w:rPr>
          <w:rFonts w:ascii="Times New Roman" w:cs="Times New Roman" w:eastAsia="Times New Roman" w:hAnsi="Times New Roman"/>
          <w:sz w:val="22"/>
          <w:szCs w:val="22"/>
        </w:rPr>
        <w:t xml:space="preserve"> This rule prevents a legitimate participant from obtaining data outside the patient's authorised scope.</w:t>
      </w:r>
      <w:r>
        <w:rPr>
          <w:rFonts w:ascii="Times New Roman" w:cs="Times New Roman" w:eastAsia="Times New Roman" w:hAnsi="Times New Roman"/>
          <w:sz w:val="22"/>
          <w:szCs w:val="22"/>
        </w:rPr>
        <w:t xml:space="preserve"> If the requested data exceeds the authorised scope, the request must be rejected even if the requester has successfully authenticated and the required number of participants has approved the consent.</w:t>
      </w:r>
      <w:r>
        <w:rPr>
          <w:rFonts w:ascii="Times New Roman" w:cs="Times New Roman" w:eastAsia="Times New Roman" w:hAnsi="Times New Roman"/>
          <w:sz w:val="22"/>
          <w:szCs w:val="22"/>
        </w:rPr>
        <w:t xml:space="preserve"> This step is particularly important for fine-grained healthcare data access because authorisation to access one category of healthcare information does not imply authorisation to access all categories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(19)</w:t>
      </w:r>
    </w:p>
    <w:p>
      <w:pPr>
        <w:pStyle w:val="Heading2"/>
        <w:keepNext/>
        <w:spacing w:after="120" w:before="240"/>
      </w:pPr>
      <w:r>
        <w:rPr>
          <w:rFonts w:ascii="Times New Roman" w:cs="Times New Roman" w:eastAsia="Times New Roman" w:hAnsi="Times New Roman"/>
          <w:b/>
          <w:bCs/>
          <w:sz w:val="26"/>
          <w:szCs w:val="26"/>
        </w:rPr>
        <w:t xml:space="preserve">9.3  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4 evaluates the complete set of conditions defined by the consent and applicable access-control policies.</w:t>
      </w:r>
      <w:r>
        <w:rPr>
          <w:rFonts w:ascii="Times New Roman" w:cs="Times New Roman" w:eastAsia="Times New Roman" w:hAnsi="Times New Roman"/>
          <w:sz w:val="22"/>
          <w:szCs w:val="22"/>
        </w:rPr>
        <w:t xml:space="preserve"> If any mandatory condition fails during the evaluation process, the system records the corresponding denial evidence and returns DENY.</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4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consent state</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record proof_mode = groth16</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Record granted decision</w:t>
      </w:r>
    </w:p>
    <w:p>
      <w:pPr>
        <w:keepNext w:val="false"/>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w:t>
      </w:r>
      <w:r>
        <w:rPr>
          <w:rFonts w:ascii="Times New Roman" w:cs="Times New Roman" w:eastAsia="Times New Roman" w:hAnsi="Times New Roman"/>
          <w:sz w:val="22"/>
          <w:szCs w:val="22"/>
        </w:rPr>
        <w:t xml:space="preserve"> This ordering is important because it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w:t>
      </w:r>
      <w:r>
        <w:rPr>
          <w:rFonts w:ascii="Times New Roman" w:cs="Times New Roman" w:eastAsia="Times New Roman" w:hAnsi="Times New Roman"/>
          <w:sz w:val="22"/>
          <w:szCs w:val="22"/>
        </w:rPr>
        <w:t xml:space="preserve"> The system must not only determine whether a consent exists, but also evaluate whether the current request satisfies the consent's scope and purpose constraints.</w:t>
      </w:r>
      <w:r>
        <w:rPr>
          <w:rFonts w:ascii="Times New Roman" w:cs="Times New Roman" w:eastAsia="Times New Roman" w:hAnsi="Times New Roman"/>
          <w:sz w:val="22"/>
          <w:szCs w:val="22"/>
        </w:rPr>
        <w:t xml:space="preserve"> The decision is based on the conjunction of identity validity, active consent, sufficient multi-party approval, purpose compatibility, scope containment, temporal validity, and jurisdictional match.</w:t>
      </w:r>
      <w:r>
        <w:rPr>
          <w:rFonts w:ascii="Times New Roman" w:cs="Times New Roman" w:eastAsia="Times New Roman" w:hAnsi="Times New Roman"/>
          <w:sz w:val="22"/>
          <w:szCs w:val="22"/>
        </w:rPr>
        <w:t xml:space="preserve">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prevents a mismatch between the policy decision and the actual data returned to the requester.</w:t>
      </w:r>
      <w:r>
        <w:rPr>
          <w:rFonts w:ascii="Times New Roman" w:cs="Times New Roman" w:eastAsia="Times New Roman" w:hAnsi="Times New Roman"/>
          <w:sz w:val="22"/>
          <w:szCs w:val="22"/>
        </w:rPr>
        <w:t xml:space="preserve">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generates and verifies the evidence supporting the access decision as a Groth16 zero-knowledge proof.</w:t>
      </w:r>
      <w:r>
        <w:rPr>
          <w:rFonts w:ascii="Times New Roman" w:cs="Times New Roman" w:eastAsia="Times New Roman" w:hAnsi="Times New Roman"/>
          <w:color w:val="00A000"/>
          <w:sz w:val="22"/>
          <w:szCs w:val="22"/>
        </w:rPr>
        <w:t xml:space="preserve"> The proof shows that the prover knows the secret and the expiry time behind a Poseidon commitment held in the application's consent record, and that the consent has not expired at time t.</w:t>
      </w:r>
      <w:r>
        <w:rPr>
          <w:rFonts w:ascii="Times New Roman" w:cs="Times New Roman" w:eastAsia="Times New Roman" w:hAnsi="Times New Roman"/>
          <w:color w:val="00A000"/>
          <w:sz w:val="22"/>
          <w:szCs w:val="22"/>
        </w:rPr>
        <w:t xml:space="preserve"> The proof mode is recorded with the decision in the audit ledger, and the proof constitutes the access evidence required by Algorithm 4 before any data are retrieved.</w:t>
      </w:r>
      <w:r>
        <w:rPr>
          <w:rFonts w:ascii="Times New Roman" w:cs="Times New Roman" w:eastAsia="Times New Roman" w:hAnsi="Times New Roman"/>
          <w:sz w:val="22"/>
          <w:szCs w:val="22"/>
        </w:rPr>
        <w:t xml:space="preserve">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color w:val="00A000"/>
          <w:sz w:val="22"/>
          <w:szCs w:val="22"/>
        </w:rPr>
        <w:t xml:space="preserve">In the demonstrated prototype, the doctor does not declare a separate request purpose.</w:t>
      </w:r>
      <w:r>
        <w:rPr>
          <w:rFonts w:ascii="Times New Roman" w:cs="Times New Roman" w:eastAsia="Times New Roman" w:hAnsi="Times New Roman"/>
          <w:sz w:val="22"/>
          <w:szCs w:val="22"/>
        </w:rPr>
        <w:t xml:space="preserve"> The consent purpose is validated to ensure that the purpose is explicitly specified and conforms to the supported healthcare-use policies of Treatment, Research, and Emergency.</w:t>
      </w:r>
      <w:r>
        <w:rPr>
          <w:rFonts w:ascii="Times New Roman" w:cs="Times New Roman" w:eastAsia="Times New Roman" w:hAnsi="Times New Roman"/>
          <w:sz w:val="22"/>
          <w:szCs w:val="22"/>
        </w:rPr>
        <w:t xml:space="preserve"> The purpose is subsequently bound to the consent object as keccak256(purpose) stored on-chain.</w:t>
      </w:r>
      <w:r>
        <w:rPr>
          <w:rFonts w:ascii="Times New Roman" w:cs="Times New Roman" w:eastAsia="Times New Roman" w:hAnsi="Times New Roman"/>
          <w:sz w:val="22"/>
          <w:szCs w:val="22"/>
        </w:rPr>
        <w:t xml:space="preserve">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w:t>
      </w:r>
      <w:r>
        <w:rPr>
          <w:rFonts w:ascii="Times New Roman" w:cs="Times New Roman" w:eastAsia="Times New Roman" w:hAnsi="Times New Roman"/>
          <w:sz w:val="22"/>
          <w:szCs w:val="22"/>
        </w:rPr>
        <w:t xml:space="preserve">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color w:val="00A000"/>
          <w:sz w:val="22"/>
          <w:szCs w:val="22"/>
        </w:rPr>
        <w:t xml:space="preserve">The denial for a consent that is not ACTIVE is reported in the doctor interface but is not written to the audit ledger in the current prototype.</w:t>
      </w:r>
      <w:r>
        <w:rPr>
          <w:rFonts w:ascii="Times New Roman" w:cs="Times New Roman" w:eastAsia="Times New Roman" w:hAnsi="Times New Roman"/>
          <w:color w:val="00A000"/>
          <w:sz w:val="22"/>
          <w:szCs w:val="22"/>
        </w:rPr>
        <w:t xml:space="preserv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r>
        <w:rPr>
          <w:rFonts w:ascii="Times New Roman" w:cs="Times New Roman" w:eastAsia="Times New Roman" w:hAnsi="Times New Roman"/>
          <w:sz w:val="22"/>
          <w:szCs w:val="22"/>
        </w:rPr>
        <w:t xml:space="preserve"> The system verifies whether the multi-party authorisation requirement associated with consent object C has been satisfied, under the N-of-N approval rule described in Section 8.</w:t>
      </w:r>
    </w:p>
    <w:p>
      <w:pPr>
        <w:pStyle w:val="Heading2"/>
        <w:keepNext/>
        <w:spacing w:after="120" w:before="240"/>
      </w:pPr>
      <w:r>
        <w:rPr>
          <w:rFonts w:ascii="Times New Roman" w:cs="Times New Roman" w:eastAsia="Times New Roman" w:hAnsi="Times New Roman"/>
          <w:b/>
          <w:bCs/>
          <w:sz w:val="26"/>
          <w:szCs w:val="26"/>
        </w:rPr>
        <w:t xml:space="preserve">9.5  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w:t>
      </w:r>
      <w:r>
        <w:rPr>
          <w:rFonts w:ascii="Times New Roman" w:cs="Times New Roman" w:eastAsia="Times New Roman" w:hAnsi="Times New Roman"/>
          <w:sz w:val="22"/>
          <w:szCs w:val="22"/>
        </w:rPr>
        <w:t xml:space="preserve"> RO4 represents the third layer of the framework beyond identity and multi-party approval.</w:t>
      </w:r>
      <w:r>
        <w:rPr>
          <w:rFonts w:ascii="Times New Roman" w:cs="Times New Roman" w:eastAsia="Times New Roman" w:hAnsi="Times New Roman"/>
          <w:color w:val="00A000"/>
          <w:sz w:val="22"/>
          <w:szCs w:val="22"/>
        </w:rPr>
        <w:t xml:space="preserve"> In the formal model, V</w:t>
      </w:r>
      <w:r>
        <w:rPr>
          <w:rFonts w:ascii="Times New Roman" w:cs="Times New Roman" w:eastAsia="Times New Roman" w:hAnsi="Times New Roman"/>
          <w:color w:val="00A000"/>
          <w:sz w:val="22"/>
          <w:szCs w:val="22"/>
          <w:vertAlign w:val="subscript"/>
        </w:rPr>
        <w:t xml:space="preserve">P</w:t>
      </w:r>
      <w:r>
        <w:rPr>
          <w:rFonts w:ascii="Times New Roman" w:cs="Times New Roman" w:eastAsia="Times New Roman" w:hAnsi="Times New Roman"/>
          <w:color w:val="00A000"/>
          <w:sz w:val="22"/>
          <w:szCs w:val="22"/>
        </w:rPr>
        <w:t xml:space="preserve"> evaluates to 0 for the over-scope request given above, and the prototype refuses such a request with the scope named as the failed check.</w:t>
      </w:r>
      <w:r>
        <w:rPr>
          <w:rFonts w:ascii="Times New Roman" w:cs="Times New Roman" w:eastAsia="Times New Roman" w:hAnsi="Times New Roman"/>
          <w:sz w:val="22"/>
          <w:szCs w:val="22"/>
        </w:rPr>
        <w:t xml:space="preserve"> The interface itself allows a requested scope to be selected from the consent scope only.</w:t>
      </w:r>
      <w:r>
        <w:rPr>
          <w:rFonts w:ascii="Times New Roman" w:cs="Times New Roman" w:eastAsia="Times New Roman" w:hAnsi="Times New Roman"/>
          <w:sz w:val="22"/>
          <w:szCs w:val="22"/>
        </w:rPr>
        <w:t xml:space="preserve"> The unit-level adversarial tests verify that a participant cannot obtain healthcare resources outside the scope authorised by the patient's consent, even when the participant possesses a valid identity and authority credential.</w:t>
      </w:r>
      <w:r>
        <w:rPr>
          <w:rFonts w:ascii="Times New Roman" w:cs="Times New Roman" w:eastAsia="Times New Roman" w:hAnsi="Times New Roman"/>
          <w:sz w:val="22"/>
          <w:szCs w:val="22"/>
        </w:rPr>
        <w:t xml:space="preserve"> The adversarial test set is particularly important because a framework should not only demonstrate that legitimate requests succeed, but also demonstrate resilience against foreseeable attempts to bypass its security controls.</w:t>
      </w:r>
      <w:r>
        <w:rPr>
          <w:rFonts w:ascii="Times New Roman" w:cs="Times New Roman" w:eastAsia="Times New Roman" w:hAnsi="Times New Roman"/>
          <w:color w:val="00A000"/>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color w:val="00A000"/>
          <w:sz w:val="22"/>
          <w:szCs w:val="22"/>
        </w:rPr>
        <w:t xml:space="preserve">Every denial names the failed checks in the interface.</w:t>
      </w:r>
      <w:r>
        <w:rPr>
          <w:rFonts w:ascii="Times New Roman" w:cs="Times New Roman" w:eastAsia="Times New Roman" w:hAnsi="Times New Roman"/>
          <w:sz w:val="22"/>
          <w:szCs w:val="22"/>
        </w:rPr>
        <w:t xml:space="preserve"> Each consent specification and access request is accepted only when the required fields are valid.</w:t>
      </w:r>
      <w:r>
        <w:rPr>
          <w:rFonts w:ascii="Times New Roman" w:cs="Times New Roman" w:eastAsia="Times New Roman" w:hAnsi="Times New Roman"/>
          <w:color w:val="00A000"/>
          <w:sz w:val="22"/>
          <w:szCs w:val="22"/>
        </w:rPr>
        <w:t xml:space="preserve"> Malformed identifiers, scopes, and jurisdictions therefore do not reach the decision logic.</w:t>
      </w:r>
      <w:r>
        <w:rPr>
          <w:rFonts w:ascii="Times New Roman" w:cs="Times New Roman" w:eastAsia="Times New Roman" w:hAnsi="Times New Roman"/>
          <w:sz w:val="22"/>
          <w:szCs w:val="22"/>
        </w:rPr>
        <w:t xml:space="preserve">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w:t>
      </w:r>
      <w:r>
        <w:rPr>
          <w:rFonts w:ascii="Times New Roman" w:cs="Times New Roman" w:eastAsia="Times New Roman" w:hAnsi="Times New Roman"/>
          <w:sz w:val="22"/>
          <w:szCs w:val="22"/>
        </w:rPr>
        <w:t xml:space="preserve">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r>
        <w:rPr>
          <w:rFonts w:ascii="Times New Roman" w:cs="Times New Roman" w:eastAsia="Times New Roman" w:hAnsi="Times New Roman"/>
          <w:sz w:val="22"/>
          <w:szCs w:val="22"/>
        </w:rPr>
        <w:t xml:space="preserve"> This architecture transforms healthcare data access from a simple credential-based permission check into an evidence-based authorisation process.</w:t>
      </w:r>
      <w:r>
        <w:rPr>
          <w:rFonts w:ascii="Times New Roman" w:cs="Times New Roman" w:eastAsia="Times New Roman" w:hAnsi="Times New Roman"/>
          <w:sz w:val="22"/>
          <w:szCs w:val="22"/>
        </w:rPr>
        <w:t xml:space="preserve"> Consent therefore becomes an active authorisation constraint rather than a historical indication that a participant was once granted permission.</w:t>
      </w:r>
      <w:r>
        <w:rPr>
          <w:rFonts w:ascii="Times New Roman" w:cs="Times New Roman" w:eastAsia="Times New Roman" w:hAnsi="Times New Roman"/>
          <w:sz w:val="22"/>
          <w:szCs w:val="22"/>
        </w:rPr>
        <w:t xml:space="preserve"> Section 11 demonstrates on the live system that a request is permitted only when the requested data scope is contained within the authorised scope.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w:t>
      </w:r>
      <w:r>
        <w:rPr>
          <w:rFonts w:ascii="Times New Roman" w:cs="Times New Roman" w:eastAsia="Times New Roman" w:hAnsi="Times New Roman"/>
          <w:sz w:val="22"/>
          <w:szCs w:val="22"/>
        </w:rPr>
        <w:t xml:space="preserve"> This objective was originally planned for CA3 because it investigates how an authorisation remains trustworthy as time passes and as the consent state changes.</w:t>
      </w:r>
      <w:r>
        <w:rPr>
          <w:rFonts w:ascii="Times New Roman" w:cs="Times New Roman" w:eastAsia="Times New Roman" w:hAnsi="Times New Roman"/>
          <w:sz w:val="22"/>
          <w:szCs w:val="22"/>
        </w:rPr>
        <w:t xml:space="preserve"> The objective is to ensure that an authorisation remains valid only within its permitted time interval and lifecycle state.</w:t>
      </w:r>
      <w:r>
        <w:rPr>
          <w:rFonts w:ascii="Times New Roman" w:cs="Times New Roman" w:eastAsia="Times New Roman" w:hAnsi="Times New Roman"/>
          <w:sz w:val="22"/>
          <w:szCs w:val="22"/>
        </w:rPr>
        <w:t xml:space="preserve"> It must also ensure that expiration, revocation, and unauthorised state transitions are correctly enforced.</w:t>
      </w:r>
    </w:p>
    <w:p>
      <w:pPr>
        <w:pStyle w:val="Heading2"/>
        <w:keepNext/>
        <w:spacing w:after="120" w:before="240"/>
      </w:pPr>
      <w:r>
        <w:rPr>
          <w:rFonts w:ascii="Times New Roman" w:cs="Times New Roman" w:eastAsia="Times New Roman" w:hAnsi="Times New Roman"/>
          <w:b/>
          <w:bCs/>
          <w:sz w:val="26"/>
          <w:szCs w:val="26"/>
        </w:rPr>
        <w:t xml:space="preserve">10.1  Temporal and Jurisdictional Trust Conditions</w:t>
      </w:r>
    </w:p>
    <w:p>
      <w:pPr>
        <w:spacing w:after="110" w:line="264"/>
        <w:jc w:val="both"/>
      </w:pPr>
      <w:r>
        <w:rPr>
          <w:rFonts w:ascii="Times New Roman" w:cs="Times New Roman" w:eastAsia="Times New Roman" w:hAnsi="Times New Roman"/>
          <w:sz w:val="22"/>
          <w:szCs w:val="22"/>
        </w:rPr>
        <w:t xml:space="preserve">Trustworthy authorisation is inherently dynamic.</w:t>
      </w:r>
      <w:r>
        <w:rPr>
          <w:rFonts w:ascii="Times New Roman" w:cs="Times New Roman" w:eastAsia="Times New Roman" w:hAnsi="Times New Roman"/>
          <w:sz w:val="22"/>
          <w:szCs w:val="22"/>
        </w:rPr>
        <w:t xml:space="preserve"> A consent that is valid at one point in time cannot necessarily be assumed to remain valid indefinitely.</w:t>
      </w:r>
      <w:r>
        <w:rPr>
          <w:rFonts w:ascii="Times New Roman" w:cs="Times New Roman" w:eastAsia="Times New Roman" w:hAnsi="Times New Roman"/>
          <w:sz w:val="22"/>
          <w:szCs w:val="22"/>
        </w:rPr>
        <w:t xml:space="preserve"> The system compares the current time t with the consent validity interval, and Equation (20)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(20)</w:t>
      </w:r>
    </w:p>
    <w:p>
      <w:pPr>
        <w:spacing w:after="110" w:line="264"/>
        <w:jc w:val="both"/>
      </w:pPr>
      <w:r>
        <w:rPr>
          <w:rFonts w:ascii="Times New Roman" w:cs="Times New Roman" w:eastAsia="Times New Roman" w:hAnsi="Times New Roman"/>
          <w:color w:val="00A000"/>
          <w:sz w:val="22"/>
          <w:szCs w:val="22"/>
        </w:rPr>
        <w:t xml:space="preserve">Equation (21) defines the jurisdictional predicate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which compares the jurisdiction of request R with the consent jurisdiction L, where Jur(·) is the on-chain two-letter ISO code.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R) = 1 ⟺ Jur(R) = Jur(C) ∨ Jur(C) = ∅.</w:t>
      </w:r>
      <w:r>
        <w:rPr>
          <w:rFonts w:ascii="Times New Roman" w:cs="Times New Roman" w:eastAsia="Times New Roman" w:hAnsi="Times New Roman"/>
          <w:sz w:val="22"/>
          <w:szCs w:val="22"/>
        </w:rPr>
        <w:t xml:space="preserve">	(21)</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and L is one of these fields.</w:t>
      </w:r>
      <w:r>
        <w:rPr>
          <w:rFonts w:ascii="Times New Roman" w:cs="Times New Roman" w:eastAsia="Times New Roman" w:hAnsi="Times New Roman"/>
          <w:color w:val="00A000"/>
          <w:sz w:val="22"/>
          <w:szCs w:val="22"/>
        </w:rPr>
        <w:t xml:space="preserve"> The disjunct Jur(C) = ∅ is therefore not reached for any consent created through the current interface, and the predicate reduces to strict equality.</w:t>
      </w:r>
      <w:r>
        <w:rPr>
          <w:rFonts w:ascii="Times New Roman" w:cs="Times New Roman" w:eastAsia="Times New Roman" w:hAnsi="Times New Roman"/>
          <w:color w:val="00A000"/>
          <w:sz w:val="22"/>
          <w:szCs w:val="22"/>
        </w:rPr>
        <w:t xml:space="preserve"> As in Section 5.2, lifecycle state and revocation remain part of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w:t>
      </w:r>
      <w:r>
        <w:rPr>
          <w:rFonts w:ascii="Times New Roman" w:cs="Times New Roman" w:eastAsia="Times New Roman" w:hAnsi="Times New Roman"/>
          <w:sz w:val="22"/>
          <w:szCs w:val="22"/>
        </w:rPr>
        <w:t xml:space="preserve"> An authorisation decision consequently requires both temporal and lifecycle validity.</w:t>
      </w:r>
      <w:r>
        <w:rPr>
          <w:rFonts w:ascii="Times New Roman" w:cs="Times New Roman" w:eastAsia="Times New Roman" w:hAnsi="Times New Roman"/>
          <w:sz w:val="22"/>
          <w:szCs w:val="22"/>
        </w:rPr>
        <w:t xml:space="preserve"> The extended authorisation decision is therefore given by Equation (22).</w:t>
      </w:r>
      <w:r>
        <w:rPr>
          <w:rFonts w:ascii="Times New Roman" w:cs="Times New Roman" w:eastAsia="Times New Roman" w:hAnsi="Times New Roman"/>
          <w:sz w:val="22"/>
          <w:szCs w:val="22"/>
        </w:rPr>
        <w:t xml:space="preserve"> A valid authorisation decision requires the simultaneous satisfaction of all relevant trust conditions.</w:t>
      </w:r>
      <w:r>
        <w:rPr>
          <w:rFonts w:ascii="Times New Roman" w:cs="Times New Roman" w:eastAsia="Times New Roman" w:hAnsi="Times New Roman"/>
          <w:sz w:val="22"/>
          <w:szCs w:val="22"/>
        </w:rPr>
        <w:t xml:space="preserve"> Consequently, failure of any individual condition results in denial.</w:t>
      </w:r>
      <w:r>
        <w:rPr>
          <w:rFonts w:ascii="Times New Roman" w:cs="Times New Roman" w:eastAsia="Times New Roman" w:hAnsi="Times New Roman"/>
          <w:sz w:val="22"/>
          <w:szCs w:val="22"/>
        </w:rPr>
        <w:t xml:space="preserve"> Temporal and lifecycle controls contribute dynamic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(22)</w:t>
      </w:r>
    </w:p>
    <w:p>
      <w:pPr>
        <w:spacing w:after="110" w:line="264"/>
        <w:jc w:val="both"/>
      </w:pPr>
      <w:r>
        <w:rPr>
          <w:rFonts w:ascii="Times New Roman" w:cs="Times New Roman" w:eastAsia="Times New Roman" w:hAnsi="Times New Roman"/>
          <w:sz w:val="22"/>
          <w:szCs w:val="22"/>
        </w:rPr>
        <w:t xml:space="preserve">Authorisation is not necessarily permanent.</w:t>
      </w:r>
      <w:r>
        <w:rPr>
          <w:rFonts w:ascii="Times New Roman" w:cs="Times New Roman" w:eastAsia="Times New Roman" w:hAnsi="Times New Roman"/>
          <w:sz w:val="22"/>
          <w:szCs w:val="22"/>
        </w:rPr>
        <w:t xml:space="preserve"> A consent that was valid when initially approved may subsequently become invalid due to expiration or revocation.</w:t>
      </w:r>
      <w:r>
        <w:rPr>
          <w:rFonts w:ascii="Times New Roman" w:cs="Times New Roman" w:eastAsia="Times New Roman" w:hAnsi="Times New Roman"/>
          <w:sz w:val="22"/>
          <w:szCs w:val="22"/>
        </w:rPr>
        <w:t xml:space="preserve"> This establishes that consent validity is not a static property.</w:t>
      </w:r>
      <w:r>
        <w:rPr>
          <w:rFonts w:ascii="Times New Roman" w:cs="Times New Roman" w:eastAsia="Times New Roman" w:hAnsi="Times New Roman"/>
          <w:sz w:val="22"/>
          <w:szCs w:val="22"/>
        </w:rPr>
        <w:t xml:space="preserve"> The purpose of RO5 is not simply to add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w:t>
      </w:r>
      <w:r>
        <w:rPr>
          <w:rFonts w:ascii="Times New Roman" w:cs="Times New Roman" w:eastAsia="Times New Roman" w:hAnsi="Times New Roman"/>
          <w:sz w:val="22"/>
          <w:szCs w:val="22"/>
        </w:rPr>
        <w:t xml:space="preserve"> A consent that has expired or been revoked must not remain usable merely because its original approval threshold was satisfied.</w:t>
      </w:r>
      <w:r>
        <w:rPr>
          <w:rFonts w:ascii="Times New Roman" w:cs="Times New Roman" w:eastAsia="Times New Roman" w:hAnsi="Times New Roman"/>
          <w:sz w:val="22"/>
          <w:szCs w:val="22"/>
        </w:rPr>
        <w:t xml:space="preserve">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Implemented Temporal and Lifecycle Controls</w:t>
      </w:r>
    </w:p>
    <w:p>
      <w:pPr>
        <w:spacing w:after="110" w:line="264"/>
        <w:jc w:val="both"/>
      </w:pPr>
      <w:r>
        <w:rPr>
          <w:rFonts w:ascii="Times New Roman" w:cs="Times New Roman" w:eastAsia="Times New Roman" w:hAnsi="Times New Roman"/>
          <w:sz w:val="22"/>
          <w:szCs w:val="22"/>
        </w:rPr>
        <w:t xml:space="preserve">Figure 12 presents the RO5 workflow, which evaluates the consent’s temporal interval, lifecycle state, and revocation status before the system proceeds with the remaining authorisation conditions.</w:t>
      </w:r>
      <w:r>
        <w:rPr>
          <w:rFonts w:ascii="Times New Roman" w:cs="Times New Roman" w:eastAsia="Times New Roman" w:hAnsi="Times New Roman"/>
          <w:sz w:val="22"/>
          <w:szCs w:val="22"/>
        </w:rPr>
        <w:t xml:space="preserve"> This design ensures that a consent is not treated as permanently valid after it has expired or entered a state that no longer permits access.</w:t>
      </w:r>
      <w:r>
        <w:rPr>
          <w:rFonts w:ascii="Times New Roman" w:cs="Times New Roman" w:eastAsia="Times New Roman" w:hAnsi="Times New Roman"/>
          <w:sz w:val="22"/>
          <w:szCs w:val="22"/>
        </w:rPr>
        <w:t xml:space="preserve"> Temporal conditions and lifecycle state are represented in the Model, while their validity is evaluated by the Controller before an access decision is produced.</w:t>
      </w:r>
      <w:r>
        <w:rPr>
          <w:rFonts w:ascii="Times New Roman" w:cs="Times New Roman" w:eastAsia="Times New Roman" w:hAnsi="Times New Roman"/>
          <w:color w:val="00A000"/>
          <w:sz w:val="22"/>
          <w:szCs w:val="22"/>
        </w:rPr>
        <w:t xml:space="preserve"> The Consent Engine evaluates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and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from the application record,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2990850" cy="428625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12: </w:t>
      </w:r>
      <w:r>
        <w:rPr>
          <w:rFonts w:ascii="Times New Roman" w:cs="Times New Roman" w:eastAsia="Times New Roman" w:hAnsi="Times New Roman"/>
          <w:sz w:val="18"/>
          <w:szCs w:val="18"/>
        </w:rPr>
        <w:t xml:space="preserve">RO5 workflow for temporal and consent lifecycle trust.</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w:t>
      </w:r>
      <w:r>
        <w:rPr>
          <w:rFonts w:ascii="Times New Roman" w:cs="Times New Roman" w:eastAsia="Times New Roman" w:hAnsi="Times New Roman"/>
          <w:sz w:val="22"/>
          <w:szCs w:val="22"/>
        </w:rPr>
        <w:t xml:space="preserve"> This step prevents a consent from being used before its effective start time or after its expiration time.</w:t>
      </w:r>
      <w:r>
        <w:rPr>
          <w:rFonts w:ascii="Times New Roman" w:cs="Times New Roman" w:eastAsia="Times New Roman" w:hAnsi="Times New Roman"/>
          <w:sz w:val="22"/>
          <w:szCs w:val="22"/>
        </w:rPr>
        <w:t xml:space="preserve"> At consent creation, the expiry time must be later than the start time.</w:t>
      </w:r>
      <w:r>
        <w:rPr>
          <w:rFonts w:ascii="Times New Roman" w:cs="Times New Roman" w:eastAsia="Times New Roman" w:hAnsi="Times New Roman"/>
          <w:sz w:val="22"/>
          <w:szCs w:val="22"/>
        </w:rPr>
        <w:t xml:space="preserv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w:t>
      </w:r>
      <w:r>
        <w:rPr>
          <w:rFonts w:ascii="Times New Roman" w:cs="Times New Roman" w:eastAsia="Times New Roman" w:hAnsi="Times New Roman"/>
          <w:color w:val="00A000"/>
          <w:sz w:val="22"/>
          <w:szCs w:val="22"/>
        </w:rPr>
        <w:t xml:space="preserve"> The patient's withdrawal is confirmed as a revoke transaction on Sepolia in block 11,771,307, after which the contract reports the token as no longer valid.</w:t>
      </w:r>
      <w:r>
        <w:rPr>
          <w:rFonts w:ascii="Times New Roman" w:cs="Times New Roman" w:eastAsia="Times New Roman" w:hAnsi="Times New Roman"/>
          <w:sz w:val="22"/>
          <w:szCs w:val="22"/>
        </w:rPr>
        <w:t xml:space="preserve"> The blockchain or token layer provides persistence, traceability, and evidence of the resulting state.</w:t>
      </w:r>
      <w:r>
        <w:rPr>
          <w:rFonts w:ascii="Times New Roman" w:cs="Times New Roman" w:eastAsia="Times New Roman" w:hAnsi="Times New Roman"/>
          <w:sz w:val="22"/>
          <w:szCs w:val="22"/>
        </w:rPr>
        <w:t xml:space="preserve"> For subsequent requests, the system explicitly checks whether consent object C has been revoked in the local store.</w:t>
      </w:r>
      <w:r>
        <w:rPr>
          <w:rFonts w:ascii="Times New Roman" w:cs="Times New Roman" w:eastAsia="Times New Roman" w:hAnsi="Times New Roman"/>
          <w:color w:val="00A000"/>
          <w:sz w:val="22"/>
          <w:szCs w:val="22"/>
        </w:rPr>
        <w:t xml:space="preserv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Lifecycle states.</w:t>
      </w:r>
      <w:r>
        <w:rPr>
          <w:rFonts w:ascii="Times New Roman" w:cs="Times New Roman" w:eastAsia="Times New Roman" w:hAnsi="Times New Roman"/>
          <w:color w:val="00A000"/>
          <w:sz w:val="22"/>
          <w:szCs w:val="22"/>
        </w:rPr>
        <w:t xml:space="preserve"> The lifecycle is an explicit state machine with six states PENDING_SIGNATURE, PENDING_TOKEN, NOT_STARTED, ACTIVE, EXPIRED, and REVOKED.</w:t>
      </w:r>
      <w:r>
        <w:rPr>
          <w:rFonts w:ascii="Times New Roman" w:cs="Times New Roman" w:eastAsia="Times New Roman" w:hAnsi="Times New Roman"/>
          <w:color w:val="00A000"/>
          <w:sz w:val="22"/>
          <w:szCs w:val="22"/>
        </w:rPr>
        <w:t xml:space="preserve">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In particular, the system verifies that the consent has not expired, been revoked, or otherwise transitioned into an inactive state.</w:t>
      </w:r>
      <w:r>
        <w:rPr>
          <w:rFonts w:ascii="Times New Roman" w:cs="Times New Roman" w:eastAsia="Times New Roman" w:hAnsi="Times New Roman"/>
          <w:sz w:val="22"/>
          <w:szCs w:val="22"/>
        </w:rPr>
        <w:t xml:space="preserve"> The current state is used to determine whether the requested operation can legally and logically be performed.</w:t>
      </w:r>
    </w:p>
    <w:p>
      <w:pPr>
        <w:spacing w:after="110" w:line="264"/>
        <w:jc w:val="both"/>
      </w:pPr>
      <w:r>
        <w:rPr>
          <w:rFonts w:ascii="Times New Roman" w:cs="Times New Roman" w:eastAsia="Times New Roman" w:hAnsi="Times New Roman"/>
          <w:color w:val="00A000"/>
          <w:sz w:val="22"/>
          <w:szCs w:val="22"/>
        </w:rPr>
        <w:t xml:space="preserve">Figure 13 summarises the implemented lifecycle.</w:t>
      </w:r>
      <w:r>
        <w:rPr>
          <w:rFonts w:ascii="Times New Roman" w:cs="Times New Roman" w:eastAsia="Times New Roman" w:hAnsi="Times New Roman"/>
          <w:color w:val="00A000"/>
          <w:sz w:val="22"/>
          <w:szCs w:val="22"/>
        </w:rPr>
        <w:t xml:space="preserve"> Each STATE_CHECK event in the audit ledger, recorded at every access request evaluated against an ACTIVE consent, establishes an auditable relationship between the consent’s lifecycle state and the operation performed at a particular point in time.</w:t>
      </w:r>
      <w:r>
        <w:rPr>
          <w:rFonts w:ascii="Times New Roman" w:cs="Times New Roman" w:eastAsia="Times New Roman" w:hAnsi="Times New Roman"/>
          <w:sz w:val="22"/>
          <w:szCs w:val="22"/>
        </w:rPr>
        <w:t xml:space="preserve"> Rather than treating authorisation as a one-time event, this approach enables the system to determine whether authorisation remains valid at the precise time an operation is requested.</w:t>
      </w:r>
      <w:r>
        <w:rPr>
          <w:rFonts w:ascii="Times New Roman" w:cs="Times New Roman" w:eastAsia="Times New Roman" w:hAnsi="Times New Roman"/>
          <w:color w:val="00A000"/>
          <w:sz w:val="22"/>
          <w:szCs w:val="22"/>
        </w:rPr>
        <w:t xml:space="preserve">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609725"/>
            <wp:effectExtent t="0" r="0" b="0" l="0"/>
            <wp:docPr id="1" name="F35.png" descr="Implemented consent lifecycle: solid transitions are recorded in the audit ledger, red transitions are anchored as Sepolia transactions and dashed transitions show revocation from any state that is not already REVOKED" title="Implemented consent lifecycle: solid transitions are recorded in the audit ledger, red transitions are anchored as Sepolia transactions and dashed transitions show revocation from any state that is not already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6097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 </w:t>
      </w:r>
      <w:r>
        <w:rPr>
          <w:rFonts w:ascii="Times New Roman" w:cs="Times New Roman" w:eastAsia="Times New Roman" w:hAnsi="Times New Roman"/>
          <w:sz w:val="18"/>
          <w:szCs w:val="18"/>
        </w:rPr>
        <w:t xml:space="preserve">Implemented consent lifecycle: solid transitions are recorded in the audit ledger, red transitions are anchored as Sepolia transactions and dashed transitions show revocation from any state that is not already REVOKED.</w:t>
      </w:r>
    </w:p>
    <w:p>
      <w:pPr>
        <w:pStyle w:val="Heading2"/>
        <w:keepNext/>
        <w:spacing w:after="120" w:before="240"/>
      </w:pPr>
      <w:r>
        <w:rPr>
          <w:rFonts w:ascii="Times New Roman" w:cs="Times New Roman" w:eastAsia="Times New Roman" w:hAnsi="Times New Roman"/>
          <w:b/>
          <w:bCs/>
          <w:sz w:val="26"/>
          <w:szCs w:val="26"/>
        </w:rPr>
        <w:t xml:space="preserve">10.3  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w:t>
      </w:r>
      <w:r>
        <w:rPr>
          <w:rFonts w:ascii="Times New Roman" w:cs="Times New Roman" w:eastAsia="Times New Roman" w:hAnsi="Times New Roman"/>
          <w:color w:val="00A000"/>
          <w:sz w:val="22"/>
          <w:szCs w:val="22"/>
        </w:rPr>
        <w:t xml:space="preserve"> Five elements remain for CA3.</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Consent modification.</w:t>
      </w:r>
      <w:r>
        <w:rPr>
          <w:rFonts w:ascii="Times New Roman" w:cs="Times New Roman" w:eastAsia="Times New Roman" w:hAnsi="Times New Roman"/>
          <w:color w:val="00A000"/>
          <w:sz w:val="22"/>
          <w:szCs w:val="22"/>
        </w:rPr>
        <w:t xml:space="preserve"> The current prototype assumes that the consent terms do not change after approval.</w:t>
      </w:r>
      <w:r>
        <w:rPr>
          <w:rFonts w:ascii="Times New Roman" w:cs="Times New Roman" w:eastAsia="Times New Roman" w:hAnsi="Times New Roman"/>
          <w:sz w:val="22"/>
          <w:szCs w:val="22"/>
        </w:rPr>
        <w:t xml:space="preserve"> CA3 will therefore extend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Guardian-set changes.</w:t>
      </w:r>
      <w:r>
        <w:rPr>
          <w:rFonts w:ascii="Times New Roman" w:cs="Times New Roman" w:eastAsia="Times New Roman" w:hAnsi="Times New Roman"/>
          <w:color w:val="00A000"/>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w:t>
      </w:r>
      <w:r>
        <w:rPr>
          <w:rFonts w:ascii="Times New Roman" w:cs="Times New Roman" w:eastAsia="Times New Roman" w:hAnsi="Times New Roman"/>
          <w:sz w:val="22"/>
          <w:szCs w:val="22"/>
        </w:rPr>
        <w:t xml:space="preserve"> If the transition is not permitted, the system records an unauthorised state-transition event and returns INVALID, but this is the only step not yet implemented.</w:t>
      </w:r>
      <w:r>
        <w:rPr>
          <w:rFonts w:ascii="Times New Roman" w:cs="Times New Roman" w:eastAsia="Times New Roman" w:hAnsi="Times New Roman"/>
          <w:sz w:val="22"/>
          <w:szCs w:val="22"/>
        </w:rPr>
        <w:t xml:space="preserve"> It therefore ensures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w:t>
      </w:r>
      <w:r>
        <w:rPr>
          <w:rFonts w:ascii="Times New Roman" w:cs="Times New Roman" w:eastAsia="Times New Roman" w:hAnsi="Times New Roman"/>
          <w:color w:val="00A000"/>
          <w:sz w:val="22"/>
          <w:szCs w:val="22"/>
        </w:rPr>
        <w:t xml:space="preserve">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w:t>
      </w:r>
      <w:r>
        <w:rPr>
          <w:rFonts w:ascii="Times New Roman" w:cs="Times New Roman" w:eastAsia="Times New Roman" w:hAnsi="Times New Roman"/>
          <w:color w:val="00A000"/>
          <w:sz w:val="22"/>
          <w:szCs w:val="22"/>
        </w:rPr>
        <w:t xml:space="preserve"> The lifecycle invariant will be verified by model checking of the state machine or by proof over the predicate definitions, with the formal component of RO6 in Section 11.</w:t>
      </w:r>
      <w:r>
        <w:rPr>
          <w:rFonts w:ascii="Times New Roman" w:cs="Times New Roman" w:eastAsia="Times New Roman" w:hAnsi="Times New Roman"/>
          <w:sz w:val="22"/>
          <w:szCs w:val="22"/>
        </w:rPr>
        <w:t xml:space="preserve"> This work will constitute a major component of CA3.</w:t>
      </w:r>
      <w:r>
        <w:rPr>
          <w:rFonts w:ascii="Times New Roman" w:cs="Times New Roman" w:eastAsia="Times New Roman" w:hAnsi="Times New Roman"/>
          <w:sz w:val="22"/>
          <w:szCs w:val="22"/>
        </w:rPr>
        <w:t xml:space="preserve"> The major CA3 activities and their expected outcomes are summarised in Section 13.</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w:t>
      </w:r>
      <w:r>
        <w:rPr>
          <w:rFonts w:ascii="Times New Roman" w:cs="Times New Roman" w:eastAsia="Times New Roman" w:hAnsi="Times New Roman"/>
          <w:sz w:val="22"/>
          <w:szCs w:val="22"/>
        </w:rPr>
        <w:t xml:space="preserve"> The objective combines two complementary forms of assurance.</w:t>
      </w:r>
      <w:r>
        <w:rPr>
          <w:rFonts w:ascii="Times New Roman" w:cs="Times New Roman" w:eastAsia="Times New Roman" w:hAnsi="Times New Roman"/>
          <w:sz w:val="22"/>
          <w:szCs w:val="22"/>
        </w:rPr>
        <w:t xml:space="preserve"> Formal security assurance specifies the conditions under which the authorisation mechanism should be considered secure and consistent.</w:t>
      </w:r>
      <w:r>
        <w:rPr>
          <w:rFonts w:ascii="Times New Roman" w:cs="Times New Roman" w:eastAsia="Times New Roman" w:hAnsi="Times New Roman"/>
          <w:sz w:val="22"/>
          <w:szCs w:val="22"/>
        </w:rPr>
        <w:t xml:space="preserve"> Empirical validation evaluates whether the implemented system behaves according to those conditions.</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w:t>
      </w:r>
      <w:r>
        <w:rPr>
          <w:rFonts w:ascii="Times New Roman" w:cs="Times New Roman" w:eastAsia="Times New Roman" w:hAnsi="Times New Roman"/>
          <w:sz w:val="22"/>
          <w:szCs w:val="22"/>
        </w:rPr>
        <w:t xml:space="preserve"> Consequently, the two forms of evidence are complementary rather than interchangeable.</w:t>
      </w:r>
      <w:r>
        <w:rPr>
          <w:rFonts w:ascii="Times New Roman" w:cs="Times New Roman" w:eastAsia="Times New Roman" w:hAnsi="Times New Roman"/>
          <w:sz w:val="22"/>
          <w:szCs w:val="22"/>
        </w:rPr>
        <w:t xml:space="preserve"> RO6 is partially completed through the implementation and scenario-based validation of the HALAH prototype for RQ1 to RQ4.</w:t>
      </w:r>
      <w:r>
        <w:rPr>
          <w:rFonts w:ascii="Times New Roman" w:cs="Times New Roman" w:eastAsia="Times New Roman" w:hAnsi="Times New Roman"/>
          <w:sz w:val="22"/>
          <w:szCs w:val="22"/>
        </w:rPr>
        <w:t xml:space="preserve"> The complete formal analysis and comprehensive empirical validation will be conducted as part of CA3.</w:t>
      </w:r>
    </w:p>
    <w:p>
      <w:pPr>
        <w:pStyle w:val="Heading2"/>
        <w:keepNext/>
        <w:spacing w:after="120" w:before="240"/>
      </w:pPr>
      <w:r>
        <w:rPr>
          <w:rFonts w:ascii="Times New Roman" w:cs="Times New Roman" w:eastAsia="Times New Roman" w:hAnsi="Times New Roman"/>
          <w:b/>
          <w:bCs/>
          <w:sz w:val="26"/>
          <w:szCs w:val="26"/>
        </w:rPr>
        <w:t xml:space="preserve">11.1  Validation Approach</w:t>
      </w:r>
    </w:p>
    <w:p>
      <w:pPr>
        <w:spacing w:after="110" w:line="264"/>
        <w:jc w:val="both"/>
      </w:pPr>
      <w:r>
        <w:rPr>
          <w:rFonts w:ascii="Times New Roman" w:cs="Times New Roman" w:eastAsia="Times New Roman" w:hAnsi="Times New Roman"/>
          <w:sz w:val="22"/>
          <w:szCs w:val="22"/>
        </w:rPr>
        <w:t xml:space="preserve">Figure 14 presents the RO6 workflow for formal security assurance and empirical validation.</w:t>
      </w:r>
      <w:r>
        <w:rPr>
          <w:rFonts w:ascii="Times New Roman" w:cs="Times New Roman" w:eastAsia="Times New Roman" w:hAnsi="Times New Roman"/>
          <w:sz w:val="22"/>
          <w:szCs w:val="22"/>
        </w:rPr>
        <w:t xml:space="preserve"> The formal and empirical components are complementary.</w:t>
      </w:r>
      <w:r>
        <w:rPr>
          <w:rFonts w:ascii="Times New Roman" w:cs="Times New Roman" w:eastAsia="Times New Roman" w:hAnsi="Times New Roman"/>
          <w:sz w:val="22"/>
          <w:szCs w:val="22"/>
        </w:rPr>
        <w:t xml:space="preserve">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3819525" cy="428625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95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14: </w:t>
      </w:r>
      <w:r>
        <w:rPr>
          <w:rFonts w:ascii="Times New Roman" w:cs="Times New Roman" w:eastAsia="Times New Roman" w:hAnsi="Times New Roman"/>
          <w:sz w:val="18"/>
          <w:szCs w:val="18"/>
        </w:rPr>
        <w:t xml:space="preserve">RO6 workflow for formal security assurance and empirical validation.</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w:t>
      </w:r>
      <w:r>
        <w:rPr>
          <w:rFonts w:ascii="Times New Roman" w:cs="Times New Roman" w:eastAsia="Times New Roman" w:hAnsi="Times New Roman"/>
          <w:sz w:val="22"/>
          <w:szCs w:val="22"/>
        </w:rPr>
        <w:t xml:space="preserve">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w:t>
      </w:r>
      <w:r>
        <w:rPr>
          <w:rFonts w:ascii="Times New Roman" w:cs="Times New Roman" w:eastAsia="Times New Roman" w:hAnsi="Times New Roman"/>
          <w:sz w:val="22"/>
          <w:szCs w:val="22"/>
        </w:rPr>
        <w:t xml:space="preserve">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rPr>
        <w:t xml:space="preserve"> Otherwise, the scenario is classified as a validation failure.</w:t>
      </w:r>
      <w:r>
        <w:rPr>
          <w:rFonts w:ascii="Times New Roman" w:cs="Times New Roman" w:eastAsia="Times New Roman" w:hAnsi="Times New Roman"/>
          <w:sz w:val="22"/>
          <w:szCs w:val="22"/>
        </w:rPr>
        <w:t xml:space="preserve"> The framework is considered empirically consistent with the specified authorisation model when the observed decisions satisfy the expected outcomes across the defined validation scenarios and no critical security property is violated.</w:t>
      </w:r>
      <w:r>
        <w:rPr>
          <w:rFonts w:ascii="Times New Roman" w:cs="Times New Roman" w:eastAsia="Times New Roman" w:hAnsi="Times New Roman"/>
          <w:sz w:val="22"/>
          <w:szCs w:val="22"/>
        </w:rPr>
        <w:t xml:space="preserve"> This procedure establishes a distinction between functional correctness and security correctness.</w:t>
      </w:r>
      <w:r>
        <w:rPr>
          <w:rFonts w:ascii="Times New Roman" w:cs="Times New Roman" w:eastAsia="Times New Roman" w:hAnsi="Times New Roman"/>
          <w:sz w:val="22"/>
          <w:szCs w:val="22"/>
        </w:rPr>
        <w:t xml:space="preserve"> The proposed validation therefore does not treat successful execution as sufficient evidence of correctness. Equation (23)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(23)</w:t>
      </w:r>
    </w:p>
    <w:p>
      <w:pPr>
        <w:spacing w:after="110" w:line="264"/>
        <w:jc w:val="both"/>
      </w:pPr>
      <w:r>
        <w:rPr>
          <w:rFonts w:ascii="Times New Roman" w:cs="Times New Roman" w:eastAsia="Times New Roman" w:hAnsi="Times New Roman"/>
          <w:color w:val="00A000"/>
          <w:sz w:val="22"/>
          <w:szCs w:val="22"/>
        </w:rPr>
        <w:t xml:space="preserve">Equivalently, Equation (24), the contrapositive of Equation (23), states that if any mandatory condition is violated, the request must be denied. Equation (23) is therefore examined through the granted requests and Equation (24) through the negative scenarios, while the valid scenarios examine the opposite direction, namely that a request satisfying all conditions is granted.</w:t>
      </w:r>
      <w:r>
        <w:rPr>
          <w:rFonts w:ascii="Times New Roman" w:cs="Times New Roman" w:eastAsia="Times New Roman" w:hAnsi="Times New Roman"/>
          <w:sz w:val="22"/>
          <w:szCs w:val="22"/>
        </w:rPr>
        <w:t xml:space="preserve"> A valid authorisation decision requires the simultaneous satisfaction of all relevant trust conditions.</w:t>
      </w:r>
      <w:r>
        <w:rPr>
          <w:rFonts w:ascii="Times New Roman" w:cs="Times New Roman" w:eastAsia="Times New Roman" w:hAnsi="Times New Roman"/>
          <w:sz w:val="22"/>
          <w:szCs w:val="22"/>
        </w:rPr>
        <w:t xml:space="preserve"> Each predicate of Section 10 has a dedicated failure test, because successful operation under valid conditions alone cannot demonstrate that unauthorised access is reliably prevented.</w:t>
      </w:r>
      <w:r>
        <w:rPr>
          <w:rFonts w:ascii="Times New Roman" w:cs="Times New Roman" w:eastAsia="Times New Roman" w:hAnsi="Times New Roman"/>
          <w:sz w:val="22"/>
          <w:szCs w:val="22"/>
        </w:rPr>
        <w:t xml:space="preserve">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 DENY.</w:t>
      </w:r>
      <w:r>
        <w:rPr>
          <w:rFonts w:ascii="Times New Roman" w:cs="Times New Roman" w:eastAsia="Times New Roman" w:hAnsi="Times New Roman"/>
          <w:sz w:val="22"/>
          <w:szCs w:val="22"/>
        </w:rPr>
        <w:t xml:space="preserve">	(24)</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w:t>
      </w:r>
      <w:r>
        <w:rPr>
          <w:rFonts w:ascii="Times New Roman" w:cs="Times New Roman" w:eastAsia="Times New Roman" w:hAnsi="Times New Roman"/>
          <w:sz w:val="22"/>
          <w:szCs w:val="22"/>
        </w:rPr>
        <w:t xml:space="preserve"> Its 23 functional and regression tests examine whether access is denied when identity verification fails, when the required authorisation threshold is not satisfied, or when the requested purpose or data scope violates the consent policy.</w:t>
      </w:r>
      <w:r>
        <w:rPr>
          <w:rFonts w:ascii="Times New Roman" w:cs="Times New Roman" w:eastAsia="Times New Roman" w:hAnsi="Times New Roman"/>
          <w:color w:val="00A000"/>
          <w:sz w:val="22"/>
          <w:szCs w:val="22"/>
        </w:rPr>
        <w:t xml:space="preserve"> They also cover invalid EIP-712 guardian signatures and tampered or expired zero-knowledge proofs, whereas the 13 adversarial tests cover a baseline and twelve attack scenarios.</w:t>
      </w:r>
    </w:p>
    <w:p>
      <w:pPr>
        <w:pStyle w:val="Heading2"/>
        <w:keepNext/>
        <w:spacing w:after="120" w:before="240"/>
      </w:pPr>
      <w:r>
        <w:rPr>
          <w:rFonts w:ascii="Times New Roman" w:cs="Times New Roman" w:eastAsia="Times New Roman" w:hAnsi="Times New Roman"/>
          <w:b/>
          <w:bCs/>
          <w:sz w:val="26"/>
          <w:szCs w:val="26"/>
        </w:rPr>
        <w:t xml:space="preserve">11.2  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w:t>
      </w:r>
      <w:r>
        <w:rPr>
          <w:rFonts w:ascii="Times New Roman" w:cs="Times New Roman" w:eastAsia="Times New Roman" w:hAnsi="Times New Roman"/>
          <w:color w:val="00A000"/>
          <w:sz w:val="22"/>
          <w:szCs w:val="22"/>
        </w:rPr>
        <w:t xml:space="preserve"> HALAH (History Access Link for Authorised Healthcare) is a role-based consent management platform.</w:t>
      </w:r>
      <w:r>
        <w:rPr>
          <w:rFonts w:ascii="Times New Roman" w:cs="Times New Roman" w:eastAsia="Times New Roman" w:hAnsi="Times New Roman"/>
          <w:sz w:val="22"/>
          <w:szCs w:val="22"/>
        </w:rPr>
        <w:t xml:space="preserve"> The current system includes separate patient, guardian, doctor, and auditor interfaces.</w:t>
      </w:r>
      <w:r>
        <w:rPr>
          <w:rFonts w:ascii="Times New Roman" w:cs="Times New Roman" w:eastAsia="Times New Roman" w:hAnsi="Times New Roman"/>
          <w:sz w:val="22"/>
          <w:szCs w:val="22"/>
        </w:rPr>
        <w:t xml:space="preserve"> It also records consent creation, guardian approval, token minting, state checks, and data-access events.</w:t>
      </w:r>
      <w:r>
        <w:rPr>
          <w:rFonts w:ascii="Times New Roman" w:cs="Times New Roman" w:eastAsia="Times New Roman" w:hAnsi="Times New Roman"/>
          <w:sz w:val="22"/>
          <w:szCs w:val="22"/>
        </w:rPr>
        <w:t xml:space="preserve"> Following successful threshold satisfaction, the system generates activation or token evidence associated with the authorisation decision through ConsentSBTv3, compiled in Remix and deployed via MetaMask.</w:t>
      </w:r>
      <w:r>
        <w:rPr>
          <w:rFonts w:ascii="Times New Roman" w:cs="Times New Roman" w:eastAsia="Times New Roman" w:hAnsi="Times New Roman"/>
          <w:color w:val="00A000"/>
          <w:sz w:val="22"/>
          <w:szCs w:val="22"/>
        </w:rPr>
        <w:t xml:space="preserve"> Each token stores the pseudonymous patient and requester addresses, a hash of the purpose, the validity window, a two-letter jurisdiction code, and a revocation flag.</w:t>
      </w:r>
      <w:r>
        <w:rPr>
          <w:rFonts w:ascii="Times New Roman" w:cs="Times New Roman" w:eastAsia="Times New Roman" w:hAnsi="Times New Roman"/>
          <w:sz w:val="22"/>
          <w:szCs w:val="22"/>
        </w:rPr>
        <w:t xml:space="preserve"> The SBT, a soulbound ERC-721 token whose transfer between accounts is blocked, should be interpreted as an activation or representation mechanism for the consent state rather than as the fundamental source of trust.</w:t>
      </w:r>
      <w:r>
        <w:rPr>
          <w:rFonts w:ascii="Times New Roman" w:cs="Times New Roman" w:eastAsia="Times New Roman" w:hAnsi="Times New Roman"/>
          <w:sz w:val="22"/>
          <w:szCs w:val="22"/>
        </w:rPr>
        <w:t xml:space="preserve"> The blockchain or token layer provides persistence, traceability, and evidence of the resulting state.</w:t>
      </w:r>
      <w:r>
        <w:rPr>
          <w:rFonts w:ascii="Times New Roman" w:cs="Times New Roman" w:eastAsia="Times New Roman" w:hAnsi="Times New Roman"/>
          <w:sz w:val="22"/>
          <w:szCs w:val="22"/>
        </w:rPr>
        <w:t xml:space="preserve"> Blockchain or other tamper-resistant storage mechanisms may be integrated as infrastructure for preserving selected authorisation evidence, and no medical content is written to the chain.</w:t>
      </w:r>
      <w:r>
        <w:rPr>
          <w:rFonts w:ascii="Times New Roman" w:cs="Times New Roman" w:eastAsia="Times New Roman" w:hAnsi="Times New Roman"/>
          <w:color w:val="00A000"/>
          <w:sz w:val="22"/>
          <w:szCs w:val="22"/>
        </w:rPr>
        <w:t xml:space="preserve"> However, the plaintext purpose is passed as a parameter of the mint transaction and is therefore visible in the public transaction input.</w:t>
      </w:r>
      <w:r>
        <w:rPr>
          <w:rFonts w:ascii="Times New Roman" w:cs="Times New Roman" w:eastAsia="Times New Roman" w:hAnsi="Times New Roman"/>
          <w:sz w:val="22"/>
          <w:szCs w:val="22"/>
        </w:rPr>
        <w:t xml:space="preserve"> The current prototype provides a practical environment for evaluating the trust-oriented authorisation model using synthetic healthcare records.</w:t>
      </w:r>
      <w:r>
        <w:rPr>
          <w:rFonts w:ascii="Times New Roman" w:cs="Times New Roman" w:eastAsia="Times New Roman" w:hAnsi="Times New Roman"/>
          <w:sz w:val="22"/>
          <w:szCs w:val="22"/>
        </w:rPr>
        <w:t xml:space="preserve"> 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Synthetic healthcare records derived from the Synthea dataset are used to construct representative consent workflows.</w:t>
      </w:r>
    </w:p>
    <w:p>
      <w:pPr>
        <w:spacing w:after="110" w:line="264"/>
        <w:jc w:val="both"/>
      </w:pPr>
      <w:r>
        <w:rPr>
          <w:rFonts w:ascii="Times New Roman" w:cs="Times New Roman" w:eastAsia="Times New Roman" w:hAnsi="Times New Roman"/>
          <w:color w:val="00A000"/>
          <w:sz w:val="22"/>
          <w:szCs w:val="22"/>
        </w:rPr>
        <w:t xml:space="preserve">The evaluated consent, f050c29a, was carried through the complete lifecycle as token #1, being granted access, refused access, and finally revoked.</w:t>
      </w:r>
      <w:r>
        <w:rPr>
          <w:rFonts w:ascii="Times New Roman" w:cs="Times New Roman" w:eastAsia="Times New Roman" w:hAnsi="Times New Roman"/>
          <w:color w:val="00A000"/>
          <w:sz w:val="22"/>
          <w:szCs w:val="22"/>
        </w:rPr>
        <w:t xml:space="preserve"> The creation, approval, and granted-access screens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w:t>
      </w:r>
      <w:r>
        <w:rPr>
          <w:rFonts w:ascii="Times New Roman" w:cs="Times New Roman" w:eastAsia="Times New Roman" w:hAnsi="Times New Roman"/>
          <w:sz w:val="22"/>
          <w:szCs w:val="22"/>
        </w:rPr>
        <w:t xml:space="preserve"> The implementation also collects the start and expiry time of the consent and the jurisdiction.</w:t>
      </w:r>
      <w:r>
        <w:rPr>
          <w:rFonts w:ascii="Times New Roman" w:cs="Times New Roman" w:eastAsia="Times New Roman" w:hAnsi="Times New Roman"/>
          <w:color w:val="00A000"/>
          <w:sz w:val="22"/>
          <w:szCs w:val="22"/>
        </w:rPr>
        <w:t xml:space="preserve"> As shown in Figure 15, all four EMR modules were selected, two guardians were designated, and the jurisdiction was AU.</w:t>
      </w:r>
      <w:r>
        <w:rPr>
          <w:rFonts w:ascii="Times New Roman" w:cs="Times New Roman" w:eastAsia="Times New Roman" w:hAnsi="Times New Roman"/>
          <w:sz w:val="22"/>
          <w:szCs w:val="22"/>
        </w:rPr>
        <w:t xml:space="preserve"> The specification is accepted only when the required fields are valid.</w:t>
      </w:r>
      <w:r>
        <w:rPr>
          <w:rFonts w:ascii="Times New Roman" w:cs="Times New Roman" w:eastAsia="Times New Roman" w:hAnsi="Times New Roman"/>
          <w:sz w:val="22"/>
          <w:szCs w:val="22"/>
        </w:rPr>
        <w:t xml:space="preserve"> For example, the expiry time must be later than the start time.</w:t>
      </w:r>
      <w:r>
        <w:rPr>
          <w:rFonts w:ascii="Times New Roman" w:cs="Times New Roman" w:eastAsia="Times New Roman" w:hAnsi="Times New Roman"/>
          <w:color w:val="00A000"/>
          <w:sz w:val="22"/>
          <w:szCs w:val="22"/>
        </w:rPr>
        <w:t xml:space="preserve"> A consent with an empty data scope is rejected, and every guardian entry must be a well-formed DID.</w:t>
      </w:r>
      <w:r>
        <w:rPr>
          <w:rFonts w:ascii="Times New Roman" w:cs="Times New Roman" w:eastAsia="Times New Roman" w:hAnsi="Times New Roman"/>
          <w:sz w:val="22"/>
          <w:szCs w:val="22"/>
        </w:rPr>
        <w:t xml:space="preserve"> The validated information is combined to construct the consent object C = (I, A, P, T, L, E) of Section 6.</w:t>
      </w:r>
      <w:r>
        <w:rPr>
          <w:rFonts w:ascii="Times New Roman" w:cs="Times New Roman" w:eastAsia="Times New Roman" w:hAnsi="Times New Roman"/>
          <w:sz w:val="22"/>
          <w:szCs w:val="22"/>
        </w:rPr>
        <w:t xml:space="preserve"> After validation, the system creates the consent object, assigns a consent identifier, persists the record, and records the creation event in the audit layer.</w:t>
      </w:r>
      <w:r>
        <w:rPr>
          <w:rFonts w:ascii="Times New Roman" w:cs="Times New Roman" w:eastAsia="Times New Roman" w:hAnsi="Times New Roman"/>
          <w:sz w:val="22"/>
          <w:szCs w:val="22"/>
        </w:rPr>
        <w:t xml:space="preserve"> The system therefore maintains the consent in a PENDING state rather than activating access, as PENDING_SIGNATURE, held only in the application ledger.</w:t>
      </w:r>
      <w:r>
        <w:rPr>
          <w:rFonts w:ascii="Times New Roman" w:cs="Times New Roman" w:eastAsia="Times New Roman" w:hAnsi="Times New Roman"/>
          <w:sz w:val="22"/>
          <w:szCs w:val="22"/>
        </w:rPr>
        <w:t xml:space="preserve"> This process ensures that the consent object contains sufficient information for subsequent identity verification, multi-party authorisation, policy evaluation, and auditability.</w:t>
      </w:r>
      <w:r>
        <w:rPr>
          <w:rFonts w:ascii="Times New Roman" w:cs="Times New Roman" w:eastAsia="Times New Roman" w:hAnsi="Times New Roman"/>
          <w:sz w:val="22"/>
          <w:szCs w:val="22"/>
        </w:rPr>
        <w:t xml:space="preserve"> Consequently, the resulting consent object serves not merely as a record of patient preference, but as a structured authorisation artefact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15: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w:t>
      </w:r>
      <w:r>
        <w:rPr>
          <w:rFonts w:ascii="Times New Roman" w:cs="Times New Roman" w:eastAsia="Times New Roman" w:hAnsi="Times New Roman"/>
          <w:sz w:val="22"/>
          <w:szCs w:val="22"/>
        </w:rPr>
        <w:t xml:space="preserve"> Each participant must submit an approval that can be independently verified.</w:t>
      </w:r>
      <w:r>
        <w:rPr>
          <w:rFonts w:ascii="Times New Roman" w:cs="Times New Roman" w:eastAsia="Times New Roman" w:hAnsi="Times New Roman"/>
          <w:color w:val="00A000"/>
          <w:sz w:val="22"/>
          <w:szCs w:val="22"/>
        </w:rPr>
        <w:t xml:space="preserve"> Each guardian approves the consent with an EIP-712 typed-data signature that binds the approval to this consent, to this guardian, and to the Sepolia network (chainId 11155111).</w:t>
      </w:r>
      <w:r>
        <w:rPr>
          <w:rFonts w:ascii="Times New Roman" w:cs="Times New Roman" w:eastAsia="Times New Roman" w:hAnsi="Times New Roman"/>
          <w:color w:val="00A000"/>
          <w:sz w:val="22"/>
          <w:szCs w:val="22"/>
        </w:rPr>
        <w:t xml:space="preserve"> The system recovers the signer address and compares it with the address associated with the guardian DID, so a signature produced for another consent, another guardian, or another chain is rejected.</w:t>
      </w:r>
      <w:r>
        <w:rPr>
          <w:rFonts w:ascii="Times New Roman" w:cs="Times New Roman" w:eastAsia="Times New Roman" w:hAnsi="Times New Roman"/>
          <w:sz w:val="22"/>
          <w:szCs w:val="22"/>
        </w:rPr>
        <w:t xml:space="preserve"> If the participant has already submitted a valid approval, the system rejects the additional approval.</w:t>
      </w:r>
      <w:r>
        <w:rPr>
          <w:rFonts w:ascii="Times New Roman" w:cs="Times New Roman" w:eastAsia="Times New Roman" w:hAnsi="Times New Roman"/>
          <w:sz w:val="22"/>
          <w:szCs w:val="22"/>
        </w:rPr>
        <w:t xml:space="preserve"> Invalid approvals are rejected and must not contribute to the threshold count.</w:t>
      </w:r>
      <w:r>
        <w:rPr>
          <w:rFonts w:ascii="Times New Roman" w:cs="Times New Roman" w:eastAsia="Times New Roman" w:hAnsi="Times New Roman"/>
          <w:sz w:val="22"/>
          <w:szCs w:val="22"/>
        </w:rPr>
        <w:t xml:space="preserve"> Valid approvals are recorded and the current approval count is updated.</w:t>
      </w:r>
      <w:r>
        <w:rPr>
          <w:rFonts w:ascii="Times New Roman" w:cs="Times New Roman" w:eastAsia="Times New Roman" w:hAnsi="Times New Roman"/>
          <w:sz w:val="22"/>
          <w:szCs w:val="22"/>
        </w:rPr>
        <w:t xml:space="preserve"> In the implemented configuration, N = |G|, so all eligible participants must independently approve the consent before the authorisation becomes active.</w:t>
      </w:r>
      <w:r>
        <w:rPr>
          <w:rFonts w:ascii="Times New Roman" w:cs="Times New Roman" w:eastAsia="Times New Roman" w:hAnsi="Times New Roman"/>
          <w:sz w:val="22"/>
          <w:szCs w:val="22"/>
        </w:rPr>
        <w:t xml:space="preserve"> In this case, one valid approval is insufficient, whereas two valid approvals satisfy the threshold condition of Section 8.</w:t>
      </w:r>
      <w:r>
        <w:rPr>
          <w:rFonts w:ascii="Times New Roman" w:cs="Times New Roman" w:eastAsia="Times New Roman" w:hAnsi="Times New Roman"/>
          <w:sz w:val="22"/>
          <w:szCs w:val="22"/>
        </w:rPr>
        <w:t xml:space="preserve"> This mechanism allows the framework to distinguish between insufficient and sufficient collective authorisation.</w:t>
      </w:r>
      <w:r>
        <w:rPr>
          <w:rFonts w:ascii="Times New Roman" w:cs="Times New Roman" w:eastAsia="Times New Roman" w:hAnsi="Times New Roman"/>
          <w:sz w:val="22"/>
          <w:szCs w:val="22"/>
        </w:rPr>
        <w:t xml:space="preserve"> The prototype demonstrates that a consent object remains unable to establish valid authorisation until the required number of independently verified participants has approved it.</w:t>
      </w:r>
      <w:r>
        <w:rPr>
          <w:rFonts w:ascii="Times New Roman" w:cs="Times New Roman" w:eastAsia="Times New Roman" w:hAnsi="Times New Roman"/>
          <w:sz w:val="22"/>
          <w:szCs w:val="22"/>
        </w:rPr>
        <w:t xml:space="preserve"> When the threshold is reached, the implementation assigns an SBT identifier and records the corresponding minting event, and the anchoring starts in the background, as shown in Figure 16.</w:t>
      </w:r>
      <w:r>
        <w:rPr>
          <w:rFonts w:ascii="Times New Roman" w:cs="Times New Roman" w:eastAsia="Times New Roman" w:hAnsi="Times New Roman"/>
          <w:sz w:val="22"/>
          <w:szCs w:val="22"/>
        </w:rPr>
        <w:t xml:space="preserve"> The public anchoring of the evaluated consent in block 11,771,243 provides an immutable or otherwise tamper-evident record of the transition from a pending consent state to an active authorisation state.</w:t>
      </w:r>
      <w:r>
        <w:rPr>
          <w:rFonts w:ascii="Times New Roman" w:cs="Times New Roman" w:eastAsia="Times New Roman" w:hAnsi="Times New Roman"/>
          <w:sz w:val="22"/>
          <w:szCs w:val="22"/>
        </w:rPr>
        <w:t xml:space="preserv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16: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w:t>
      </w:r>
      <w:r>
        <w:rPr>
          <w:rFonts w:ascii="Times New Roman" w:cs="Times New Roman" w:eastAsia="Times New Roman" w:hAnsi="Times New Roman"/>
          <w:sz w:val="22"/>
          <w:szCs w:val="22"/>
        </w:rPr>
        <w:t xml:space="preserve"> As shown in Figure 17, the decision matrix enables validation results to be traced from the final decision back to the individual authorisation conditions that produced that decision.</w:t>
      </w:r>
      <w:r>
        <w:rPr>
          <w:rFonts w:ascii="Times New Roman" w:cs="Times New Roman" w:eastAsia="Times New Roman" w:hAnsi="Times New Roman"/>
          <w:color w:val="00A000"/>
          <w:sz w:val="22"/>
          <w:szCs w:val="22"/>
        </w:rPr>
        <w:t xml:space="preserve"> A request is permitted only when the consent purpose is a supported healthcare use and the requested data scope is non-empty and contained within the authorised scope.</w:t>
      </w:r>
      <w:r>
        <w:rPr>
          <w:rFonts w:ascii="Times New Roman" w:cs="Times New Roman" w:eastAsia="Times New Roman" w:hAnsi="Times New Roman"/>
          <w:sz w:val="22"/>
          <w:szCs w:val="22"/>
        </w:rPr>
        <w:t xml:space="preserve"> Consequently, a valid identity and sufficient multi-party approval are necessary but not sufficient conditions for access.</w:t>
      </w:r>
      <w:r>
        <w:rPr>
          <w:rFonts w:ascii="Times New Roman" w:cs="Times New Roman" w:eastAsia="Times New Roman" w:hAnsi="Times New Roman"/>
          <w:sz w:val="22"/>
          <w:szCs w:val="22"/>
        </w:rPr>
        <w:t xml:space="preserve"> Here, the system generates or verifies the evidence supporting the access decision as a Groth16 zero-knowledge proof.</w:t>
      </w:r>
      <w:r>
        <w:rPr>
          <w:rFonts w:ascii="Times New Roman" w:cs="Times New Roman" w:eastAsia="Times New Roman" w:hAnsi="Times New Roman"/>
          <w:color w:val="00A000"/>
          <w:sz w:val="22"/>
          <w:szCs w:val="22"/>
        </w:rPr>
        <w:t xml:space="preserve"> Because the prover and the verifier run on the same server, the proof demonstrates the integration of the zero-knowledge toolchain rather than an additional privacy guarantee.</w:t>
      </w:r>
      <w:r>
        <w:rPr>
          <w:rFonts w:ascii="Times New Roman" w:cs="Times New Roman" w:eastAsia="Times New Roman" w:hAnsi="Times New Roman"/>
          <w:sz w:val="22"/>
          <w:szCs w:val="22"/>
        </w:rPr>
        <w:t xml:space="preserve"> As shown in Figure 18, once the request has been successfully authorised, the system retrieves only the healthcare data satisfying the authorised scope and displays them per EMR module.</w:t>
      </w:r>
      <w:r>
        <w:rPr>
          <w:rFonts w:ascii="Times New Roman" w:cs="Times New Roman" w:eastAsia="Times New Roman" w:hAnsi="Times New Roman"/>
          <w:sz w:val="22"/>
          <w:szCs w:val="22"/>
        </w:rPr>
        <w:t xml:space="preserve"> This rule prevents a legitimate participant from obtaining data outside the patient’s authorised scope.</w:t>
      </w:r>
    </w:p>
    <w:p>
      <w:pPr>
        <w:keepNext/>
        <w:spacing w:after="60" w:before="160"/>
        <w:jc w:val="center"/>
      </w:pPr>
      <w:r>
        <w:drawing>
          <wp:inline distT="0" distB="0" distL="0" distR="0">
            <wp:extent cx="4476750" cy="3457575"/>
            <wp:effectExtent t="0" r="0" b="0" l="0"/>
            <wp:docPr id="1" name="F27.png" descr="Doctor subsystem with requester jurisdiction AU: all five checks pass" title="Doctor subsystem with requester jurisdiction AU: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4575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17: </w:t>
      </w:r>
      <w:r>
        <w:rPr>
          <w:rFonts w:ascii="Times New Roman" w:cs="Times New Roman" w:eastAsia="Times New Roman" w:hAnsi="Times New Roman"/>
          <w:sz w:val="18"/>
          <w:szCs w:val="18"/>
        </w:rPr>
        <w:t xml:space="preserve">Doctor subsystem with requester jurisdiction AU: all five checks pass.</w:t>
      </w:r>
    </w:p>
    <w:p>
      <w:pPr>
        <w:keepNext/>
        <w:spacing w:after="60" w:before="160"/>
        <w:jc w:val="center"/>
      </w:pPr>
      <w:r>
        <w:drawing>
          <wp:inline distT="0" distB="0" distL="0" distR="0">
            <wp:extent cx="3352800" cy="3810000"/>
            <wp:effectExtent t="0" r="0" b="0" l="0"/>
            <wp:docPr id="1" name="F29.png" descr="Doctor subsystem after verification: access granted and records displayed per EMR module" title="Doctor subsystem after verification: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52800" cy="3810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18: </w:t>
      </w:r>
      <w:r>
        <w:rPr>
          <w:rFonts w:ascii="Times New Roman" w:cs="Times New Roman" w:eastAsia="Times New Roman" w:hAnsi="Times New Roman"/>
          <w:sz w:val="18"/>
          <w:szCs w:val="18"/>
        </w:rPr>
        <w:t xml:space="preserve">Doctor subsystem after verification: access granted and records displayed per EMR module.</w:t>
      </w:r>
    </w:p>
    <w:p>
      <w:pPr>
        <w:spacing w:after="110" w:line="264"/>
        <w:jc w:val="both"/>
      </w:pPr>
      <w:r>
        <w:rPr>
          <w:rFonts w:ascii="Times New Roman" w:cs="Times New Roman" w:eastAsia="Times New Roman" w:hAnsi="Times New Roman"/>
          <w:b/>
          <w:bCs/>
          <w:sz w:val="22"/>
          <w:szCs w:val="22"/>
        </w:rPr>
        <w:t xml:space="preserve">Scenario 4: jurisdiction violation (validates RQ4).</w:t>
      </w:r>
      <w:r>
        <w:rPr>
          <w:rFonts w:ascii="Times New Roman" w:cs="Times New Roman" w:eastAsia="Times New Roman" w:hAnsi="Times New Roman"/>
          <w:sz w:val="22"/>
          <w:szCs w:val="22"/>
        </w:rPr>
        <w:t xml:space="preserve"> A valid identity and sufficient approval do not necessarily imply that every requested operation is permitted.</w:t>
      </w:r>
      <w:r>
        <w:rPr>
          <w:rFonts w:ascii="Times New Roman" w:cs="Times New Roman" w:eastAsia="Times New Roman" w:hAnsi="Times New Roman"/>
          <w:color w:val="00A000"/>
          <w:sz w:val="22"/>
          <w:szCs w:val="22"/>
        </w:rPr>
        <w:t xml:space="preserve"> The same doctor repeated the request for the evaluated consent, which remained ACTIVE, while declaring the requester jurisdiction as SA, whereas the consent was issued for AU, and all checks except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passed.</w:t>
      </w:r>
      <w:r>
        <w:rPr>
          <w:rFonts w:ascii="Times New Roman" w:cs="Times New Roman" w:eastAsia="Times New Roman" w:hAnsi="Times New Roman"/>
          <w:sz w:val="22"/>
          <w:szCs w:val="22"/>
        </w:rPr>
        <w:t xml:space="preserve"> Here,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 and ALLOW = FAIL reflect a conjunctive trust model in which the failure of any required condition prevents the final authorisation decision.</w:t>
      </w:r>
      <w:r>
        <w:rPr>
          <w:rFonts w:ascii="Times New Roman" w:cs="Times New Roman" w:eastAsia="Times New Roman" w:hAnsi="Times New Roman"/>
          <w:sz w:val="22"/>
          <w:szCs w:val="22"/>
        </w:rPr>
        <w:t xml:space="preserve"> If any required condition is violated, the framework should produce a denial decision and preserve sufficient evidence to explain the reason for that decision, as the refusal in Figure 19 shows.</w:t>
      </w:r>
      <w:r>
        <w:rPr>
          <w:rFonts w:ascii="Times New Roman" w:cs="Times New Roman" w:eastAsia="Times New Roman" w:hAnsi="Times New Roman"/>
          <w:sz w:val="22"/>
          <w:szCs w:val="22"/>
        </w:rPr>
        <w:t xml:space="preserve"> Therefore, a consent object does not automatically imply that every subsequent request is authorised.</w:t>
      </w:r>
      <w:r>
        <w:rPr>
          <w:rFonts w:ascii="Times New Roman" w:cs="Times New Roman" w:eastAsia="Times New Roman" w:hAnsi="Times New Roman"/>
          <w:sz w:val="22"/>
          <w:szCs w:val="22"/>
        </w:rPr>
        <w:t xml:space="preserve">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V~L~ as the failed check" title="Refused request naming V~L~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19: </w:t>
      </w:r>
      <w:r>
        <w:rPr>
          <w:rFonts w:ascii="Times New Roman" w:cs="Times New Roman" w:eastAsia="Times New Roman" w:hAnsi="Times New Roman"/>
          <w:sz w:val="18"/>
          <w:szCs w:val="18"/>
        </w:rPr>
        <w:t xml:space="preserve">Refused request naming V</w:t>
      </w:r>
      <w:r>
        <w:rPr>
          <w:rFonts w:ascii="Times New Roman" w:cs="Times New Roman" w:eastAsia="Times New Roman" w:hAnsi="Times New Roman"/>
          <w:sz w:val="18"/>
          <w:szCs w:val="18"/>
          <w:vertAlign w:val="subscript"/>
        </w:rPr>
        <w:t xml:space="preserve">L</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w:t>
      </w:r>
      <w:r>
        <w:rPr>
          <w:rFonts w:ascii="Times New Roman" w:cs="Times New Roman" w:eastAsia="Times New Roman" w:hAnsi="Times New Roman"/>
          <w:color w:val="00A000"/>
          <w:sz w:val="22"/>
          <w:szCs w:val="22"/>
        </w:rPr>
        <w:t xml:space="preserve"> The patient revokes the evaluated consent, the system submits a revoke transaction to the contract, and the consent is displayed as REVOKED with its token number.</w:t>
      </w:r>
      <w:r>
        <w:rPr>
          <w:rFonts w:ascii="Times New Roman" w:cs="Times New Roman" w:eastAsia="Times New Roman" w:hAnsi="Times New Roman"/>
          <w:sz w:val="22"/>
          <w:szCs w:val="22"/>
        </w:rPr>
        <w:t xml:space="preserve"> A subsequent request by the doctor fails at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because the system verifies that the consent has not been revoked or otherwise transitioned into an inactive state.</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w:t>
      </w:r>
      <w:r>
        <w:rPr>
          <w:rFonts w:ascii="Times New Roman" w:cs="Times New Roman" w:eastAsia="Times New Roman" w:hAnsi="Times New Roman"/>
          <w:sz w:val="22"/>
          <w:szCs w:val="22"/>
        </w:rPr>
        <w:t xml:space="preserve"> The revocation control allows the framework to distinguish between a consent that was previously valid and a consent that remains valid at the time of a particular access request, and Figure 20 shows the publicly verifiable revocation transaction in block 11,771,307.</w:t>
      </w:r>
      <w:r>
        <w:rPr>
          <w:rFonts w:ascii="Times New Roman" w:cs="Times New Roman" w:eastAsia="Times New Roman" w:hAnsi="Times New Roman"/>
          <w:color w:val="00A000"/>
          <w:sz w:val="22"/>
          <w:szCs w:val="22"/>
        </w:rPr>
        <w:t xml:space="preserve">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4476750" cy="2266950"/>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2669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20: </w:t>
      </w:r>
      <w:r>
        <w:rPr>
          <w:rFonts w:ascii="Times New Roman" w:cs="Times New Roman" w:eastAsia="Times New Roman" w:hAnsi="Times New Roman"/>
          <w:sz w:val="18"/>
          <w:szCs w:val="18"/>
        </w:rPr>
        <w:t xml:space="preserve">Revocation transaction on Sepolia Etherscan, block 11,771,307.</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r>
        <w:rPr>
          <w:rFonts w:ascii="Times New Roman" w:cs="Times New Roman" w:eastAsia="Times New Roman" w:hAnsi="Times New Roman"/>
          <w:sz w:val="22"/>
          <w:szCs w:val="22"/>
        </w:rPr>
        <w:t xml:space="preserve"> As shown in Figure 21, the auditor subsystem provides an auditable record that can be used to reconstruct and verify the consent lifecycle.</w:t>
      </w:r>
      <w:r>
        <w:rPr>
          <w:rFonts w:ascii="Times New Roman" w:cs="Times New Roman" w:eastAsia="Times New Roman" w:hAnsi="Times New Roman"/>
          <w:sz w:val="22"/>
          <w:szCs w:val="22"/>
        </w:rPr>
        <w:t xml:space="preserv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w:t>
      </w:r>
      <w:r>
        <w:rPr>
          <w:rFonts w:ascii="Times New Roman" w:cs="Times New Roman" w:eastAsia="Times New Roman" w:hAnsi="Times New Roman"/>
          <w:sz w:val="22"/>
          <w:szCs w:val="22"/>
        </w:rPr>
        <w:t xml:space="preserve"> However, the blockchain itself is not treated as the source of trust.</w:t>
      </w:r>
      <w:r>
        <w:rPr>
          <w:rFonts w:ascii="Times New Roman" w:cs="Times New Roman" w:eastAsia="Times New Roman" w:hAnsi="Times New Roman"/>
          <w:sz w:val="22"/>
          <w:szCs w:val="22"/>
        </w:rPr>
        <w:t xml:space="preserve"> Its role is to strengthen integrity, non-repudiation, and auditability of the evidence generated by the authorisation process.</w:t>
      </w:r>
      <w:r>
        <w:rPr>
          <w:rFonts w:ascii="Times New Roman" w:cs="Times New Roman" w:eastAsia="Times New Roman" w:hAnsi="Times New Roman"/>
          <w:color w:val="00A000"/>
          <w:sz w:val="22"/>
          <w:szCs w:val="22"/>
        </w:rPr>
        <w:t xml:space="preserve"> Because an application ledger could in principle contain fabricated entries, an independent verification tool fetches the receipt of every recorded transaction from Sepolia and compares the on-chain revocation state of each token with the local state, with the result shown in Figure 22.</w:t>
      </w:r>
    </w:p>
    <w:p>
      <w:pPr>
        <w:keepNext/>
        <w:spacing w:after="60" w:before="160"/>
        <w:jc w:val="center"/>
      </w:pPr>
      <w:r>
        <w:drawing>
          <wp:inline distT="0" distB="0" distL="0" distR="0">
            <wp:extent cx="4476750" cy="2400300"/>
            <wp:effectExtent t="0" r="0" b="0" l="0"/>
            <wp:docPr id="1" name="F39.png" descr="Auditor subsystem: aggregate indicators and the audit ledger rows of the evaluated consent" title="Auditor subsystem: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400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Auditor subsystem: aggregate indicators and the audit ledger rows of the evaluated consent.</w:t>
      </w:r>
    </w:p>
    <w:p>
      <w:pPr>
        <w:keepNext/>
        <w:spacing w:after="60" w:before="160"/>
        <w:jc w:val="center"/>
      </w:pPr>
      <w:r>
        <w:drawing>
          <wp:inline distT="0" distB="0" distL="0" distR="0">
            <wp:extent cx="4476750" cy="2581275"/>
            <wp:effectExtent t="0" r="0" b="0" l="0"/>
            <wp:docPr id="1" name="F40.png" descr="Independent verification against Sepolia: RESULT: ALL CHECKS PASSED" title="Independent verification against Sepolia: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5812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Independent verification against Sepolia: RESULT: ALL CHECKS PASSED.</w:t>
      </w:r>
    </w:p>
    <w:p>
      <w:pPr>
        <w:spacing w:after="110" w:line="264"/>
        <w:jc w:val="both"/>
      </w:pPr>
      <w:r>
        <w:rPr>
          <w:rFonts w:ascii="Times New Roman" w:cs="Times New Roman" w:eastAsia="Times New Roman" w:hAnsi="Times New Roman"/>
          <w:sz w:val="22"/>
          <w:szCs w:val="22"/>
        </w:rPr>
        <w:t xml:space="preserve">Table 6 maps the framework components, each corresponding to a distinct responsibility within the trust-oriented authorisation process, to the HALAH subsystems.</w:t>
      </w:r>
      <w:r>
        <w:rPr>
          <w:rFonts w:ascii="Times New Roman" w:cs="Times New Roman" w:eastAsia="Times New Roman" w:hAnsi="Times New Roman"/>
          <w:sz w:val="22"/>
          <w:szCs w:val="22"/>
        </w:rPr>
        <w:t xml:space="preserve"> The mapping shows that the subsystems cooperate through a controlled authorisation sequence rather than through unrestricted direct communication.</w:t>
      </w:r>
      <w:r>
        <w:rPr>
          <w:rFonts w:ascii="Times New Roman" w:cs="Times New Roman" w:eastAsia="Times New Roman" w:hAnsi="Times New Roman"/>
          <w:sz w:val="22"/>
          <w:szCs w:val="22"/>
        </w:rPr>
        <w:t xml:space="preserve"> The subsystems represent different interaction responsibilities but share the same architectural principle: none of them independently determines whether access should be granted.</w:t>
      </w:r>
    </w:p>
    <w:p>
      <w:pPr>
        <w:keepNext/>
        <w:spacing w:after="80" w:before="200"/>
        <w:jc w:val="center"/>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Verifies guardian identities and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Jurisdictional Constraint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Authorisation Evidence / Revocation (E)</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11.3  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w:t>
      </w:r>
      <w:r>
        <w:rPr>
          <w:rFonts w:ascii="Times New Roman" w:cs="Times New Roman" w:eastAsia="Times New Roman" w:hAnsi="Times New Roman"/>
          <w:color w:val="00A000"/>
          <w:sz w:val="22"/>
          <w:szCs w:val="22"/>
        </w:rPr>
        <w:t xml:space="preserve"> The measurements are taken from the exported 60-event audit ledger, the receipts of the five anchored transactions, and repeated runs on 1 October 2026 in the development container used for the demonstration. Table 7 presents the on-chain cost and the submit-to-confirmation latency of the five anchored transactions.</w:t>
      </w:r>
      <w:r>
        <w:rPr>
          <w:rFonts w:ascii="Times New Roman" w:cs="Times New Roman" w:eastAsia="Times New Roman" w:hAnsi="Times New Roman"/>
          <w:color w:val="00A000"/>
          <w:sz w:val="22"/>
          <w:szCs w:val="22"/>
        </w:rPr>
        <w:t xml:space="preserve">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color w:val="00A000"/>
          <w:sz w:val="22"/>
          <w:szCs w:val="22"/>
        </w:rPr>
        <w:t xml:space="preserve">As shown in Figure 23, on the current contract the revocation of token #1 used about one sixth of the gas of its mint, because a mint creates a token and writes a complete consent record, while a revocation changes only a single flag.</w:t>
      </w:r>
      <w:r>
        <w:rPr>
          <w:rFonts w:ascii="Times New Roman" w:cs="Times New Roman" w:eastAsia="Times New Roman" w:hAnsi="Times New Roman"/>
          <w:color w:val="00A000"/>
          <w:sz w:val="22"/>
          <w:szCs w:val="22"/>
        </w:rPr>
        <w:t xml:space="preserve">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23: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8 shows how the validation procedure provides traceability between the final access decision and its supporting evidence.</w:t>
      </w:r>
      <w:r>
        <w:rPr>
          <w:rFonts w:ascii="Times New Roman" w:cs="Times New Roman" w:eastAsia="Times New Roman" w:hAnsi="Times New Roman"/>
          <w:color w:val="00A000"/>
          <w:sz w:val="22"/>
          <w:szCs w:val="22"/>
        </w:rPr>
        <w:t xml:space="preserv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 In each of the six logged evaluations, the recorded audit evidence is consistent with the actual authorisation decision.</w:t>
      </w:r>
      <w:r>
        <w:rPr>
          <w:rFonts w:ascii="Times New Roman" w:cs="Times New Roman" w:eastAsia="Times New Roman" w:hAnsi="Times New Roman"/>
          <w:sz w:val="22"/>
          <w:szCs w:val="22"/>
        </w:rPr>
        <w:t xml:space="preserve"> Consequently, validation does not merely determine whether the final output is ALLOW or DENY</w:t>
      </w:r>
      <w:r>
        <w:rPr>
          <w:rFonts w:ascii="Times New Roman" w:cs="Times New Roman" w:eastAsia="Times New Roman" w:hAnsi="Times New Roman"/>
          <w:sz w:val="22"/>
          <w:szCs w:val="22"/>
          <w:highlight w:val="yellow"/>
        </w:rPr>
        <w:t xml:space="preserve">;</w:t>
      </w:r>
      <w:r>
        <w:rPr>
          <w:rFonts w:ascii="Times New Roman" w:cs="Times New Roman" w:eastAsia="Times New Roman" w:hAnsi="Times New Roman"/>
          <w:sz w:val="22"/>
          <w:szCs w:val="22"/>
        </w:rPr>
        <w:t xml:space="preserve"> it also determines whether the underlying evidence is consistent with the decision.</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w:t>
      </w:r>
      <w:r>
        <w:rPr>
          <w:rFonts w:ascii="Times New Roman" w:cs="Times New Roman" w:eastAsia="Times New Roman" w:hAnsi="Times New Roman"/>
          <w:color w:val="00A000"/>
          <w:sz w:val="22"/>
          <w:szCs w:val="22"/>
        </w:rPr>
        <w:t xml:space="preserve"> The three earlier grants of 22 September 2026 predate the logging of the matrix and of the proof mode.</w:t>
      </w:r>
      <w:r>
        <w:rPr>
          <w:rFonts w:ascii="Times New Roman" w:cs="Times New Roman" w:eastAsia="Times New Roman" w:hAnsi="Times New Roman"/>
          <w:color w:val="00A000"/>
          <w:sz w:val="22"/>
          <w:szCs w:val="22"/>
        </w:rPr>
        <w:t xml:space="preserv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L</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color w:val="00A000"/>
          <w:sz w:val="22"/>
          <w:szCs w:val="22"/>
        </w:rPr>
        <w:t xml:space="preserve">Table 9 summarises the processing time of the decision components, with the decision rule timed over 1,000 evaluations of the five predicates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9: </w:t>
      </w:r>
      <w:r>
        <w:rPr>
          <w:rFonts w:ascii="Times New Roman" w:cs="Times New Roman" w:eastAsia="Times New Roman" w:hAnsi="Times New Roman"/>
          <w:sz w:val="18"/>
          <w:szCs w:val="18"/>
        </w:rPr>
        <w:t xml:space="preserve">Processing time of the decision components, measured in the development container used for the demonstration, with the anchoring confirmation taken from Table 7</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Decision rule, five predicates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color w:val="00A000"/>
          <w:sz w:val="22"/>
          <w:szCs w:val="22"/>
        </w:rPr>
        <w:t xml:space="preserve">As shown in Figure 24, the time taken to evaluate the decision rule is negligible, and signature recovery takes about 11 ms per guardian, whereas the Groth16 proof dominates the interactive path of an access request.</w:t>
      </w:r>
      <w:r>
        <w:rPr>
          <w:rFonts w:ascii="Times New Roman" w:cs="Times New Roman" w:eastAsia="Times New Roman" w:hAnsi="Times New Roman"/>
          <w:color w:val="00A000"/>
          <w:sz w:val="22"/>
          <w:szCs w:val="22"/>
        </w:rPr>
        <w:t xml:space="preserve"> The proof times include process start-up as well as cryptographic work, and at the median the proof takes more than 98 per cent of the roughly 1.9 s of one access request.</w:t>
      </w:r>
      <w:r>
        <w:rPr>
          <w:rFonts w:ascii="Times New Roman" w:cs="Times New Roman" w:eastAsia="Times New Roman" w:hAnsi="Times New Roman"/>
          <w:color w:val="00A000"/>
          <w:sz w:val="22"/>
          <w:szCs w:val="22"/>
        </w:rPr>
        <w:t xml:space="preserve"> Anchoring confirmation is the slowest step, but it runs in the background, so it delays neither the guardians nor the doctor.</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itle="Processing time of the decision components on a logarithmic axis (median and minimum to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24: </w:t>
      </w:r>
      <w:r>
        <w:rPr>
          <w:rFonts w:ascii="Times New Roman" w:cs="Times New Roman" w:eastAsia="Times New Roman" w:hAnsi="Times New Roman"/>
          <w:sz w:val="18"/>
          <w:szCs w:val="18"/>
        </w:rPr>
        <w:t xml:space="preserve">Processing time of the decision components on a logarithmic axis (median and minimum to maximum).</w:t>
      </w:r>
    </w:p>
    <w:p>
      <w:pPr>
        <w:pStyle w:val="Heading2"/>
        <w:keepNext/>
        <w:spacing w:after="120" w:before="240"/>
      </w:pPr>
      <w:r>
        <w:rPr>
          <w:rFonts w:ascii="Times New Roman" w:cs="Times New Roman" w:eastAsia="Times New Roman" w:hAnsi="Times New Roman"/>
          <w:b/>
          <w:bCs/>
          <w:sz w:val="26"/>
          <w:szCs w:val="26"/>
        </w:rPr>
        <w:t xml:space="preserve">11.4  Unit-Level Adversarial Tests</w:t>
      </w:r>
    </w:p>
    <w:p>
      <w:pPr>
        <w:spacing w:after="110" w:line="264"/>
        <w:jc w:val="both"/>
      </w:pPr>
      <w:r>
        <w:rPr>
          <w:rFonts w:ascii="Times New Roman" w:cs="Times New Roman" w:eastAsia="Times New Roman" w:hAnsi="Times New Roman"/>
          <w:sz w:val="22"/>
          <w:szCs w:val="22"/>
        </w:rPr>
        <w:t xml:space="preserve">The adversarial test set is particularly important because a framework should not only demonstrate that legitimate requests succeed, but also demonstrate resilience against foreseeable attempts to bypass its security controls.</w:t>
      </w:r>
      <w:r>
        <w:rPr>
          <w:rFonts w:ascii="Times New Roman" w:cs="Times New Roman" w:eastAsia="Times New Roman" w:hAnsi="Times New Roman"/>
          <w:color w:val="00A000"/>
          <w:sz w:val="22"/>
          <w:szCs w:val="22"/>
        </w:rPr>
        <w:t xml:space="preserve"> The adversarial tests assume honest infrastructure and exercise the decision functions, the proof verifier, the audit digest function, and the contract at unit level, never the running application, its data store, or the Sepolia deployment.</w:t>
      </w:r>
      <w:r>
        <w:rPr>
          <w:rFonts w:ascii="Times New Roman" w:cs="Times New Roman" w:eastAsia="Times New Roman" w:hAnsi="Times New Roman"/>
          <w:color w:val="00A000"/>
          <w:sz w:val="22"/>
          <w:szCs w:val="22"/>
        </w:rPr>
        <w:t xml:space="preserve"> The adversary, whether an outside requester or a participant of the consent, tries to obtain or keep access without satisfying a condition of C, or to alter the anchored consent or the recorded evidence of a decision.</w:t>
      </w:r>
      <w:r>
        <w:rPr>
          <w:rFonts w:ascii="Times New Roman" w:cs="Times New Roman" w:eastAsia="Times New Roman" w:hAnsi="Times New Roman"/>
          <w:color w:val="00A000"/>
          <w:sz w:val="22"/>
          <w:szCs w:val="22"/>
        </w:rPr>
        <w:t xml:space="preserve"> It can supply crafted inputs to the decision functions, alter the bits of a Groth16 proof or its public signals, and send transactions to the contract from an account that is not its owner.</w:t>
      </w:r>
      <w:r>
        <w:rPr>
          <w:rFonts w:ascii="Times New Roman" w:cs="Times New Roman" w:eastAsia="Times New Roman" w:hAnsi="Times New Roman"/>
          <w:color w:val="00A000"/>
          <w:sz w:val="22"/>
          <w:szCs w:val="22"/>
        </w:rPr>
        <w:t xml:space="preserve"> Several capabilities are outside the scope of this evaluation because the prototype does not defend against them, for example, the interface authenticates no role and guardian signing keys derive from the public guardian DIDs.</w:t>
      </w:r>
      <w:r>
        <w:rPr>
          <w:rFonts w:ascii="Times New Roman" w:cs="Times New Roman" w:eastAsia="Times New Roman" w:hAnsi="Times New Roman"/>
          <w:color w:val="00A000"/>
          <w:sz w:val="22"/>
          <w:szCs w:val="22"/>
        </w:rPr>
        <w:t xml:space="preserve">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w:t>
      </w:r>
      <w:r>
        <w:rPr>
          <w:rFonts w:ascii="Times New Roman" w:cs="Times New Roman" w:eastAsia="Times New Roman" w:hAnsi="Times New Roman"/>
          <w:sz w:val="22"/>
          <w:szCs w:val="22"/>
        </w:rPr>
        <w:t xml:space="preserve"> Each scenario is associated with an expected authorisation outcome and the security properties that it is intended to evaluate.</w:t>
      </w:r>
      <w:r>
        <w:rPr>
          <w:rFonts w:ascii="Times New Roman" w:cs="Times New Roman" w:eastAsia="Times New Roman" w:hAnsi="Times New Roman"/>
          <w:color w:val="00A000"/>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10 and Figure 25 record whether each scenario has passed or failed.</w:t>
      </w:r>
      <w:r>
        <w:rPr>
          <w:rFonts w:ascii="Times New Roman" w:cs="Times New Roman" w:eastAsia="Times New Roman" w:hAnsi="Times New Roman"/>
          <w:color w:val="00A000"/>
          <w:sz w:val="22"/>
          <w:szCs w:val="22"/>
        </w:rPr>
        <w:t xml:space="preserve"> Before the hardening, three attacks, A1, A3, and A5, were accepted when the service functions were called directly.</w:t>
      </w:r>
      <w:r>
        <w:rPr>
          <w:rFonts w:ascii="Times New Roman" w:cs="Times New Roman" w:eastAsia="Times New Roman" w:hAnsi="Times New Roman"/>
          <w:sz w:val="22"/>
          <w:szCs w:val="22"/>
        </w:rPr>
        <w:t xml:space="preserve"> This confirms that a system may be conceptually correct but incorrectly implemented, or may pass functional tests while failing under invalid or adversarial conditions.</w:t>
      </w:r>
      <w:r>
        <w:rPr>
          <w:rFonts w:ascii="Times New Roman" w:cs="Times New Roman" w:eastAsia="Times New Roman" w:hAnsi="Times New Roman"/>
          <w:sz w:val="22"/>
          <w:szCs w:val="22"/>
        </w:rPr>
        <w:t xml:space="preserve"> Any failed scenario is analysed to determine the source and significance of the failure.</w:t>
      </w:r>
      <w:r>
        <w:rPr>
          <w:rFonts w:ascii="Times New Roman" w:cs="Times New Roman" w:eastAsia="Times New Roman" w:hAnsi="Times New Roman"/>
          <w:sz w:val="22"/>
          <w:szCs w:val="22"/>
        </w:rPr>
        <w:t xml:space="preserve"> The purpose of this analysis is not to conceal unsuccessful cases but to determine whether observed failures represent violations of the intended security properties or limitations that should be addressed in future work.</w:t>
      </w:r>
      <w:r>
        <w:rPr>
          <w:rFonts w:ascii="Times New Roman" w:cs="Times New Roman" w:eastAsia="Times New Roman" w:hAnsi="Times New Roman"/>
          <w:color w:val="00A000"/>
          <w:sz w:val="22"/>
          <w:szCs w:val="22"/>
        </w:rPr>
        <w:t xml:space="preserve"> None of the three was reachable through the interface as used in the demonstration of 24 September 2026, so they represent a gap in defence in depth rather than a demonstrated breach of the deployed system.</w:t>
      </w:r>
      <w:r>
        <w:rPr>
          <w:rFonts w:ascii="Times New Roman" w:cs="Times New Roman" w:eastAsia="Times New Roman" w:hAnsi="Times New Roman"/>
          <w:sz w:val="22"/>
          <w:szCs w:val="22"/>
        </w:rPr>
        <w:t xml:space="preserve"> Accordingly, in the service layer, invalid, unauthorised, or duplicate approval attempts are rejected and do not contribute to the valid approval count, and an empty request is refused.</w:t>
      </w:r>
      <w:r>
        <w:rPr>
          <w:rFonts w:ascii="Times New Roman" w:cs="Times New Roman" w:eastAsia="Times New Roman" w:hAnsi="Times New Roman"/>
          <w:sz w:val="22"/>
          <w:szCs w:val="22"/>
        </w:rPr>
        <w:t xml:space="preserve"> This ensures that the threshold cannot be artificially satisfied by repeated or illegitimate approval submissions.</w:t>
      </w:r>
      <w:r>
        <w:rPr>
          <w:rFonts w:ascii="Times New Roman" w:cs="Times New Roman" w:eastAsia="Times New Roman" w:hAnsi="Times New Roman"/>
          <w:color w:val="00A000"/>
          <w:sz w:val="22"/>
          <w:szCs w:val="22"/>
        </w:rPr>
        <w:t xml:space="preserve">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10: </w:t>
      </w:r>
      <w:r>
        <w:rPr>
          <w:rFonts w:ascii="Times New Roman" w:cs="Times New Roman" w:eastAsia="Times New Roman" w:hAnsi="Times New Roman"/>
          <w:sz w:val="18"/>
          <w:szCs w:val="18"/>
        </w:rPr>
        <w:t xml:space="preserve">Unit-level adversarial tests A1 to A12, their targeted component and their outcome before the hardening (commit b1468b7)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19</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25: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rPr>
        <w:t xml:space="preserve">The analysis distinguishes between implementation defects, policy-definition errors, integration problems, incomplete security controls, and limitations of the experimental environment.</w:t>
      </w:r>
      <w:r>
        <w:rPr>
          <w:rFonts w:ascii="Times New Roman" w:cs="Times New Roman" w:eastAsia="Times New Roman" w:hAnsi="Times New Roman"/>
          <w:color w:val="00A000"/>
          <w:sz w:val="22"/>
          <w:szCs w:val="22"/>
        </w:rPr>
        <w:t xml:space="preserve"> The evaluation has six limitations.</w:t>
      </w:r>
      <w:r>
        <w:rPr>
          <w:rFonts w:ascii="Times New Roman" w:cs="Times New Roman" w:eastAsia="Times New Roman" w:hAnsi="Times New Roman"/>
          <w:color w:val="00A000"/>
          <w:sz w:val="22"/>
          <w:szCs w:val="22"/>
        </w:rPr>
        <w:t xml:space="preserve"> First, A12 runs the contract source on an in-memory Ethereum virtual machine, so it does not show the behaviour of the deployed bytecode.</w:t>
      </w:r>
      <w:r>
        <w:rPr>
          <w:rFonts w:ascii="Times New Roman" w:cs="Times New Roman" w:eastAsia="Times New Roman" w:hAnsi="Times New Roman"/>
          <w:color w:val="00A000"/>
          <w:sz w:val="22"/>
          <w:szCs w:val="22"/>
        </w:rPr>
        <w:t xml:space="preserve"> Second, the SHA-256 digest of the audit ledger is neither keyed nor chained, so the ledger is not tamper-evident against a party with write access to the store.</w:t>
      </w:r>
      <w:r>
        <w:rPr>
          <w:rFonts w:ascii="Times New Roman" w:cs="Times New Roman" w:eastAsia="Times New Roman" w:hAnsi="Times New Roman"/>
          <w:color w:val="00A000"/>
          <w:sz w:val="22"/>
          <w:szCs w:val="22"/>
        </w:rPr>
        <w:t xml:space="preserve"> Third, the signed guardian message covers only the consent identifier, the guardian, and the network, so a change of scope, purpose, requester, expiry, or jurisdiction after approval is not detected.</w:t>
      </w:r>
      <w:r>
        <w:rPr>
          <w:rFonts w:ascii="Times New Roman" w:cs="Times New Roman" w:eastAsia="Times New Roman" w:hAnsi="Times New Roman"/>
          <w:color w:val="00A000"/>
          <w:sz w:val="22"/>
          <w:szCs w:val="22"/>
        </w:rPr>
        <w:t xml:space="preserve"> Fourth, A6 relies on the server clock, A7 on the jurisdiction declared by the requester, and A8 on the revocation flag of the local store.</w:t>
      </w:r>
      <w:r>
        <w:rPr>
          <w:rFonts w:ascii="Times New Roman" w:cs="Times New Roman" w:eastAsia="Times New Roman" w:hAnsi="Times New Roman"/>
          <w:color w:val="00A000"/>
          <w:sz w:val="22"/>
          <w:szCs w:val="22"/>
        </w:rPr>
        <w:t xml:space="preserve"> Fifth, the Groth16 result holds under a single-party development trusted setup, with the prover and the verifier on the same server.</w:t>
      </w:r>
      <w:r>
        <w:rPr>
          <w:rFonts w:ascii="Times New Roman" w:cs="Times New Roman" w:eastAsia="Times New Roman" w:hAnsi="Times New Roman"/>
          <w:color w:val="00A000"/>
          <w:sz w:val="22"/>
          <w:szCs w:val="22"/>
        </w:rPr>
        <w:t xml:space="preserve">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11.5  Remaining Work for CA3</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will be conducted in CA3 and consist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w:t>
      </w:r>
      <w:r>
        <w:rPr>
          <w:rFonts w:ascii="Times New Roman" w:cs="Times New Roman" w:eastAsia="Times New Roman" w:hAnsi="Times New Roman"/>
          <w:color w:val="00A000"/>
          <w:sz w:val="22"/>
          <w:szCs w:val="22"/>
        </w:rPr>
        <w:t xml:space="preserve"> The soundness property Decision(C, R, t) = ALLOW ⇒ V</w:t>
      </w:r>
      <w:r>
        <w:rPr>
          <w:rFonts w:ascii="Times New Roman" w:cs="Times New Roman" w:eastAsia="Times New Roman" w:hAnsi="Times New Roman"/>
          <w:color w:val="00A000"/>
          <w:sz w:val="22"/>
          <w:szCs w:val="22"/>
          <w:vertAlign w:val="subscript"/>
        </w:rPr>
        <w:t xml:space="preserve">I</w:t>
      </w:r>
      <w:r>
        <w:rPr>
          <w:rFonts w:ascii="Times New Roman" w:cs="Times New Roman" w:eastAsia="Times New Roman" w:hAnsi="Times New Roman"/>
          <w:color w:val="00A000"/>
          <w:sz w:val="22"/>
          <w:szCs w:val="22"/>
        </w:rPr>
        <w:t xml:space="preserve"> ∧ V</w:t>
      </w:r>
      <w:r>
        <w:rPr>
          <w:rFonts w:ascii="Times New Roman" w:cs="Times New Roman" w:eastAsia="Times New Roman" w:hAnsi="Times New Roman"/>
          <w:color w:val="00A000"/>
          <w:sz w:val="22"/>
          <w:szCs w:val="22"/>
          <w:vertAlign w:val="subscript"/>
        </w:rPr>
        <w:t xml:space="preserve">A</w:t>
      </w:r>
      <w:r>
        <w:rPr>
          <w:rFonts w:ascii="Times New Roman" w:cs="Times New Roman" w:eastAsia="Times New Roman" w:hAnsi="Times New Roman"/>
          <w:color w:val="00A000"/>
          <w:sz w:val="22"/>
          <w:szCs w:val="22"/>
        </w:rPr>
        <w:t xml:space="preserve"> ∧ V</w:t>
      </w:r>
      <w:r>
        <w:rPr>
          <w:rFonts w:ascii="Times New Roman" w:cs="Times New Roman" w:eastAsia="Times New Roman" w:hAnsi="Times New Roman"/>
          <w:color w:val="00A000"/>
          <w:sz w:val="22"/>
          <w:szCs w:val="22"/>
          <w:vertAlign w:val="subscript"/>
        </w:rPr>
        <w:t xml:space="preserve">P</w:t>
      </w:r>
      <w:r>
        <w:rPr>
          <w:rFonts w:ascii="Times New Roman" w:cs="Times New Roman" w:eastAsia="Times New Roman" w:hAnsi="Times New Roman"/>
          <w:color w:val="00A000"/>
          <w:sz w:val="22"/>
          <w:szCs w:val="22"/>
        </w:rPr>
        <w:t xml:space="preserve"> ∧ V</w:t>
      </w:r>
      <w:r>
        <w:rPr>
          <w:rFonts w:ascii="Times New Roman" w:cs="Times New Roman" w:eastAsia="Times New Roman" w:hAnsi="Times New Roman"/>
          <w:color w:val="00A000"/>
          <w:sz w:val="22"/>
          <w:szCs w:val="22"/>
          <w:vertAlign w:val="subscript"/>
        </w:rPr>
        <w:t xml:space="preserve">T</w:t>
      </w:r>
      <w:r>
        <w:rPr>
          <w:rFonts w:ascii="Times New Roman" w:cs="Times New Roman" w:eastAsia="Times New Roman" w:hAnsi="Times New Roman"/>
          <w:color w:val="00A000"/>
          <w:sz w:val="22"/>
          <w:szCs w:val="22"/>
        </w:rPr>
        <w:t xml:space="preserve"> ∧ V</w:t>
      </w:r>
      <w:r>
        <w:rPr>
          <w:rFonts w:ascii="Times New Roman" w:cs="Times New Roman" w:eastAsia="Times New Roman" w:hAnsi="Times New Roman"/>
          <w:color w:val="00A000"/>
          <w:sz w:val="22"/>
          <w:szCs w:val="22"/>
          <w:vertAlign w:val="subscript"/>
        </w:rPr>
        <w:t xml:space="preserve">L</w:t>
      </w:r>
      <w:r>
        <w:rPr>
          <w:rFonts w:ascii="Times New Roman" w:cs="Times New Roman" w:eastAsia="Times New Roman" w:hAnsi="Times New Roman"/>
          <w:color w:val="00A000"/>
          <w:sz w:val="22"/>
          <w:szCs w:val="22"/>
        </w:rPr>
        <w:t xml:space="preserve"> and the lifecycle invariant of Section 10 will be verified by model checking of the state machine or by proof over the predicate definitions.</w:t>
      </w:r>
      <w:r>
        <w:rPr>
          <w:rFonts w:ascii="Times New Roman" w:cs="Times New Roman" w:eastAsia="Times New Roman" w:hAnsi="Times New Roman"/>
          <w:sz w:val="22"/>
          <w:szCs w:val="22"/>
        </w:rPr>
        <w:t xml:space="preserve">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color w:val="00A000"/>
          <w:sz w:val="22"/>
          <w:szCs w:val="22"/>
        </w:rPr>
        <w:t xml:space="preserve">Full performance and scalability study.</w:t>
      </w:r>
      <w:r>
        <w:rPr>
          <w:rFonts w:ascii="Times New Roman" w:cs="Times New Roman" w:eastAsia="Times New Roman" w:hAnsi="Times New Roman"/>
          <w:color w:val="00A000"/>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CA3 will extend the current prototype-based evaluation to include both successful and adversarial access requests.</w:t>
      </w:r>
      <w:r>
        <w:rPr>
          <w:rFonts w:ascii="Times New Roman" w:cs="Times New Roman" w:eastAsia="Times New Roman" w:hAnsi="Times New Roman"/>
          <w:color w:val="00A000"/>
          <w:sz w:val="22"/>
          <w:szCs w:val="22"/>
        </w:rPr>
        <w:t xml:space="preserve"> The twelve attack scenarios will be extended to larger sets of positive, negative, and adversarial scenarios, and enforcement accuracy will be reported over this extended set.</w:t>
      </w:r>
      <w:r>
        <w:rPr>
          <w:rFonts w:ascii="Times New Roman" w:cs="Times New Roman" w:eastAsia="Times New Roman" w:hAnsi="Times New Roman"/>
          <w:sz w:val="22"/>
          <w:szCs w:val="22"/>
        </w:rPr>
        <w:t xml:space="preserve"> Particular attention will be given to the relationship between the formal security model and the observed behaviour of the implemented system.</w:t>
      </w:r>
    </w:p>
    <w:p>
      <w:pPr>
        <w:spacing w:after="110" w:line="264"/>
        <w:jc w:val="both"/>
      </w:pPr>
      <w:r>
        <w:rPr>
          <w:rFonts w:ascii="Times New Roman" w:cs="Times New Roman" w:eastAsia="Times New Roman" w:hAnsi="Times New Roman"/>
          <w:color w:val="00A000"/>
          <w:sz w:val="22"/>
          <w:szCs w:val="22"/>
        </w:rPr>
        <w:t xml:space="preserve">CA3 will address the prototype limitations that the evaluation has exposed, which include the N-of-N approval rule, the server-derived guardian keys, the unauthenticated requester role, the absence of cryptographic DID resolution and VC validation, the missing lifecycle transition check, and the unkeyed and unchained audit digest.</w:t>
      </w:r>
      <w:r>
        <w:rPr>
          <w:rFonts w:ascii="Times New Roman" w:cs="Times New Roman" w:eastAsia="Times New Roman" w:hAnsi="Times New Roman"/>
          <w:sz w:val="22"/>
          <w:szCs w:val="22"/>
        </w:rPr>
        <w:t xml:space="preserve">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11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11: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The publication strategy is aligned with the progression of the research.</w:t>
      </w:r>
      <w:r>
        <w:rPr>
          <w:rFonts w:ascii="Times New Roman" w:cs="Times New Roman" w:eastAsia="Times New Roman" w:hAnsi="Times New Roman"/>
          <w:sz w:val="22"/>
          <w:szCs w:val="22"/>
        </w:rPr>
        <w:t xml:space="preserve"> The current stage work establishes the conceptual and technical foundation, while the next stage work will strengthen the framework through formal analysis and comprehensive empirical validation.</w:t>
      </w:r>
      <w:r>
        <w:rPr>
          <w:rFonts w:ascii="Times New Roman" w:cs="Times New Roman" w:eastAsia="Times New Roman" w:hAnsi="Times New Roman"/>
          <w:color w:val="00A000"/>
          <w:sz w:val="22"/>
          <w:szCs w:val="22"/>
        </w:rPr>
        <w:t xml:space="preserve"> The second publication extends Section 2 into a stand-alone review, and the third publication completes the work that Sections 10 and 11 identify as remaining for CA3.</w:t>
      </w:r>
      <w:r>
        <w:rPr>
          <w:rFonts w:ascii="Times New Roman" w:cs="Times New Roman" w:eastAsia="Times New Roman" w:hAnsi="Times New Roman"/>
          <w:sz w:val="22"/>
          <w:szCs w:val="22"/>
        </w:rPr>
        <w:t xml:space="preserve"> RO5 and RO6 constitute the principal research agenda for CA3.</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12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12: </w:t>
      </w:r>
      <w:r>
        <w:rPr>
          <w:rFonts w:ascii="Times New Roman" w:cs="Times New Roman" w:eastAsia="Times New Roman" w:hAnsi="Times New Roman"/>
          <w:sz w:val="18"/>
          <w:szCs w:val="18"/>
        </w:rPr>
        <w:t xml:space="preserve">Research plan: previous and coming tasks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Jul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CA3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26, the current stage focuses on establishing the foundational trust-oriented authorisation framework.</w:t>
      </w:r>
      <w:r>
        <w:rPr>
          <w:rFonts w:ascii="Times New Roman" w:cs="Times New Roman" w:eastAsia="Times New Roman" w:hAnsi="Times New Roman"/>
          <w:sz w:val="22"/>
          <w:szCs w:val="22"/>
        </w:rPr>
        <w:t xml:space="preserve"> The main activities are the development of the trust-centric consent model, decentralised identity and authority verification, multi-party authorisation, and policy-aware access control.</w:t>
      </w:r>
      <w:r>
        <w:rPr>
          <w:rFonts w:ascii="Times New Roman" w:cs="Times New Roman" w:eastAsia="Times New Roman" w:hAnsi="Times New Roman"/>
          <w:sz w:val="22"/>
          <w:szCs w:val="22"/>
        </w:rPr>
        <w:t xml:space="preserve"> The progression is RO1, RO2, RO3 and then RO4, which have been implemented and initially validated through the HALAH prototype.</w:t>
      </w:r>
      <w:r>
        <w:rPr>
          <w:rFonts w:ascii="Times New Roman" w:cs="Times New Roman" w:eastAsia="Times New Roman" w:hAnsi="Times New Roman"/>
          <w:sz w:val="22"/>
          <w:szCs w:val="22"/>
        </w:rPr>
        <w:t xml:space="preserve"> The next stage, which concentrates on RO5 and RO6, will build upon the foundational trust-oriented authorisation framework established during current stage and extend the research towards dynamic consent governance, formal security assurance, and comprehensive empirical validation.</w:t>
      </w:r>
      <w:r>
        <w:rPr>
          <w:rFonts w:ascii="Times New Roman" w:cs="Times New Roman" w:eastAsia="Times New Roman" w:hAnsi="Times New Roman"/>
          <w:color w:val="00A000"/>
          <w:sz w:val="22"/>
          <w:szCs w:val="22"/>
        </w:rPr>
        <w:t xml:space="preserve"> Consent modification, delegation, and guardian-set changes extend the lifecycle trust of Section 10,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26: </w:t>
      </w:r>
      <w:r>
        <w:rPr>
          <w:rFonts w:ascii="Times New Roman" w:cs="Times New Roman" w:eastAsia="Times New Roman" w:hAnsi="Times New Roman"/>
          <w:sz w:val="18"/>
          <w:szCs w:val="18"/>
        </w:rPr>
        <w:t xml:space="preserve">Research timeline: completed milestones, work in progress and the planned stages up to thesis submission.</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w:t>
      </w:r>
    </w:p>
    <w:p>
      <w:pPr>
        <w:keepNext/>
        <w:spacing w:after="80" w:before="200"/>
        <w:jc w:val="center"/>
      </w:pPr>
      <w:r>
        <w:rPr>
          <w:rFonts w:ascii="Times New Roman" w:cs="Times New Roman" w:eastAsia="Times New Roman" w:hAnsi="Times New Roman"/>
          <w:b/>
          <w:bCs/>
          <w:sz w:val="18"/>
          <w:szCs w:val="18"/>
        </w:rPr>
        <w:t xml:space="preserve">Table 13: </w:t>
      </w:r>
      <w:r>
        <w:rPr>
          <w:rFonts w:ascii="Times New Roman" w:cs="Times New Roman" w:eastAsia="Times New Roman" w:hAnsi="Times New Roman"/>
          <w:sz w:val="18"/>
          <w:szCs w:val="18"/>
        </w:rPr>
        <w:t xml:space="preserve">Next Stage Research Activities, Methodological Focus, and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 and guardian-set changes,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tabs>
          <w:tab w:val="left" w:pos="560"/>
        </w:tabs>
        <w:spacing w:after="50" w:line="240"/>
        <w:ind w:left="560" w:hanging="56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Abdul Ghafoor, Iraklis Symeonidis, Anna Rydberg, Cecilia Lindahl, and Abdul Qadus Abbasi. Towards empowering stakeholders through decentralized trust and secure livestock data sharing. Cryptography, 9(3):52, 2025.</w:t>
      </w:r>
    </w:p>
    <w:p>
      <w:pPr>
        <w:tabs>
          <w:tab w:val="left" w:pos="560"/>
        </w:tabs>
        <w:spacing w:after="50" w:line="240"/>
        <w:ind w:left="560" w:hanging="56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Richard K. Lomotey, Sandra Kumi, and Ralph Deters. Data trusts as a service: Providing a platform for multi-party data sharing. International Journal of Information Management Data Insights, 2(1):100075, 2022.</w:t>
      </w:r>
    </w:p>
    <w:p>
      <w:pPr>
        <w:tabs>
          <w:tab w:val="left" w:pos="560"/>
        </w:tabs>
        <w:spacing w:after="50" w:line="240"/>
        <w:ind w:left="560" w:hanging="56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Thanh Linh Nguyen, Lam Nguyen, Thong Hoang, Dilum Bandara, Qin Wang, Qinghua Lu, Xiwei Xu, Liming Zhu, and Shiping Chen. Blockchain-empowered trustworthy data sharing: Fundamentals, applications, and challenges. ACM Computing Surveys, 57(8):1–36, 2025.</w:t>
      </w:r>
    </w:p>
    <w:p>
      <w:pPr>
        <w:tabs>
          <w:tab w:val="left" w:pos="560"/>
        </w:tabs>
        <w:spacing w:after="50" w:line="240"/>
        <w:ind w:left="560" w:hanging="56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Emily C. Webber, David Brick, James P. Scibilia, Peter Dehnel, Council on Clinical Information Technology, et al. Electronic communication of the health record and information with pediatric patients and their guardians. Pediatrics, 144(1):e20191359, 2019.</w:t>
      </w:r>
    </w:p>
    <w:p>
      <w:pPr>
        <w:tabs>
          <w:tab w:val="left" w:pos="560"/>
        </w:tabs>
        <w:spacing w:after="50" w:line="240"/>
        <w:ind w:left="560" w:hanging="56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Cindy Welzel, Max Ostermann, Hannah Louise Smith, Timo Minssen, Toralf Kirsten, and Stephen Gilbert. Enabling secure and self determined health data sharing and consent management. npj Digital Medicine, 8(1):560, 2025.</w:t>
      </w:r>
    </w:p>
    <w:p>
      <w:pPr>
        <w:tabs>
          <w:tab w:val="left" w:pos="560"/>
        </w:tabs>
        <w:spacing w:after="50" w:line="240"/>
        <w:ind w:left="560" w:hanging="56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Minal R. Narkhede, Nilesh I. Wankhede, and Akanksha M. Kamble. Enhancing patient autonomy in data ownership: Privacy models and consent frameworks for healthcare. Journal of Digital Health, 4(1):1–23, 2025.</w:t>
      </w:r>
    </w:p>
    <w:p>
      <w:pPr>
        <w:tabs>
          <w:tab w:val="left" w:pos="560"/>
        </w:tabs>
        <w:spacing w:after="50" w:line="240"/>
        <w:ind w:left="560" w:hanging="56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Roy McClelland and Colin M. Harper. Information privacy in healthcare: The vital role of informed consent. European Journal of Health Law, 30(4):469–480, 2023.</w:t>
      </w:r>
    </w:p>
    <w:p>
      <w:pPr>
        <w:tabs>
          <w:tab w:val="left" w:pos="560"/>
        </w:tabs>
        <w:spacing w:after="50" w:line="240"/>
        <w:ind w:left="560" w:hanging="56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Katya Kaplow, Max Downey, Darren Stewart, Allan B. Massie, Jennifer D. Motter, Lauren Taylor, John Massarelli, Taylor Matalon, Carolyn Sidoti, Macey L. Levan, et al. Data professionals’ attitudes on data privacy, sharing, and consent in healthcare and research. Digital Health, 10:20552076241290964, 2024.</w:t>
      </w:r>
    </w:p>
    <w:p>
      <w:pPr>
        <w:tabs>
          <w:tab w:val="left" w:pos="560"/>
        </w:tabs>
        <w:spacing w:after="50" w:line="240"/>
        <w:ind w:left="560" w:hanging="56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Aleena Nazir, Mubashir Husain Rehmani, Bernard Butler, and Donna O’Shea. Access control in healthcare IoT: A comprehensive survey. Engineering Reports, 8(4):e70766, 2026.</w:t>
      </w:r>
    </w:p>
    <w:p>
      <w:pPr>
        <w:tabs>
          <w:tab w:val="left" w:pos="560"/>
        </w:tabs>
        <w:spacing w:after="50" w:line="240"/>
        <w:ind w:left="560" w:hanging="56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Ahmed M. Tawfik, Ayman Al-Ahwal, Adly S. Tag Eldien, and Hala H. Zayed. Blockchain-based access control and privacy preservation in healthcare: A comprehensive survey. Cluster Computing, 28(8):529, 2025.</w:t>
      </w:r>
    </w:p>
    <w:p>
      <w:pPr>
        <w:tabs>
          <w:tab w:val="left" w:pos="560"/>
        </w:tabs>
        <w:spacing w:after="50" w:line="240"/>
        <w:ind w:left="560" w:hanging="56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BMC Nursing, 23(1):564, 2024.</w:t>
      </w:r>
    </w:p>
    <w:p>
      <w:pPr>
        <w:tabs>
          <w:tab w:val="left" w:pos="560"/>
        </w:tabs>
        <w:spacing w:after="50" w:line="240"/>
        <w:ind w:left="560" w:hanging="560"/>
        <w:jc w:val="left"/>
      </w:pPr>
      <w:r>
        <w:rPr>
          <w:rFonts w:ascii="Times New Roman" w:cs="Times New Roman" w:eastAsia="Times New Roman" w:hAnsi="Times New Roman"/>
          <w:sz w:val="18"/>
          <w:szCs w:val="18"/>
          <w:highlight w:val="yellow"/>
        </w:rPr>
        <w:t xml:space="preserve">[12]	</w:t>
      </w:r>
      <w:r>
        <w:rPr>
          <w:rFonts w:ascii="Times New Roman" w:cs="Times New Roman" w:eastAsia="Times New Roman" w:hAnsi="Times New Roman"/>
          <w:sz w:val="18"/>
          <w:szCs w:val="18"/>
          <w:highlight w:val="yellow"/>
        </w:rPr>
        <w:t xml:space="preserve">Leonidas Theodorakopoulos, Alexandra Theodoropoulou, and Constantinos Halkiopoulos. Enhancing decentralized decision-making with big data and blockchain technology: A comprehensive review. Applied Sciences, 14(16):7007, 2024.</w:t>
      </w:r>
    </w:p>
    <w:p>
      <w:pPr>
        <w:tabs>
          <w:tab w:val="left" w:pos="560"/>
        </w:tabs>
        <w:spacing w:after="50" w:line="240"/>
        <w:ind w:left="560" w:hanging="56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Abdullah Al Mamun, Sami Azam, and Clementine Gritti. Blockchain-based electronic health records management: A comprehensive review and future research direction. IEEE Access, 10:5768–5789, 2022.</w:t>
      </w:r>
    </w:p>
    <w:p>
      <w:pPr>
        <w:tabs>
          <w:tab w:val="left" w:pos="560"/>
        </w:tabs>
        <w:spacing w:after="50" w:line="240"/>
        <w:ind w:left="560" w:hanging="560"/>
        <w:jc w:val="left"/>
      </w:pPr>
      <w:r>
        <w:rPr>
          <w:rFonts w:ascii="Times New Roman" w:cs="Times New Roman" w:eastAsia="Times New Roman" w:hAnsi="Times New Roman"/>
          <w:sz w:val="18"/>
          <w:szCs w:val="18"/>
          <w:highlight w:val="yellow"/>
        </w:rPr>
        <w:t xml:space="preserve">[14]	</w:t>
      </w:r>
      <w:r>
        <w:rPr>
          <w:rFonts w:ascii="Times New Roman" w:cs="Times New Roman" w:eastAsia="Times New Roman" w:hAnsi="Times New Roman"/>
          <w:sz w:val="18"/>
          <w:szCs w:val="18"/>
          <w:highlight w:val="yellow"/>
        </w:rPr>
        <w:t xml:space="preserve">Remy Hellstern, Daniel C. Park, Victoria Lemieux, and Guldana Salimjan. Leveraging blockchain-based archival solutions for sensitive documentation: A Xinjiang case study. Digital Society, 1(1):4, 2022.</w:t>
      </w:r>
    </w:p>
    <w:p>
      <w:pPr>
        <w:tabs>
          <w:tab w:val="left" w:pos="560"/>
        </w:tabs>
        <w:spacing w:after="50" w:line="240"/>
        <w:ind w:left="560" w:hanging="560"/>
        <w:jc w:val="left"/>
      </w:pPr>
      <w:r>
        <w:rPr>
          <w:rFonts w:ascii="Times New Roman" w:cs="Times New Roman" w:eastAsia="Times New Roman" w:hAnsi="Times New Roman"/>
          <w:sz w:val="18"/>
          <w:szCs w:val="18"/>
          <w:highlight w:val="yellow"/>
        </w:rPr>
        <w:t xml:space="preserve">[15]	</w:t>
      </w:r>
      <w:r>
        <w:rPr>
          <w:rFonts w:ascii="Times New Roman" w:cs="Times New Roman" w:eastAsia="Times New Roman" w:hAnsi="Times New Roman"/>
          <w:sz w:val="18"/>
          <w:szCs w:val="18"/>
          <w:highlight w:val="yellow"/>
        </w:rPr>
        <w:t xml:space="preserve">Lanlan Li, Charles Z. Liu, and Sanjeeb Shrestha. Analytical entropy approach for measuring blockchain immutability and tamper-resilient trust. Entropy, 28(6):690, 2026.</w:t>
      </w:r>
    </w:p>
    <w:p>
      <w:pPr>
        <w:tabs>
          <w:tab w:val="left" w:pos="560"/>
        </w:tabs>
        <w:spacing w:after="50" w:line="240"/>
        <w:ind w:left="560" w:hanging="56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Carlo Mazzocca, Abbas Acar, Selcuk Uluagac, Rebecca Montanari, Paolo Bellavista, and Mauro Conti. A survey on decentralized identifiers and verifiable credentials. IEEE Communications Surveys &amp; Tutorials, 27:3641–3671, 2025.</w:t>
      </w:r>
    </w:p>
    <w:p>
      <w:pPr>
        <w:tabs>
          <w:tab w:val="left" w:pos="560"/>
        </w:tabs>
        <w:spacing w:after="50" w:line="240"/>
        <w:ind w:left="560" w:hanging="56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Andrea Flamini, Giada Sciarretta, Mario Scuro, Amir Sharif, Alessandro Tomasi, and Silvio Ranise. On cryptographic mechanisms for the selective disclosure of verifiable credentials. Journal of Information Security and Applications, 83:103789, 2024.</w:t>
      </w:r>
    </w:p>
    <w:p>
      <w:pPr>
        <w:tabs>
          <w:tab w:val="left" w:pos="560"/>
        </w:tabs>
        <w:spacing w:after="50" w:line="240"/>
        <w:ind w:left="560" w:hanging="56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J. Andrew, Deva Priya Isravel, K. Martin Sagayam, Bharat Bhushan, Yuichi Sei, and Jennifer Eunice. Blockchain for healthcare systems: Architecture, security challenges, trends and future directions. Journal of Network and Computer Applications, 215:103633, 2023.</w:t>
      </w:r>
    </w:p>
    <w:p>
      <w:pPr>
        <w:tabs>
          <w:tab w:val="left" w:pos="560"/>
        </w:tabs>
        <w:spacing w:after="50" w:line="240"/>
        <w:ind w:left="560" w:hanging="56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Muhammad Irfan Khalid, Mansoor Ahmed, Markus Helfert, and Jungsuk Kim. Privacy-first paradigm for dynamic consent management systems: empowering data subjects through decentralized data controllers and privacy-preserving techniques. Electronics, 12(24):4973, 2023.</w:t>
      </w:r>
    </w:p>
    <w:p>
      <w:pPr>
        <w:tabs>
          <w:tab w:val="left" w:pos="560"/>
        </w:tabs>
        <w:spacing w:after="50" w:line="240"/>
        <w:ind w:left="560" w:hanging="560"/>
        <w:jc w:val="left"/>
      </w:pPr>
      <w:r>
        <w:rPr>
          <w:rFonts w:ascii="Times New Roman" w:cs="Times New Roman" w:eastAsia="Times New Roman" w:hAnsi="Times New Roman"/>
          <w:sz w:val="18"/>
          <w:szCs w:val="18"/>
          <w:highlight w:val="yellow"/>
        </w:rPr>
        <w:t xml:space="preserve">[20]	</w:t>
      </w:r>
      <w:r>
        <w:rPr>
          <w:rFonts w:ascii="Times New Roman" w:cs="Times New Roman" w:eastAsia="Times New Roman" w:hAnsi="Times New Roman"/>
          <w:sz w:val="18"/>
          <w:szCs w:val="18"/>
          <w:highlight w:val="yellow"/>
        </w:rPr>
        <w:t xml:space="preserve">Vitor Jesus and Harshvardhan J. Pandit. Consent receipts for a usable and auditable web of personal data. IEEE Access, 10:28545–28563, 2022.</w:t>
      </w:r>
    </w:p>
    <w:p>
      <w:pPr>
        <w:tabs>
          <w:tab w:val="left" w:pos="560"/>
        </w:tabs>
        <w:spacing w:after="50" w:line="240"/>
        <w:ind w:left="560" w:hanging="56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S. Phuyal, M. Bhandari, R. Bista, and J. C. Ferreira. Enabling Cross-Institution Health Data Sharing in Norway: EUDI Wallets, On-Chain Consent, and openEHR↔FHIR Translation. IEEE Access, 2026. doi:10.1109/ACCESS.2026.3661642</w:t>
      </w:r>
    </w:p>
    <w:p>
      <w:pPr>
        <w:tabs>
          <w:tab w:val="left" w:pos="560"/>
        </w:tabs>
        <w:spacing w:after="50" w:line="240"/>
        <w:ind w:left="560" w:hanging="56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Z. Wu and D. Zhang. HealthDID: An efficient and authorizable multi-party privacy-preserving EMR sharing system based on DID. Computer Standards &amp; Interfaces, 93:103967, 2025. doi:10.1016/j.csi.2024.103967</w:t>
      </w:r>
    </w:p>
    <w:p>
      <w:pPr>
        <w:tabs>
          <w:tab w:val="left" w:pos="560"/>
        </w:tabs>
        <w:spacing w:after="50" w:line="240"/>
        <w:ind w:left="560" w:hanging="56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M. M. Madine, K. Salah, R. Jayaraman, I. Yaqoob, Y. Al-Hammadi, S. Ellahham, et al. Fully Decentralized Multi-Party Consent Management for Secure Sharing of Patient Health Records. IEEE Access, 2020. doi:10.1109/ACCESS.2020.3045048</w:t>
      </w:r>
    </w:p>
    <w:p>
      <w:pPr>
        <w:tabs>
          <w:tab w:val="left" w:pos="560"/>
        </w:tabs>
        <w:spacing w:after="50" w:line="240"/>
        <w:ind w:left="560" w:hanging="56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D. Tith, J.-S. Lee, H. Suzuki, W. M. A. B. Wijesundara, N. Taira, T. Obi, et al. Patient consent management by a purpose-based consent model for electronic health record based on blockchain technology. Healthcare Informatics Research, 2020. doi:10.4258/hir.2020.26.4.265</w:t>
      </w:r>
    </w:p>
    <w:p>
      <w:pPr>
        <w:tabs>
          <w:tab w:val="left" w:pos="560"/>
        </w:tabs>
        <w:spacing w:after="50" w:line="240"/>
        <w:ind w:left="560" w:hanging="56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A. Punia, P. Gulia, N.S. Gill, D. Kaushik, N. Alduaiji, P.K. Shukla, et al. An access control system for cloud-based healthcare systems driven by blockchain. Journal of Cloud Computing, 2025. doi:10.1186/s13677-025-00831-z</w:t>
      </w:r>
    </w:p>
    <w:p>
      <w:pPr>
        <w:tabs>
          <w:tab w:val="left" w:pos="560"/>
        </w:tabs>
        <w:spacing w:after="50" w:line="240"/>
        <w:ind w:left="560" w:hanging="560"/>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K.-L. Tan, C.-H. Chi, and K.-Y. Lam. Secure and privacy-preserving sharing of personal health records with multi-party pre-authorization verification. Wireless Networks, 2024. doi:10.1007/s11276-022-03114-6</w:t>
      </w:r>
    </w:p>
    <w:p>
      <w:pPr>
        <w:tabs>
          <w:tab w:val="left" w:pos="560"/>
        </w:tabs>
        <w:spacing w:after="50" w:line="240"/>
        <w:ind w:left="560" w:hanging="560"/>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K. Ekholm, A. Augustinsson, J. Sundström, C. Johansen, M. Storgärds, L. Ljöstad, et al. Implementing electronic informed consent in rare disease genomics. Scientific Reports, 2025. doi:10.1038/s41598-025-32740-1</w:t>
      </w:r>
    </w:p>
    <w:p>
      <w:pPr>
        <w:tabs>
          <w:tab w:val="left" w:pos="560"/>
        </w:tabs>
        <w:spacing w:after="50" w:line="240"/>
        <w:ind w:left="560" w:hanging="560"/>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A. U. Eneh, L. A. C. Ahakonye, J. M. Lee, and D.-S. Kim. Demo: EdgeConsent: On-Chain Attribute-Based Access Control for Data Consent Management. 2026 IEEE International Conference on Blockchain and Cryptocurrency (ICBC), 2026. doi:10.1109/ICBC67748.2026.11575534</w:t>
      </w:r>
    </w:p>
    <w:p>
      <w:pPr>
        <w:tabs>
          <w:tab w:val="left" w:pos="560"/>
        </w:tabs>
        <w:spacing w:after="50" w:line="240"/>
        <w:ind w:left="560" w:hanging="560"/>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D.P. Panagoulias, A.I. Damian, C. Stamate, V. Toderian, P. Butusina, A. De Franceschi, et al. Blockchain-Enabled Trust and Compliance for Clinical AI: Decentralized Governance Without Decentralized Data Storage. Electronics, 2026. doi:10.3390/electronics15143046</w:t>
      </w:r>
    </w:p>
    <w:p>
      <w:pPr>
        <w:tabs>
          <w:tab w:val="left" w:pos="560"/>
        </w:tabs>
        <w:spacing w:after="50" w:line="240"/>
        <w:ind w:left="560" w:hanging="560"/>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I. Román-Martínez, J. Calvillo-Arbizu, V. J. Mayor-Gallego, G. Madinabeitia-Luque, A. J. Estepa-Alonso, and R. M. Estepa-Alonso. Blockchain-Based Service-Oriented Architecture for Consent Management, Access Control, and Auditing. IEEE Access, 2023. doi:10.1109/ACCESS.2023.3242605</w:t>
      </w:r>
    </w:p>
    <w:p>
      <w:pPr>
        <w:tabs>
          <w:tab w:val="left" w:pos="560"/>
        </w:tabs>
        <w:spacing w:after="50" w:line="240"/>
        <w:ind w:left="560" w:hanging="560"/>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Behnam Khayer, Siamak Mirzaei, Hooman Alavizadeh, and Ahmad Salehi Shahraki. Blockchain for secure IoT: A review of identity management, access control, and trust mechanisms. IoT, 6(4):65, 2025.</w:t>
      </w:r>
    </w:p>
    <w:p>
      <w:pPr>
        <w:tabs>
          <w:tab w:val="left" w:pos="560"/>
        </w:tabs>
        <w:spacing w:after="50" w:line="240"/>
        <w:ind w:left="560" w:hanging="560"/>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J. C. Ferreira, R. Correia, L. Rosário, and A. Vila. Blockchain Integration for Trust and Consent Management in MCP-Enabled FHIR Systems. 2025 IEEE International Conference on Distributed Ledger Technologies (ICDLT), 2025. doi:10.1109/ICDLT66400.2025.11466653</w:t>
      </w:r>
    </w:p>
    <w:p>
      <w:pPr>
        <w:tabs>
          <w:tab w:val="left" w:pos="560"/>
        </w:tabs>
        <w:spacing w:after="50" w:line="240"/>
        <w:ind w:left="560" w:hanging="560"/>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tabs>
          <w:tab w:val="left" w:pos="560"/>
        </w:tabs>
        <w:spacing w:after="50" w:line="240"/>
        <w:ind w:left="560" w:hanging="560"/>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Lanlan Li, Charles Z. Liu, Kejia Huang, Ruiyi Deng, Majed Abdullah Alrowaily, Mansoor Alghamdi, Ibrahim S. Alkhazi, and Malek Alrashidi. Trust-aware environmental state consensus for smart agriculture with TEE-enabled sensing and Byzantine-resilient blockchain coordination. Sensors, 26(14):4577, 2026.</w:t>
      </w:r>
    </w:p>
    <w:p>
      <w:pPr>
        <w:tabs>
          <w:tab w:val="left" w:pos="560"/>
        </w:tabs>
        <w:spacing w:after="50" w:line="240"/>
        <w:ind w:left="560" w:hanging="560"/>
        <w:jc w:val="left"/>
      </w:pPr>
      <w:r>
        <w:rPr>
          <w:rFonts w:ascii="Times New Roman" w:cs="Times New Roman" w:eastAsia="Times New Roman" w:hAnsi="Times New Roman"/>
          <w:sz w:val="18"/>
          <w:szCs w:val="18"/>
          <w:highlight w:val="yellow"/>
        </w:rPr>
        <w:t xml:space="preserve">[35]	</w:t>
      </w:r>
      <w:r>
        <w:rPr>
          <w:rFonts w:ascii="Times New Roman" w:cs="Times New Roman" w:eastAsia="Times New Roman" w:hAnsi="Times New Roman"/>
          <w:sz w:val="18"/>
          <w:szCs w:val="18"/>
          <w:highlight w:val="yellow"/>
        </w:rPr>
        <w:t xml:space="preserve">Jason Walonoski, Mark Kramer, Joseph Nichols, Andre Quina, Chris Moesel, Dylan Hall, Carlton Duffett, Kudakwashe Dube, Thomas Gallagher, and Scott McLachlan. Synthea: An approach, method, and software mechanism for generating synthetic patients and the synthetic electronic health care record. Journal of the American Medical Informatics Association, 25(3):230–238, 2018. doi:10.1093/jamia/ocx079.</w:t>
      </w:r>
    </w:p>
    <w:p>
      <w:pPr>
        <w:tabs>
          <w:tab w:val="left" w:pos="560"/>
        </w:tabs>
        <w:spacing w:after="50" w:line="240"/>
        <w:ind w:left="560" w:hanging="560"/>
        <w:jc w:val="left"/>
      </w:pPr>
      <w:r>
        <w:rPr>
          <w:rFonts w:ascii="Times New Roman" w:cs="Times New Roman" w:eastAsia="Times New Roman" w:hAnsi="Times New Roman"/>
          <w:sz w:val="18"/>
          <w:szCs w:val="18"/>
        </w:rPr>
        <w:t xml:space="preserve">[36]	</w:t>
      </w:r>
      <w:r>
        <w:rPr>
          <w:rFonts w:ascii="Times New Roman" w:cs="Times New Roman" w:eastAsia="Times New Roman" w:hAnsi="Times New Roman"/>
          <w:sz w:val="18"/>
          <w:szCs w:val="18"/>
        </w:rPr>
        <w:t xml:space="preserve">Alexander Kharlamov, Roland Hohmann, and Glenn Parry. Data sharing decisions: perceptions and intentions in healthcare. Strategic Change, 32(6):223–237, 2023.</w:t>
      </w:r>
    </w:p>
    <w:p>
      <w:pPr>
        <w:tabs>
          <w:tab w:val="left" w:pos="560"/>
        </w:tabs>
        <w:spacing w:after="50" w:line="240"/>
        <w:ind w:left="560" w:hanging="560"/>
        <w:jc w:val="left"/>
      </w:pPr>
      <w:r>
        <w:rPr>
          <w:rFonts w:ascii="Times New Roman" w:cs="Times New Roman" w:eastAsia="Times New Roman" w:hAnsi="Times New Roman"/>
          <w:sz w:val="18"/>
          <w:szCs w:val="18"/>
        </w:rPr>
        <w:t xml:space="preserve">[37]	</w:t>
      </w:r>
      <w:r>
        <w:rPr>
          <w:rFonts w:ascii="Times New Roman" w:cs="Times New Roman" w:eastAsia="Times New Roman" w:hAnsi="Times New Roman"/>
          <w:sz w:val="18"/>
          <w:szCs w:val="18"/>
        </w:rPr>
        <w:t xml:space="preserve">Pranto Kumar Ghosh, Arindom Chakraborty, Mehedi Hasan, Khalid Rashid, and Abdul Hasib Siddique. Blockchain application in healthcare systems: A review. Systems, 11(1):38, 2023.</w:t>
      </w:r>
    </w:p>
    <w:p>
      <w:pPr>
        <w:tabs>
          <w:tab w:val="left" w:pos="560"/>
        </w:tabs>
        <w:spacing w:after="50" w:line="240"/>
        <w:ind w:left="560" w:hanging="560"/>
        <w:jc w:val="left"/>
      </w:pPr>
      <w:r>
        <w:rPr>
          <w:rFonts w:ascii="Times New Roman" w:cs="Times New Roman" w:eastAsia="Times New Roman" w:hAnsi="Times New Roman"/>
          <w:sz w:val="18"/>
          <w:szCs w:val="18"/>
        </w:rPr>
        <w:t xml:space="preserve">[38]	</w:t>
      </w:r>
      <w:r>
        <w:rPr>
          <w:rFonts w:ascii="Times New Roman" w:cs="Times New Roman" w:eastAsia="Times New Roman" w:hAnsi="Times New Roman"/>
          <w:sz w:val="18"/>
          <w:szCs w:val="18"/>
        </w:rPr>
        <w:t xml:space="preserve">Mohammad Salar Arbabi, Chhagan Lal, Narasimha Raghavan Veeraragavan, Dusica Marijan, Jan F. Nygård, and Roman Vitenberg. A survey on blockchain for healthcare: Challenges, benefits, and future directions. IEEE Communications Surveys &amp; Tutorials, 25(1):386–424, 2023.</w:t>
      </w:r>
    </w:p>
    <w:p>
      <w:pPr>
        <w:tabs>
          <w:tab w:val="left" w:pos="560"/>
        </w:tabs>
        <w:spacing w:after="50" w:line="240"/>
        <w:ind w:left="560" w:hanging="560"/>
        <w:jc w:val="left"/>
      </w:pPr>
      <w:r>
        <w:rPr>
          <w:rFonts w:ascii="Times New Roman" w:cs="Times New Roman" w:eastAsia="Times New Roman" w:hAnsi="Times New Roman"/>
          <w:sz w:val="18"/>
          <w:szCs w:val="18"/>
        </w:rPr>
        <w:t xml:space="preserve">[39]	</w:t>
      </w:r>
      <w:r>
        <w:rPr>
          <w:rFonts w:ascii="Times New Roman" w:cs="Times New Roman" w:eastAsia="Times New Roman" w:hAnsi="Times New Roman"/>
          <w:sz w:val="18"/>
          <w:szCs w:val="18"/>
        </w:rPr>
        <w:t xml:space="preserve">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tabs>
          <w:tab w:val="left" w:pos="560"/>
        </w:tabs>
        <w:spacing w:after="50" w:line="240"/>
        <w:ind w:left="560" w:hanging="560"/>
        <w:jc w:val="left"/>
      </w:pPr>
      <w:r>
        <w:rPr>
          <w:rFonts w:ascii="Times New Roman" w:cs="Times New Roman" w:eastAsia="Times New Roman" w:hAnsi="Times New Roman"/>
          <w:sz w:val="18"/>
          <w:szCs w:val="18"/>
        </w:rPr>
        <w:t xml:space="preserve">[40]	</w:t>
      </w:r>
      <w:r>
        <w:rPr>
          <w:rFonts w:ascii="Times New Roman" w:cs="Times New Roman" w:eastAsia="Times New Roman" w:hAnsi="Times New Roman"/>
          <w:sz w:val="18"/>
          <w:szCs w:val="18"/>
        </w:rPr>
        <w:t xml:space="preserve">Jie Yin, Yang Xiao, Qian Chen, Xuefeng Liu, Qingqi Pei, Jianying Zhou, et al. DP-DID: A dynamic and proactive decentralized identity system. IEEE Transactions on Information Forensics and Security, 20:4999–5014, 2025.</w:t>
      </w:r>
    </w:p>
    <w:p>
      <w:pPr>
        <w:tabs>
          <w:tab w:val="left" w:pos="560"/>
        </w:tabs>
        <w:spacing w:after="50" w:line="240"/>
        <w:ind w:left="560" w:hanging="560"/>
        <w:jc w:val="left"/>
      </w:pPr>
      <w:r>
        <w:rPr>
          <w:rFonts w:ascii="Times New Roman" w:cs="Times New Roman" w:eastAsia="Times New Roman" w:hAnsi="Times New Roman"/>
          <w:sz w:val="18"/>
          <w:szCs w:val="18"/>
        </w:rPr>
        <w:t xml:space="preserve">[41]	</w:t>
      </w:r>
      <w:r>
        <w:rPr>
          <w:rFonts w:ascii="Times New Roman" w:cs="Times New Roman" w:eastAsia="Times New Roman" w:hAnsi="Times New Roman"/>
          <w:sz w:val="18"/>
          <w:szCs w:val="18"/>
        </w:rPr>
        <w:t xml:space="preserve">Haotian Deng, Jinwen Liang, Chuan Zhang, Ximeng Liu, Liehuang Zhu, and Song Guo. FutureDID: A fully decentralized identity system with multi-party verification. IEEE Transactions on Computers, 73(8):2051–2065, 2024.</w:t>
      </w:r>
    </w:p>
    <w:p>
      <w:pPr>
        <w:tabs>
          <w:tab w:val="left" w:pos="560"/>
        </w:tabs>
        <w:spacing w:after="50" w:line="240"/>
        <w:ind w:left="560" w:hanging="560"/>
        <w:jc w:val="left"/>
      </w:pPr>
      <w:r>
        <w:rPr>
          <w:rFonts w:ascii="Times New Roman" w:cs="Times New Roman" w:eastAsia="Times New Roman" w:hAnsi="Times New Roman"/>
          <w:sz w:val="18"/>
          <w:szCs w:val="18"/>
        </w:rPr>
        <w:t xml:space="preserve">[42]	</w:t>
      </w:r>
      <w:r>
        <w:rPr>
          <w:rFonts w:ascii="Times New Roman" w:cs="Times New Roman" w:eastAsia="Times New Roman" w:hAnsi="Times New Roman"/>
          <w:sz w:val="18"/>
          <w:szCs w:val="18"/>
        </w:rPr>
        <w:t xml:space="preserve">Chalima Dimitra Nassar Kyriakidou, Athanasia Maria Papathanasiou, and George C. Polyzos. Decentralized identity with applications to security and privacy for the internet of things. Computer Networks and Communications, 1(2):244–271, 2023.</w:t>
      </w:r>
    </w:p>
    <w:p>
      <w:pPr>
        <w:tabs>
          <w:tab w:val="left" w:pos="560"/>
        </w:tabs>
        <w:spacing w:after="50" w:line="240"/>
        <w:ind w:left="560" w:hanging="560"/>
        <w:jc w:val="left"/>
      </w:pPr>
      <w:r>
        <w:rPr>
          <w:rFonts w:ascii="Times New Roman" w:cs="Times New Roman" w:eastAsia="Times New Roman" w:hAnsi="Times New Roman"/>
          <w:sz w:val="18"/>
          <w:szCs w:val="18"/>
        </w:rPr>
        <w:t xml:space="preserve">[43]	</w:t>
      </w:r>
      <w:r>
        <w:rPr>
          <w:rFonts w:ascii="Times New Roman" w:cs="Times New Roman" w:eastAsia="Times New Roman" w:hAnsi="Times New Roman"/>
          <w:sz w:val="18"/>
          <w:szCs w:val="18"/>
        </w:rPr>
        <w:t xml:space="preserve">Rohini Poolat Parameswarath, Prosanta Gope, and Biplab Sikdar. User-empowered privacy-preserving authentication protocol for electric vehicle charging based on decentralized identity and verifiable credential. ACM Transactions on Management Information Systems, 13(4):1–21, 2022.</w:t>
      </w:r>
    </w:p>
    <w:p>
      <w:pPr>
        <w:tabs>
          <w:tab w:val="left" w:pos="560"/>
        </w:tabs>
        <w:spacing w:after="50" w:line="240"/>
        <w:ind w:left="560" w:hanging="560"/>
        <w:jc w:val="left"/>
      </w:pPr>
      <w:r>
        <w:rPr>
          <w:rFonts w:ascii="Times New Roman" w:cs="Times New Roman" w:eastAsia="Times New Roman" w:hAnsi="Times New Roman"/>
          <w:sz w:val="18"/>
          <w:szCs w:val="18"/>
        </w:rPr>
        <w:t xml:space="preserve">[44]	</w:t>
      </w:r>
      <w:r>
        <w:rPr>
          <w:rFonts w:ascii="Times New Roman" w:cs="Times New Roman" w:eastAsia="Times New Roman" w:hAnsi="Times New Roman"/>
          <w:sz w:val="18"/>
          <w:szCs w:val="18"/>
        </w:rPr>
        <w:t xml:space="preserve">Hongjian Yin, Yiming Zhao, Lei Zhang, Baojun Qiao, Wenbo Chen, and Huaqing Wang. Attribute-based searchable encryption with decentralized key management for healthcare data sharing. Journal of Systems Architecture, 148:103081, 2024.</w:t>
      </w:r>
    </w:p>
    <w:p>
      <w:pPr>
        <w:tabs>
          <w:tab w:val="left" w:pos="560"/>
        </w:tabs>
        <w:spacing w:after="50" w:line="240"/>
        <w:ind w:left="560" w:hanging="560"/>
        <w:jc w:val="left"/>
      </w:pPr>
      <w:r>
        <w:rPr>
          <w:rFonts w:ascii="Times New Roman" w:cs="Times New Roman" w:eastAsia="Times New Roman" w:hAnsi="Times New Roman"/>
          <w:sz w:val="18"/>
          <w:szCs w:val="18"/>
        </w:rPr>
        <w:t xml:space="preserve">[45]	</w:t>
      </w:r>
      <w:r>
        <w:rPr>
          <w:rFonts w:ascii="Times New Roman" w:cs="Times New Roman" w:eastAsia="Times New Roman" w:hAnsi="Times New Roman"/>
          <w:sz w:val="18"/>
          <w:szCs w:val="18"/>
        </w:rPr>
        <w:t xml:space="preserve">Rong Jiang, Xue Chen, Yimin Yu, Ying Zhang, and Weiping Ding. Risk and UCON-based access control model for healthcare big data. Journal of Big Data, 10(1):104, 2023.</w:t>
      </w:r>
    </w:p>
    <w:p>
      <w:pPr>
        <w:tabs>
          <w:tab w:val="left" w:pos="560"/>
        </w:tabs>
        <w:spacing w:after="50" w:line="240"/>
        <w:ind w:left="560" w:hanging="560"/>
        <w:jc w:val="left"/>
      </w:pPr>
      <w:r>
        <w:rPr>
          <w:rFonts w:ascii="Times New Roman" w:cs="Times New Roman" w:eastAsia="Times New Roman" w:hAnsi="Times New Roman"/>
          <w:sz w:val="18"/>
          <w:szCs w:val="18"/>
        </w:rPr>
        <w:t xml:space="preserve">[46]	</w:t>
      </w:r>
      <w:r>
        <w:rPr>
          <w:rFonts w:ascii="Times New Roman" w:cs="Times New Roman" w:eastAsia="Times New Roman" w:hAnsi="Times New Roman"/>
          <w:sz w:val="18"/>
          <w:szCs w:val="18"/>
        </w:rPr>
        <w:t xml:space="preserve">Matthew J. Page, Joanne E. McKenzie, Patrick M. Bossuyt, Isabelle Boutron, Tammy C. Hoffmann, Cynthia D. Mulrow, et al. The PRISMA 2020 statement: an updated guideline for reporting systematic reviews. BMJ, 372:n71, 2021.</w:t>
      </w:r>
    </w:p>
    <w:p>
      <w:pPr>
        <w:tabs>
          <w:tab w:val="left" w:pos="560"/>
        </w:tabs>
        <w:spacing w:after="50" w:line="240"/>
        <w:ind w:left="560" w:hanging="560"/>
        <w:jc w:val="left"/>
      </w:pPr>
      <w:r>
        <w:rPr>
          <w:rFonts w:ascii="Times New Roman" w:cs="Times New Roman" w:eastAsia="Times New Roman" w:hAnsi="Times New Roman"/>
          <w:sz w:val="18"/>
          <w:szCs w:val="18"/>
        </w:rPr>
        <w:t xml:space="preserve">[47]	</w:t>
      </w:r>
      <w:r>
        <w:rPr>
          <w:rFonts w:ascii="Times New Roman" w:cs="Times New Roman" w:eastAsia="Times New Roman" w:hAnsi="Times New Roman"/>
          <w:sz w:val="18"/>
          <w:szCs w:val="18"/>
        </w:rPr>
        <w:t xml:space="preserve">V. Jaiman and V. Urovi. A Consent Model for Blockchain-Based Health Data Sharing Platforms. IEEE Access, 2020. doi:10.1109/ACCESS.2020.3014565</w:t>
      </w:r>
    </w:p>
    <w:p>
      <w:pPr>
        <w:tabs>
          <w:tab w:val="left" w:pos="560"/>
        </w:tabs>
        <w:spacing w:after="50" w:line="240"/>
        <w:ind w:left="560" w:hanging="560"/>
        <w:jc w:val="left"/>
      </w:pPr>
      <w:r>
        <w:rPr>
          <w:rFonts w:ascii="Times New Roman" w:cs="Times New Roman" w:eastAsia="Times New Roman" w:hAnsi="Times New Roman"/>
          <w:sz w:val="18"/>
          <w:szCs w:val="18"/>
        </w:rPr>
        <w:t xml:space="preserve">[48]	</w:t>
      </w:r>
      <w:r>
        <w:rPr>
          <w:rFonts w:ascii="Times New Roman" w:cs="Times New Roman" w:eastAsia="Times New Roman" w:hAnsi="Times New Roman"/>
          <w:sz w:val="18"/>
          <w:szCs w:val="18"/>
        </w:rPr>
        <w:t xml:space="preserve">F. Albalwy, A. Brass, and A. Davies. A Blockchain-based dynamic consent architecture to support clinical genomic data sharing (ConsentChain): Proof-of-concept study. JMIR Medical Informatics, 2021. doi:10.2196/27816</w:t>
      </w:r>
    </w:p>
    <w:p>
      <w:pPr>
        <w:tabs>
          <w:tab w:val="left" w:pos="560"/>
        </w:tabs>
        <w:spacing w:after="50" w:line="240"/>
        <w:ind w:left="560" w:hanging="560"/>
        <w:jc w:val="left"/>
      </w:pPr>
      <w:r>
        <w:rPr>
          <w:rFonts w:ascii="Times New Roman" w:cs="Times New Roman" w:eastAsia="Times New Roman" w:hAnsi="Times New Roman"/>
          <w:sz w:val="18"/>
          <w:szCs w:val="18"/>
        </w:rPr>
        <w:t xml:space="preserve">[49]	</w:t>
      </w:r>
      <w:r>
        <w:rPr>
          <w:rFonts w:ascii="Times New Roman" w:cs="Times New Roman" w:eastAsia="Times New Roman" w:hAnsi="Times New Roman"/>
          <w:sz w:val="18"/>
          <w:szCs w:val="18"/>
        </w:rPr>
        <w:t xml:space="preserve">H. Li, D. Li, G. Lv, N. Crespi, R. Minerva, W. Shao, et al. Privacy-Preserving Fine-Grained EMR Access Control for IoMT: A Hybrid RBAC-Smart Contract Scheme With Attribute-Based Authorization. IEEE Internet of Things Journal, 2026. doi:10.1109/JIOT.2025.3633504</w:t>
      </w:r>
    </w:p>
    <w:p>
      <w:pPr>
        <w:tabs>
          <w:tab w:val="left" w:pos="560"/>
        </w:tabs>
        <w:spacing w:after="50" w:line="240"/>
        <w:ind w:left="560" w:hanging="560"/>
        <w:jc w:val="left"/>
      </w:pPr>
      <w:r>
        <w:rPr>
          <w:rFonts w:ascii="Times New Roman" w:cs="Times New Roman" w:eastAsia="Times New Roman" w:hAnsi="Times New Roman"/>
          <w:sz w:val="18"/>
          <w:szCs w:val="18"/>
        </w:rPr>
        <w:t xml:space="preserve">[50]	</w:t>
      </w:r>
      <w:r>
        <w:rPr>
          <w:rFonts w:ascii="Times New Roman" w:cs="Times New Roman" w:eastAsia="Times New Roman" w:hAnsi="Times New Roman"/>
          <w:sz w:val="18"/>
          <w:szCs w:val="18"/>
        </w:rPr>
        <w:t xml:space="preserve">A. Abbasi, M. N. Humeidi, and Q. Wang. Nexa: Enabling Secure, Scalable, and Decentralized Management of Electronic Health Records Using Threshold Cryptography and Public Blockchains. IEEE Access, 2026. doi:10.1109/ACCESS.2026.3677499</w:t>
      </w:r>
    </w:p>
    <w:p>
      <w:pPr>
        <w:tabs>
          <w:tab w:val="left" w:pos="560"/>
        </w:tabs>
        <w:spacing w:after="50" w:line="240"/>
        <w:ind w:left="560" w:hanging="560"/>
        <w:jc w:val="left"/>
      </w:pPr>
      <w:r>
        <w:rPr>
          <w:rFonts w:ascii="Times New Roman" w:cs="Times New Roman" w:eastAsia="Times New Roman" w:hAnsi="Times New Roman"/>
          <w:sz w:val="18"/>
          <w:szCs w:val="18"/>
        </w:rPr>
        <w:t xml:space="preserve">[51]	</w:t>
      </w:r>
      <w:r>
        <w:rPr>
          <w:rFonts w:ascii="Times New Roman" w:cs="Times New Roman" w:eastAsia="Times New Roman" w:hAnsi="Times New Roman"/>
          <w:sz w:val="18"/>
          <w:szCs w:val="18"/>
        </w:rPr>
        <w:t xml:space="preserve">M. Al Amin, A. Altarawneh, and I. Ray. Informed Consent as Patient Driven Policy for Clinical Diagnosis and Treatment: A Smart Contract Based Approach. Proceedings of the International Conference on Security and Cryptography, 2023. doi:10.5220/0012090600003555</w:t>
      </w:r>
    </w:p>
    <w:p>
      <w:pPr>
        <w:tabs>
          <w:tab w:val="left" w:pos="560"/>
        </w:tabs>
        <w:spacing w:after="50" w:line="240"/>
        <w:ind w:left="560" w:hanging="560"/>
        <w:jc w:val="left"/>
      </w:pPr>
      <w:r>
        <w:rPr>
          <w:rFonts w:ascii="Times New Roman" w:cs="Times New Roman" w:eastAsia="Times New Roman" w:hAnsi="Times New Roman"/>
          <w:sz w:val="18"/>
          <w:szCs w:val="18"/>
        </w:rPr>
        <w:t xml:space="preserve">[52]	</w:t>
      </w:r>
      <w:r>
        <w:rPr>
          <w:rFonts w:ascii="Times New Roman" w:cs="Times New Roman" w:eastAsia="Times New Roman" w:hAnsi="Times New Roman"/>
          <w:sz w:val="18"/>
          <w:szCs w:val="18"/>
        </w:rPr>
        <w:t xml:space="preserve">J. Hagström, M. Hägglund, M. Holmroos, P. Lähteenmäki, and I. Hörhammer. Minors’ and guardian access to and use of a national patient portal: A retrospective comparative case study of Sweden and Finland. International Journal of Medical Informatics, 2024. doi:10.1016/j.ijmedinf.2024.105465</w:t>
      </w:r>
    </w:p>
    <w:p>
      <w:pPr>
        <w:tabs>
          <w:tab w:val="left" w:pos="560"/>
        </w:tabs>
        <w:spacing w:after="50" w:line="240"/>
        <w:ind w:left="560" w:hanging="560"/>
        <w:jc w:val="left"/>
      </w:pPr>
      <w:r>
        <w:rPr>
          <w:rFonts w:ascii="Times New Roman" w:cs="Times New Roman" w:eastAsia="Times New Roman" w:hAnsi="Times New Roman"/>
          <w:sz w:val="18"/>
          <w:szCs w:val="18"/>
        </w:rPr>
        <w:t xml:space="preserve">[53]	</w:t>
      </w:r>
      <w:r>
        <w:rPr>
          <w:rFonts w:ascii="Times New Roman" w:cs="Times New Roman" w:eastAsia="Times New Roman" w:hAnsi="Times New Roman"/>
          <w:sz w:val="18"/>
          <w:szCs w:val="18"/>
        </w:rPr>
        <w:t xml:space="preserve">J. Zhao and Q. Su. A threshold traceable delegation authorization scheme for data sharing in healthcare. Computers &amp; Security, 139:103686, 2024. doi:10.1016/j.cose.2023.103686</w:t>
      </w:r>
    </w:p>
    <w:p>
      <w:pPr>
        <w:tabs>
          <w:tab w:val="left" w:pos="560"/>
        </w:tabs>
        <w:spacing w:after="50" w:line="240"/>
        <w:ind w:left="560" w:hanging="560"/>
        <w:jc w:val="left"/>
      </w:pPr>
      <w:r>
        <w:rPr>
          <w:rFonts w:ascii="Times New Roman" w:cs="Times New Roman" w:eastAsia="Times New Roman" w:hAnsi="Times New Roman"/>
          <w:sz w:val="18"/>
          <w:szCs w:val="18"/>
        </w:rPr>
        <w:t xml:space="preserve">[54]	</w:t>
      </w:r>
      <w:r>
        <w:rPr>
          <w:rFonts w:ascii="Times New Roman" w:cs="Times New Roman" w:eastAsia="Times New Roman" w:hAnsi="Times New Roman"/>
          <w:sz w:val="18"/>
          <w:szCs w:val="18"/>
        </w:rPr>
        <w:t xml:space="preserve">V. Maruthi and K. Singh. Enhancing Security and Privacy of IoMT Data for Unconscious Patient With Blockchain. IEEE Transactions on Network and Service Management, 2025. doi:10.1109/TNSM.2025.3602117</w:t>
      </w:r>
    </w:p>
    <w:p>
      <w:pPr>
        <w:tabs>
          <w:tab w:val="left" w:pos="560"/>
        </w:tabs>
        <w:spacing w:after="50" w:line="240"/>
        <w:ind w:left="560" w:hanging="560"/>
        <w:jc w:val="left"/>
      </w:pPr>
      <w:r>
        <w:rPr>
          <w:rFonts w:ascii="Times New Roman" w:cs="Times New Roman" w:eastAsia="Times New Roman" w:hAnsi="Times New Roman"/>
          <w:sz w:val="18"/>
          <w:szCs w:val="18"/>
        </w:rPr>
        <w:t xml:space="preserve">[55]	</w:t>
      </w:r>
      <w:r>
        <w:rPr>
          <w:rFonts w:ascii="Times New Roman" w:cs="Times New Roman" w:eastAsia="Times New Roman" w:hAnsi="Times New Roman"/>
          <w:sz w:val="18"/>
          <w:szCs w:val="18"/>
        </w:rPr>
        <w:t xml:space="preserve">L. Mei, K. Huang, X. Li, H. Wang, and X. Zhang. Efficient Dual-Revocation CP-ABE for Secure and Fine-Grained Data Sharing in IoMT. IEEE Internet of Things Journal, 2026. doi:10.1109/JIOT.2026.3685269</w:t>
      </w:r>
    </w:p>
    <w:p>
      <w:pPr>
        <w:tabs>
          <w:tab w:val="left" w:pos="560"/>
        </w:tabs>
        <w:spacing w:after="50" w:line="240"/>
        <w:ind w:left="560" w:hanging="560"/>
        <w:jc w:val="left"/>
      </w:pPr>
      <w:r>
        <w:rPr>
          <w:rFonts w:ascii="Times New Roman" w:cs="Times New Roman" w:eastAsia="Times New Roman" w:hAnsi="Times New Roman"/>
          <w:sz w:val="18"/>
          <w:szCs w:val="18"/>
        </w:rPr>
        <w:t xml:space="preserve">[56]	</w:t>
      </w:r>
      <w:r>
        <w:rPr>
          <w:rFonts w:ascii="Times New Roman" w:cs="Times New Roman" w:eastAsia="Times New Roman" w:hAnsi="Times New Roman"/>
          <w:sz w:val="18"/>
          <w:szCs w:val="18"/>
        </w:rPr>
        <w:t xml:space="preserve">S. Phuyal, M. Bhandari, R. Bista, and J.C. Ferreira. A Blockchain-Based Architecture for Dynamic and Auditable Patient Consent in Secondary Use of Health Data. Blockchain in Healthcare Today, 2026. doi:10.30953/bhty.v9.491</w:t>
      </w:r>
    </w:p>
    <w:p>
      <w:pPr>
        <w:tabs>
          <w:tab w:val="left" w:pos="560"/>
        </w:tabs>
        <w:spacing w:after="50" w:line="240"/>
        <w:ind w:left="560" w:hanging="560"/>
        <w:jc w:val="left"/>
      </w:pPr>
      <w:r>
        <w:rPr>
          <w:rFonts w:ascii="Times New Roman" w:cs="Times New Roman" w:eastAsia="Times New Roman" w:hAnsi="Times New Roman"/>
          <w:sz w:val="18"/>
          <w:szCs w:val="18"/>
        </w:rPr>
        <w:t xml:space="preserve">[57]	</w:t>
      </w:r>
      <w:r>
        <w:rPr>
          <w:rFonts w:ascii="Times New Roman" w:cs="Times New Roman" w:eastAsia="Times New Roman" w:hAnsi="Times New Roman"/>
          <w:sz w:val="18"/>
          <w:szCs w:val="18"/>
        </w:rPr>
        <w:t xml:space="preserve">Hema S., Goli Bulli Sai Reddy, and Shalini R. Patient Centric Cryptographic Protection of Cloud Electronic Health Records. 2026 6th International Conference on Expert Clouds and Applications (ICOECA), 2026. doi:10.1109/ICOECA68095.2026.11485301</w:t>
      </w:r>
    </w:p>
    <w:p>
      <w:pPr>
        <w:tabs>
          <w:tab w:val="left" w:pos="560"/>
        </w:tabs>
        <w:spacing w:after="50" w:line="240"/>
        <w:ind w:left="560" w:hanging="560"/>
        <w:jc w:val="left"/>
      </w:pPr>
      <w:r>
        <w:rPr>
          <w:rFonts w:ascii="Times New Roman" w:cs="Times New Roman" w:eastAsia="Times New Roman" w:hAnsi="Times New Roman"/>
          <w:sz w:val="18"/>
          <w:szCs w:val="18"/>
        </w:rPr>
        <w:t xml:space="preserve">[58]	</w:t>
      </w:r>
      <w:r>
        <w:rPr>
          <w:rFonts w:ascii="Times New Roman" w:cs="Times New Roman" w:eastAsia="Times New Roman" w:hAnsi="Times New Roman"/>
          <w:sz w:val="18"/>
          <w:szCs w:val="18"/>
        </w:rPr>
        <w:t xml:space="preserve">S. L. Soohoo, M. S. Keller, Y. Chen, D. Hu, S.-C. Huang, T.-T. Kuo, et al. Development of the authentication and authorization processes for the iAgree portal, a platform for patient-controlled data sharing across health systems. JAMIA Open, 2026. doi:10.1093/jamiaopen/ooag111</w:t>
      </w:r>
    </w:p>
    <w:p>
      <w:pPr>
        <w:tabs>
          <w:tab w:val="left" w:pos="560"/>
        </w:tabs>
        <w:spacing w:after="50" w:line="240"/>
        <w:ind w:left="560" w:hanging="560"/>
        <w:jc w:val="left"/>
      </w:pPr>
      <w:r>
        <w:rPr>
          <w:rFonts w:ascii="Times New Roman" w:cs="Times New Roman" w:eastAsia="Times New Roman" w:hAnsi="Times New Roman"/>
          <w:sz w:val="18"/>
          <w:szCs w:val="18"/>
        </w:rPr>
        <w:t xml:space="preserve">[59]	</w:t>
      </w:r>
      <w:r>
        <w:rPr>
          <w:rFonts w:ascii="Times New Roman" w:cs="Times New Roman" w:eastAsia="Times New Roman" w:hAnsi="Times New Roman"/>
          <w:sz w:val="18"/>
          <w:szCs w:val="18"/>
        </w:rPr>
        <w:t xml:space="preserve">G. Tremper, T. Brenner, M. Ben Amor, T. Kussel, and M. Lablans. Mainzelliste: Ten years of pseudonymization, record linkage, and informed consent management. Patterns, 2026. doi:10.1016/j.patter.2025.101432</w:t>
      </w:r>
    </w:p>
    <w:p>
      <w:pPr>
        <w:tabs>
          <w:tab w:val="left" w:pos="560"/>
        </w:tabs>
        <w:spacing w:after="50" w:line="240"/>
        <w:ind w:left="560" w:hanging="560"/>
        <w:jc w:val="left"/>
      </w:pPr>
      <w:r>
        <w:rPr>
          <w:rFonts w:ascii="Times New Roman" w:cs="Times New Roman" w:eastAsia="Times New Roman" w:hAnsi="Times New Roman"/>
          <w:sz w:val="18"/>
          <w:szCs w:val="18"/>
        </w:rPr>
        <w:t xml:space="preserve">[60]	</w:t>
      </w:r>
      <w:r>
        <w:rPr>
          <w:rFonts w:ascii="Times New Roman" w:cs="Times New Roman" w:eastAsia="Times New Roman" w:hAnsi="Times New Roman"/>
          <w:sz w:val="18"/>
          <w:szCs w:val="18"/>
        </w:rPr>
        <w:t xml:space="preserve">C.-H. Tseng, Y.-H. Hsieh, H.-Y. Lin, and S.-M. Yuan. EMR-Chain: Decentralized Electronic Medical Record Exchange System. Technologies, 2025. doi:10.3390/technologies13100446</w:t>
      </w:r>
    </w:p>
    <w:p>
      <w:pPr>
        <w:tabs>
          <w:tab w:val="left" w:pos="560"/>
        </w:tabs>
        <w:spacing w:after="50" w:line="240"/>
        <w:ind w:left="560" w:hanging="560"/>
        <w:jc w:val="left"/>
      </w:pPr>
      <w:r>
        <w:rPr>
          <w:rFonts w:ascii="Times New Roman" w:cs="Times New Roman" w:eastAsia="Times New Roman" w:hAnsi="Times New Roman"/>
          <w:sz w:val="18"/>
          <w:szCs w:val="18"/>
        </w:rPr>
        <w:t xml:space="preserve">[61]	</w:t>
      </w:r>
      <w:r>
        <w:rPr>
          <w:rFonts w:ascii="Times New Roman" w:cs="Times New Roman" w:eastAsia="Times New Roman" w:hAnsi="Times New Roman"/>
          <w:sz w:val="18"/>
          <w:szCs w:val="18"/>
        </w:rPr>
        <w:t xml:space="preserve">Y. Wu, C. Liu, L. Sebald, P. Nguyen, and Y. Yesha. Apply Trust Computing and Privacy Preserving Smart Contracts to Manage, Share, and Analyze Multi-site Clinical Trial Data. In Proceedings of the International Conference on Deep Learning, Big Data and Blockchain (DBB 2022), Lecture Notes in Networks and Systems, vol. 541, pages 3–14. Springer, 2023. doi:10.1007/978-3-031-16035-6_1</w:t>
      </w:r>
    </w:p>
    <w:p>
      <w:pPr>
        <w:tabs>
          <w:tab w:val="left" w:pos="560"/>
        </w:tabs>
        <w:spacing w:after="50" w:line="240"/>
        <w:ind w:left="560" w:hanging="560"/>
        <w:jc w:val="left"/>
      </w:pPr>
      <w:r>
        <w:rPr>
          <w:rFonts w:ascii="Times New Roman" w:cs="Times New Roman" w:eastAsia="Times New Roman" w:hAnsi="Times New Roman"/>
          <w:sz w:val="18"/>
          <w:szCs w:val="18"/>
        </w:rPr>
        <w:t xml:space="preserve">[62]	</w:t>
      </w:r>
      <w:r>
        <w:rPr>
          <w:rFonts w:ascii="Times New Roman" w:cs="Times New Roman" w:eastAsia="Times New Roman" w:hAnsi="Times New Roman"/>
          <w:sz w:val="18"/>
          <w:szCs w:val="18"/>
        </w:rPr>
        <w:t xml:space="preserve">S. Akter and T. F. Sanam. A Blockchain Framework for Secure Healthcare Data Management Using Role-Based Access Control and Smart Contracts. 2025 International Conference on Electrical, Computer and Communication Engineering (ECCE), 2025. doi:10.1109/ECCE64574.2025.11013162</w:t>
      </w:r>
    </w:p>
    <w:p>
      <w:pPr>
        <w:tabs>
          <w:tab w:val="left" w:pos="560"/>
        </w:tabs>
        <w:spacing w:after="50" w:line="240"/>
        <w:ind w:left="560" w:hanging="560"/>
        <w:jc w:val="left"/>
      </w:pPr>
      <w:r>
        <w:rPr>
          <w:rFonts w:ascii="Times New Roman" w:cs="Times New Roman" w:eastAsia="Times New Roman" w:hAnsi="Times New Roman"/>
          <w:sz w:val="18"/>
          <w:szCs w:val="18"/>
        </w:rPr>
        <w:t xml:space="preserve">[63]	</w:t>
      </w:r>
      <w:r>
        <w:rPr>
          <w:rFonts w:ascii="Times New Roman" w:cs="Times New Roman" w:eastAsia="Times New Roman" w:hAnsi="Times New Roman"/>
          <w:sz w:val="18"/>
          <w:szCs w:val="18"/>
        </w:rPr>
        <w:t xml:space="preserve">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tabs>
          <w:tab w:val="left" w:pos="560"/>
        </w:tabs>
        <w:spacing w:after="50" w:line="240"/>
        <w:ind w:left="560" w:hanging="560"/>
        <w:jc w:val="left"/>
      </w:pPr>
      <w:r>
        <w:rPr>
          <w:rFonts w:ascii="Times New Roman" w:cs="Times New Roman" w:eastAsia="Times New Roman" w:hAnsi="Times New Roman"/>
          <w:sz w:val="18"/>
          <w:szCs w:val="18"/>
        </w:rPr>
        <w:t xml:space="preserve">[64]	</w:t>
      </w:r>
      <w:r>
        <w:rPr>
          <w:rFonts w:ascii="Times New Roman" w:cs="Times New Roman" w:eastAsia="Times New Roman" w:hAnsi="Times New Roman"/>
          <w:sz w:val="18"/>
          <w:szCs w:val="18"/>
        </w:rPr>
        <w:t xml:space="preserve">A. Teeda and Y.V. Subba Rao. A Patient-Centric Blockchain Based Electronic Health Records for Data Privacy and Confidentiality. Lecture Notes in Networks and Systems, 2026. doi:10.1007/978-3-032-08246-6_15</w:t>
      </w:r>
    </w:p>
    <w:p>
      <w:pPr>
        <w:tabs>
          <w:tab w:val="left" w:pos="560"/>
        </w:tabs>
        <w:spacing w:after="50" w:line="240"/>
        <w:ind w:left="560" w:hanging="560"/>
        <w:jc w:val="left"/>
      </w:pPr>
      <w:r>
        <w:rPr>
          <w:rFonts w:ascii="Times New Roman" w:cs="Times New Roman" w:eastAsia="Times New Roman" w:hAnsi="Times New Roman"/>
          <w:sz w:val="18"/>
          <w:szCs w:val="18"/>
        </w:rPr>
        <w:t xml:space="preserve">[65]	</w:t>
      </w:r>
      <w:r>
        <w:rPr>
          <w:rFonts w:ascii="Times New Roman" w:cs="Times New Roman" w:eastAsia="Times New Roman" w:hAnsi="Times New Roman"/>
          <w:sz w:val="18"/>
          <w:szCs w:val="18"/>
        </w:rPr>
        <w:t xml:space="preserve">L. Zhang, H. Kan, and H. Huang. Patient-centered cross-enterprise document sharing and dynamic consent framework using consortium blockchain and ciphertext-policy attribute-based encryption. ACM International Conference Proceeding Series, 2022. doi:10.1145/3528416.3530228</w:t>
      </w:r>
    </w:p>
    <w:p>
      <w:pPr>
        <w:tabs>
          <w:tab w:val="left" w:pos="560"/>
        </w:tabs>
        <w:spacing w:after="50" w:line="240"/>
        <w:ind w:left="560" w:hanging="560"/>
        <w:jc w:val="left"/>
      </w:pPr>
      <w:r>
        <w:rPr>
          <w:rFonts w:ascii="Times New Roman" w:cs="Times New Roman" w:eastAsia="Times New Roman" w:hAnsi="Times New Roman"/>
          <w:sz w:val="18"/>
          <w:szCs w:val="18"/>
        </w:rPr>
        <w:t xml:space="preserve">[66]	</w:t>
      </w:r>
      <w:r>
        <w:rPr>
          <w:rFonts w:ascii="Times New Roman" w:cs="Times New Roman" w:eastAsia="Times New Roman" w:hAnsi="Times New Roman"/>
          <w:sz w:val="18"/>
          <w:szCs w:val="18"/>
        </w:rPr>
        <w:t xml:space="preserve">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tabs>
          <w:tab w:val="left" w:pos="560"/>
        </w:tabs>
        <w:spacing w:after="50" w:line="240"/>
        <w:ind w:left="560" w:hanging="560"/>
        <w:jc w:val="left"/>
      </w:pPr>
      <w:r>
        <w:rPr>
          <w:rFonts w:ascii="Times New Roman" w:cs="Times New Roman" w:eastAsia="Times New Roman" w:hAnsi="Times New Roman"/>
          <w:sz w:val="18"/>
          <w:szCs w:val="18"/>
        </w:rPr>
        <w:t xml:space="preserve">[67]	</w:t>
      </w:r>
      <w:r>
        <w:rPr>
          <w:rFonts w:ascii="Times New Roman" w:cs="Times New Roman" w:eastAsia="Times New Roman" w:hAnsi="Times New Roman"/>
          <w:sz w:val="18"/>
          <w:szCs w:val="18"/>
        </w:rPr>
        <w:t xml:space="preserve">N.M. Sawant and J. Gomes. A Decentralized Solution for Smarter and Safer Healthcare Systems with FabricMedChain. Iranian Journal of Science and Technology, Transactions of Electrical Engineering, 2026. doi:10.1007/s40998-025-00994-0</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2df1687083c1aa86c90931669619b25666899b.png"/><Relationship Id="rId9" Type="http://schemas.openxmlformats.org/officeDocument/2006/relationships/image" Target="media/a6d5cbc4c29a5ba7ae40e4643094327da1a45063.png"/><Relationship Id="rId10" Type="http://schemas.openxmlformats.org/officeDocument/2006/relationships/image" Target="media/7f691d763dba86ee49b25518e490fe406bd1e793.png"/><Relationship Id="rId11" Type="http://schemas.openxmlformats.org/officeDocument/2006/relationships/image" Target="media/0fc1020c5f2d577fb45977f6ee9d775a5b66ce0a.png"/><Relationship Id="rId12" Type="http://schemas.openxmlformats.org/officeDocument/2006/relationships/image" Target="media/39225f74fe21ad7e7b7c1673918fe98415414719.png"/><Relationship Id="rId13" Type="http://schemas.openxmlformats.org/officeDocument/2006/relationships/image" Target="media/9becb05c4a6101f5d421517f324e978051b8cf09.png"/><Relationship Id="rId14" Type="http://schemas.openxmlformats.org/officeDocument/2006/relationships/image" Target="media/6f692c439de61f2c2064c85f12b2c7408b6da610.png"/><Relationship Id="rId15" Type="http://schemas.openxmlformats.org/officeDocument/2006/relationships/image" Target="media/efcb745b76bd75b54bf53f1c859df350299a2c6a.png"/><Relationship Id="rId16" Type="http://schemas.openxmlformats.org/officeDocument/2006/relationships/image" Target="media/11081a2422bebced6d030d22f0ebf13798832173.png"/><Relationship Id="rId17" Type="http://schemas.openxmlformats.org/officeDocument/2006/relationships/image" Target="media/cb3ff9df210f6ca37563bb96441f27f5987b686b.png"/><Relationship Id="rId18" Type="http://schemas.openxmlformats.org/officeDocument/2006/relationships/image" Target="media/70806ca075a018d1832052673cf0a8a54f10cc25.png"/><Relationship Id="rId19" Type="http://schemas.openxmlformats.org/officeDocument/2006/relationships/image" Target="media/4eba5d9267467f413da1872413e65d2897ea5f8d.png"/><Relationship Id="rId20" Type="http://schemas.openxmlformats.org/officeDocument/2006/relationships/image" Target="media/1a88f385ea18ee24f3143e2be805b94b95340d8c.png"/><Relationship Id="rId21" Type="http://schemas.openxmlformats.org/officeDocument/2006/relationships/image" Target="media/9d7e95eb43f6e9e653dbde9cb6afb2c4db7f0f36.png"/><Relationship Id="rId22" Type="http://schemas.openxmlformats.org/officeDocument/2006/relationships/image" Target="media/3b43f208c34e619a9b1fcd7a8da9990014f117c8.png"/><Relationship Id="rId23" Type="http://schemas.openxmlformats.org/officeDocument/2006/relationships/image" Target="media/00d6986401b6325763b2855292d411f63286ea76.png"/><Relationship Id="rId24" Type="http://schemas.openxmlformats.org/officeDocument/2006/relationships/image" Target="media/a5b9b3ccbbdd73d6bbf6c105cedc858a5966b7f9.png"/><Relationship Id="rId25" Type="http://schemas.openxmlformats.org/officeDocument/2006/relationships/image" Target="media/551744d4db41183fe0c9b4d913479007233462c1.png"/><Relationship Id="rId26" Type="http://schemas.openxmlformats.org/officeDocument/2006/relationships/image" Target="media/379af060121c595b8dab938b017503bf01d94543.png"/><Relationship Id="rId27" Type="http://schemas.openxmlformats.org/officeDocument/2006/relationships/image" Target="media/437d3b5dafb646c4afc365beb5e51e2de16280e2.png"/><Relationship Id="rId28" Type="http://schemas.openxmlformats.org/officeDocument/2006/relationships/image" Target="media/f0af766d9de14575067307b6f7dccaf71ca25b88.png"/><Relationship Id="rId29" Type="http://schemas.openxmlformats.org/officeDocument/2006/relationships/image" Target="media/32a920cb8d148805391dcda55782af93c6edfd51.png"/><Relationship Id="rId30" Type="http://schemas.openxmlformats.org/officeDocument/2006/relationships/image" Target="media/06dd8d4f71199a2b46751bf3ced20974c9f60efc.png"/><Relationship Id="rId31" Type="http://schemas.openxmlformats.org/officeDocument/2006/relationships/image" Target="media/4315c9b43325fa22d4a470efde68b53ff388ded2.png"/><Relationship Id="rId32" Type="http://schemas.openxmlformats.org/officeDocument/2006/relationships/image" Target="media/8d37ec6dfd7b5ada41ed458b574790aaa33c10b0.png"/><Relationship Id="rId33" Type="http://schemas.openxmlformats.org/officeDocument/2006/relationships/image" Target="media/5d3d88fec89ad26a975f334cd92619aa2ce50806.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CA2 Report: A Trusted Authorization Framework for Multi-Party Patient Consent in Healthcare Data Sharing</dc:title>
  <dc:creator>Yasir Dhaifallah O Alyoubi</dc:creator>
  <cp:lastModifiedBy>Un-named</cp:lastModifiedBy>
  <cp:revision>1</cp:revision>
  <dcterms:created xsi:type="dcterms:W3CDTF">2026-10-03T13:36:15.010Z</dcterms:created>
  <dcterms:modified xsi:type="dcterms:W3CDTF">2026-10-03T13:36:15.010Z</dcterms:modified>
</cp:coreProperties>
</file>

<file path=docProps/custom.xml><?xml version="1.0" encoding="utf-8"?>
<Properties xmlns="http://schemas.openxmlformats.org/officeDocument/2006/custom-properties" xmlns:vt="http://schemas.openxmlformats.org/officeDocument/2006/docPropsVTypes"/>
</file>