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trike/>
          <w:color w:val="FF0000"/>
          <w:sz w:val="22"/>
          <w:szCs w:val="22"/>
        </w:rPr>
        <w:t xml:space="preserve">The digitalisation of society has created an increasing demand for secure and trustworthy data sharing</w:t>
      </w:r>
      <w:r>
        <w:rPr>
          <w:rFonts w:ascii="Times New Roman" w:cs="Times New Roman" w:eastAsia="Times New Roman" w:hAnsi="Times New Roman"/>
          <w:color w:val="FF0000"/>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Although digital transformation creates significant opportunities for collaboration and service innovation, it also introduces a fundamental governance challenge</w:t>
      </w:r>
      <w:r>
        <w:rPr>
          <w:rFonts w:ascii="Times New Roman" w:cs="Times New Roman" w:eastAsia="Times New Roman" w:hAnsi="Times New Roman"/>
          <w:color w:val="FF0000"/>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trike/>
          <w:color w:val="FF0000"/>
          <w:sz w:val="22"/>
          <w:szCs w:val="22"/>
        </w:rPr>
        <w:t xml:space="preserve">Healthcare represents a particularly important and challenging example of this broader problem.</w:t>
      </w:r>
      <w:r>
        <w:rPr>
          <w:rFonts w:ascii="Times New Roman" w:cs="Times New Roman" w:eastAsia="Times New Roman" w:hAnsi="Times New Roman"/>
          <w:color w:val="FF0000"/>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scenarios demonstrate that authorisation is increasingly a distributed governance problem rather than simply a process of authenticating a user and checking a static permission</w:t>
      </w:r>
      <w:r>
        <w:rPr>
          <w:rFonts w:ascii="Times New Roman" w:cs="Times New Roman" w:eastAsia="Times New Roman" w:hAnsi="Times New Roman"/>
          <w:color w:val="FF0000"/>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trike/>
          <w:color w:val="FF0000"/>
          <w:sz w:val="22"/>
          <w:szCs w:val="22"/>
        </w:rPr>
        <w:t xml:space="preserve">This requires a transition from viewing consent as a static record of permission towards understanding consent as an active and evaluable component of a broader authorisation process</w:t>
      </w:r>
      <w:r>
        <w:rPr>
          <w:rFonts w:ascii="Times New Roman" w:cs="Times New Roman" w:eastAsia="Times New Roman" w:hAnsi="Times New Roman"/>
          <w:color w:val="FF0000"/>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trike/>
          <w:color w:val="FF0000"/>
          <w:sz w:val="22"/>
          <w:szCs w:val="22"/>
        </w:rPr>
        <w:t xml:space="preserve">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color w:val="FF0000"/>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trike/>
          <w:color w:val="FF0000"/>
          <w:sz w:val="22"/>
          <w:szCs w:val="22"/>
        </w:rPr>
        <w:t xml:space="preserve">The objective of the review is not simply to identify technologies that can be applied to healthcare data sharing, but to examine</w:t>
      </w:r>
      <w:r>
        <w:rPr>
          <w:rFonts w:ascii="Times New Roman" w:cs="Times New Roman" w:eastAsia="Times New Roman" w:hAnsi="Times New Roman"/>
          <w:color w:val="FF0000"/>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trike/>
          <w:color w:val="FF0000"/>
          <w:sz w:val="22"/>
          <w:szCs w:val="22"/>
        </w:rPr>
        <w:t xml:space="preserve">This fragmentation creates an important distinction between the availability of security mechanisms and the ability to construct a unified and trustworthy authorisation decision.</w:t>
      </w:r>
      <w:r>
        <w:rPr>
          <w:rFonts w:ascii="Times New Roman" w:cs="Times New Roman" w:eastAsia="Times New Roman" w:hAnsi="Times New Roman"/>
          <w:color w:val="FF0000"/>
          <w:sz w:val="22"/>
          <w:szCs w:val="22"/>
        </w:rPr>
        <w:t xml:space="preserve">Having the security mechanisms is one thing</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trike/>
          <w:color w:val="FF0000"/>
          <w:sz w:val="22"/>
          <w:szCs w:val="22"/>
        </w:rPr>
        <w:t xml:space="preserve">We screened, coded, and assessed every record,</w:t>
      </w:r>
      <w:r>
        <w:rPr>
          <w:rFonts w:ascii="Times New Roman" w:cs="Times New Roman" w:eastAsia="Times New Roman" w:hAnsi="Times New Roman"/>
          <w:color w:val="FF0000"/>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trike/>
          <w:color w:val="FF0000"/>
          <w:sz w:val="22"/>
          <w:szCs w:val="22"/>
        </w:rPr>
        <w:t xml:space="preserve">These questions were formulated to ensure that the review remained directly aligned with the technical objectives of the proposed system.</w:t>
      </w:r>
      <w:r>
        <w:rPr>
          <w:rFonts w:ascii="Times New Roman" w:cs="Times New Roman" w:eastAsia="Times New Roman" w:hAnsi="Times New Roman"/>
          <w:color w:val="FF0000"/>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trike/>
          <w:color w:val="FF0000"/>
          <w:sz w:val="22"/>
          <w:szCs w:val="22"/>
        </w:rPr>
        <w:t xml:space="preserve">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trike/>
          <w:color w:val="FF0000"/>
          <w:sz w:val="22"/>
          <w:szCs w:val="22"/>
        </w:rPr>
        <w:t xml:space="preserve">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Access control becomes more complex when policies must be connected directly to a decentralised consent process.</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w:t>
      </w:r>
      <w:r>
        <w:rPr>
          <w:rFonts w:ascii="Times New Roman" w:cs="Times New Roman" w:eastAsia="Times New Roman" w:hAnsi="Times New Roman"/>
          <w:strike/>
          <w:color w:val="FF0000"/>
          <w:sz w:val="22"/>
          <w:szCs w:val="22"/>
        </w:rPr>
        <w:t xml:space="preserve">(2026a)</w:t>
      </w:r>
      <w:r>
        <w:rPr>
          <w:rFonts w:ascii="Times New Roman" w:cs="Times New Roman" w:eastAsia="Times New Roman" w:hAnsi="Times New Roman"/>
          <w:strike/>
          <w:color w:val="FF0000"/>
          <w:sz w:val="22"/>
          <w:szCs w:val="22"/>
        </w:rPr>
        <w:t xml:space="preserve">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trike/>
          <w:color w:val="FF0000"/>
          <w:sz w:val="22"/>
          <w:szCs w:val="22"/>
        </w:rPr>
        <w:t xml:space="preserve">We observed an inverse relation between predicate breadth and assurance strength</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2.3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trike/>
          <w:color w:val="FF0000"/>
          <w:sz w:val="22"/>
          <w:szCs w:val="22"/>
        </w:rPr>
        <w:t xml:space="preserve">The reviewed literature demonstrates that existing approaches provide strong solutions for individual dimensions of trustworthy data sharing. These contributions address different layers of the security problem.</w:t>
      </w:r>
      <w:r>
        <w:rPr>
          <w:rFonts w:ascii="Times New Roman" w:cs="Times New Roman" w:eastAsia="Times New Roman" w:hAnsi="Times New Roman"/>
          <w:color w:val="FF0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trike/>
          <w:color w:val="FF0000"/>
          <w:sz w:val="22"/>
          <w:szCs w:val="22"/>
        </w:rPr>
        <w:t xml:space="preserve">The comparison indicates that the principal contribution of the proposed research is not the replacement of existing technologies. Rather, it lies in establishing an explicit conceptual relationship among them.</w:t>
      </w:r>
      <w:r>
        <w:rPr>
          <w:rFonts w:ascii="Times New Roman" w:cs="Times New Roman" w:eastAsia="Times New Roman" w:hAnsi="Times New Roman"/>
          <w:color w:val="FF0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trike/>
          <w:color w:val="FF0000"/>
          <w:sz w:val="22"/>
          <w:szCs w:val="22"/>
        </w:rPr>
        <w:t xml:space="preserve">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trike/>
          <w:color w:val="FF0000"/>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w:t>
      </w:r>
      <w:r>
        <w:rPr>
          <w:rFonts w:ascii="Times New Roman" w:cs="Times New Roman" w:eastAsia="Times New Roman" w:hAnsi="Times New Roman"/>
          <w:color w:val="FF0000"/>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trike/>
          <w:color w:val="FF0000"/>
          <w:sz w:val="22"/>
          <w:szCs w:val="22"/>
        </w:rPr>
        <w:t xml:space="preserve">The central gap is therefore not the absence of technologies for recording consent, verifying identity, or restricting data access. Rather, it is the absence of a sufficiently integrated model</w:t>
      </w:r>
      <w:r>
        <w:rPr>
          <w:rFonts w:ascii="Times New Roman" w:cs="Times New Roman" w:eastAsia="Times New Roman" w:hAnsi="Times New Roman"/>
          <w:color w:val="FF0000"/>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trike/>
          <w:color w:val="FF0000"/>
          <w:sz w:val="22"/>
          <w:szCs w:val="22"/>
        </w:rPr>
        <w:t xml:space="preserve">Recording consent and enforcing trustworthy authorisation represent fundamentally different security problems.</w:t>
      </w:r>
      <w:r>
        <w:rPr>
          <w:rFonts w:ascii="Times New Roman" w:cs="Times New Roman" w:eastAsia="Times New Roman" w:hAnsi="Times New Roman"/>
          <w:color w:val="FF0000"/>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trike/>
          <w:color w:val="FF0000"/>
          <w:sz w:val="22"/>
          <w:szCs w:val="22"/>
        </w:rPr>
        <w:t xml:space="preserve">The research therefore conceptualises trust not as a static attribute possessed by a particular entity or technology, but as an emergent property of a verifiable authorisation process.</w:t>
      </w:r>
      <w:r>
        <w:rPr>
          <w:rFonts w:ascii="Times New Roman" w:cs="Times New Roman" w:eastAsia="Times New Roman" w:hAnsi="Times New Roman"/>
          <w:color w:val="FF0000"/>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trike/>
          <w:color w:val="FF0000"/>
          <w:sz w:val="22"/>
          <w:szCs w:val="22"/>
        </w:rPr>
        <w:t xml:space="preserve">Existing healthcare consent and access-control research provides many of the necessary technological building blocks, but there remains a need for an integrated Trust Computing framework</w:t>
      </w:r>
      <w:r>
        <w:rPr>
          <w:rFonts w:ascii="Times New Roman" w:cs="Times New Roman" w:eastAsia="Times New Roman" w:hAnsi="Times New Roman"/>
          <w:color w:val="FF0000"/>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trike/>
          <w:color w:val="FF0000"/>
          <w:sz w:val="22"/>
          <w:szCs w:val="22"/>
        </w:rPr>
        <w:t xml:space="preserve">The six questions collectively establish a progression from consent modelling to formal security assurance and empirical validation.</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trike/>
          <w:color w:val="FF0000"/>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w:t>
      </w:r>
      <w:r>
        <w:rPr>
          <w:rFonts w:ascii="Times New Roman" w:cs="Times New Roman" w:eastAsia="Times New Roman" w:hAnsi="Times New Roman"/>
          <w:color w:val="FF0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trike/>
          <w:color w:val="FF0000"/>
          <w:sz w:val="22"/>
          <w:szCs w:val="22"/>
        </w:rPr>
        <w:t xml:space="preserve">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color w:val="FF0000"/>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trike/>
          <w:color w:val="FF0000"/>
          <w:sz w:val="22"/>
          <w:szCs w:val="22"/>
        </w:rPr>
        <w:t xml:space="preserve">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FF0000"/>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trike/>
          <w:color w:val="FF0000"/>
          <w:sz w:val="22"/>
          <w:szCs w:val="22"/>
        </w:rPr>
        <w:t xml:space="preserve">However, the MVC architecture is not used merely as a conventional software engineering pattern for separating data, interfaces, and application logic. Within the proposed framework, MVC is extended to support a more fundamental separation</w:t>
      </w:r>
      <w:r>
        <w:rPr>
          <w:rFonts w:ascii="Times New Roman" w:cs="Times New Roman" w:eastAsia="Times New Roman" w:hAnsi="Times New Roman"/>
          <w:color w:val="FF0000"/>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trike/>
          <w:color w:val="FF0000"/>
          <w:sz w:val="22"/>
          <w:szCs w:val="22"/>
        </w:rPr>
        <w:t xml:space="preserve">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trike/>
          <w:color w:val="FF0000"/>
          <w:sz w:val="22"/>
          <w:szCs w:val="22"/>
        </w:rPr>
        <w:t xml:space="preserve">Instead, the authorisation decision must emerge from the coordinated evaluation of independently verifiable security conditions.</w:t>
      </w:r>
      <w:r>
        <w:rPr>
          <w:rFonts w:ascii="Times New Roman" w:cs="Times New Roman" w:eastAsia="Times New Roman" w:hAnsi="Times New Roman"/>
          <w:color w:val="FF0000"/>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trike/>
          <w:color w:val="FF0000"/>
          <w:sz w:val="22"/>
          <w:szCs w:val="22"/>
        </w:rPr>
        <w:t xml:space="preserve">This distinction is important for the interpretation of the architecture</w:t>
      </w:r>
      <w:r>
        <w:rPr>
          <w:rFonts w:ascii="Times New Roman" w:cs="Times New Roman" w:eastAsia="Times New Roman" w:hAnsi="Times New Roman"/>
          <w:color w:val="FF0000"/>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trike/>
          <w:color w:val="FF0000"/>
          <w:sz w:val="22"/>
          <w:szCs w:val="22"/>
        </w:rPr>
        <w:t xml:space="preserve">Importantly, the framework explicitly separates identity authentication from authorisation.</w:t>
      </w:r>
      <w:r>
        <w:rPr>
          <w:rFonts w:ascii="Times New Roman" w:cs="Times New Roman" w:eastAsia="Times New Roman" w:hAnsi="Times New Roman"/>
          <w:color w:val="FF0000"/>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trike/>
          <w:color w:val="FF0000"/>
          <w:sz w:val="22"/>
          <w:szCs w:val="22"/>
        </w:rPr>
        <w:t xml:space="preserve">This step addresses an important limitation of identity-based and approval-based access control:</w:t>
      </w:r>
      <w:r>
        <w:rPr>
          <w:rFonts w:ascii="Times New Roman" w:cs="Times New Roman" w:eastAsia="Times New Roman" w:hAnsi="Times New Roman"/>
          <w:color w:val="FF0000"/>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trike/>
          <w:color w:val="FF0000"/>
          <w:sz w:val="22"/>
          <w:szCs w:val="22"/>
        </w:rPr>
        <w:t xml:space="preserve">Similarly, the requested purpose must be consistent with the purpose specified in the consent.</w:t>
      </w:r>
      <w:r>
        <w:rPr>
          <w:rFonts w:ascii="Times New Roman" w:cs="Times New Roman" w:eastAsia="Times New Roman" w:hAnsi="Times New Roman"/>
          <w:color w:val="FF0000"/>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color w:val="FF0000"/>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color w:val="FF0000"/>
          <w:sz w:val="24"/>
          <w:szCs w:val="24"/>
        </w:rPr>
        <w:t xml:space="preserve"> (conceptual and prototype level)</w:t>
      </w:r>
    </w:p>
    <w:p>
      <w:pPr>
        <w:spacing w:after="110" w:line="264"/>
        <w:jc w:val="both"/>
      </w:pPr>
      <w:r>
        <w:rPr>
          <w:rFonts w:ascii="Times New Roman" w:cs="Times New Roman" w:eastAsia="Times New Roman" w:hAnsi="Times New Roman"/>
          <w:color w:val="FF0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trike/>
          <w:color w:val="FF0000"/>
          <w:sz w:val="22"/>
          <w:szCs w:val="22"/>
        </w:rPr>
        <w:t xml:space="preserve">The resulting object therefore captures not only the patient's preference but also the evidence required to support subsequent authorisation decisions.</w:t>
      </w:r>
      <w:r>
        <w:rPr>
          <w:rFonts w:ascii="Times New Roman" w:cs="Times New Roman" w:eastAsia="Times New Roman" w:hAnsi="Times New Roman"/>
          <w:color w:val="FF0000"/>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trike/>
          <w:color w:val="FF0000"/>
          <w:sz w:val="22"/>
          <w:szCs w:val="22"/>
        </w:rPr>
        <w:t xml:space="preserve">This sequence ensures that consent is created only after the relevant identity, authority, purpose, scope, and temporal constraints have been validated.</w:t>
      </w:r>
      <w:r>
        <w:rPr>
          <w:rFonts w:ascii="Times New Roman" w:cs="Times New Roman" w:eastAsia="Times New Roman" w:hAnsi="Times New Roman"/>
          <w:color w:val="FF0000"/>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trike/>
          <w:color w:val="FF0000"/>
          <w:sz w:val="22"/>
          <w:szCs w:val="22"/>
        </w:rPr>
        <w:t xml:space="preserve">This distinction is important because the research treats consent as a structured policy-bound object rather than as a simple Boolean permission.</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trike/>
          <w:color w:val="FF0000"/>
          <w:sz w:val="22"/>
          <w:szCs w:val="22"/>
        </w:rPr>
        <w:t xml:space="preserve">The main contribution of RO1 is the transformation of consent from a static permission record into a structured authorisation object. The current result demonstrates that consent can be represented as an evaluable authorisation object rather than as a binary permission.</w:t>
      </w:r>
      <w:r>
        <w:rPr>
          <w:rFonts w:ascii="Times New Roman" w:cs="Times New Roman" w:eastAsia="Times New Roman" w:hAnsi="Times New Roman"/>
          <w:color w:val="FF0000"/>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color w:val="FF0000"/>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color w:val="FF0000"/>
          <w:sz w:val="24"/>
          <w:szCs w:val="24"/>
        </w:rPr>
        <w:t xml:space="preserve"> (conceptual and prototype level)</w:t>
      </w:r>
    </w:p>
    <w:p>
      <w:pPr>
        <w:spacing w:after="110" w:line="264"/>
        <w:jc w:val="both"/>
      </w:pPr>
      <w:r>
        <w:rPr>
          <w:rFonts w:ascii="Times New Roman" w:cs="Times New Roman" w:eastAsia="Times New Roman" w:hAnsi="Times New Roman"/>
          <w:color w:val="FF0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color w:val="FF0000"/>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trike/>
          <w:color w:val="FF0000"/>
          <w:sz w:val="22"/>
          <w:szCs w:val="22"/>
        </w:rPr>
        <w:t xml:space="preserve">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trike/>
          <w:color w:val="FF0000"/>
          <w:sz w:val="22"/>
          <w:szCs w:val="22"/>
        </w:rPr>
        <w:t xml:space="preserve">This mechanism contributes to the trust-oriented framework by converting identity and authority claims into verifiable evidence.</w:t>
      </w:r>
      <w:r>
        <w:rPr>
          <w:rFonts w:ascii="Times New Roman" w:cs="Times New Roman" w:eastAsia="Times New Roman" w:hAnsi="Times New Roman"/>
          <w:color w:val="FF0000"/>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color w:val="FF0000"/>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color w:val="FF0000"/>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color w:val="FF0000"/>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trike/>
          <w:color w:val="FF0000"/>
          <w:sz w:val="22"/>
          <w:szCs w:val="22"/>
        </w:rPr>
        <w:t xml:space="preserve">Decentralised identity systems with multi-party verification have demonstrated the potential to strengthen the process through which identity claims are established or validated</w:t>
      </w:r>
      <w:r>
        <w:rPr>
          <w:rFonts w:ascii="Times New Roman" w:cs="Times New Roman" w:eastAsia="Times New Roman" w:hAnsi="Times New Roman"/>
          <w:color w:val="FF0000"/>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trike/>
          <w:color w:val="FF0000"/>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color w:val="FF0000"/>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color w:val="FF0000"/>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color w:val="FF0000"/>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color w:val="FF0000"/>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trike/>
          <w:color w:val="FF0000"/>
          <w:sz w:val="22"/>
          <w:szCs w:val="22"/>
        </w:rPr>
        <w:t xml:space="preserve">Importantly, both successful and denied decisions should be recorded because a trustworthy authorisation framework requires accountability not only for data that were released but also for access attempts that were rejected.</w:t>
      </w:r>
      <w:r>
        <w:rPr>
          <w:rFonts w:ascii="Times New Roman" w:cs="Times New Roman" w:eastAsia="Times New Roman" w:hAnsi="Times New Roman"/>
          <w:color w:val="FF0000"/>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trike/>
          <w:color w:val="FF0000"/>
          <w:sz w:val="22"/>
          <w:szCs w:val="22"/>
        </w:rPr>
        <w:t xml:space="preserve">requested purpose</w:t>
      </w:r>
      <w:r>
        <w:rPr>
          <w:rFonts w:ascii="Times New Roman" w:cs="Times New Roman" w:eastAsia="Times New Roman" w:hAnsi="Times New Roman"/>
          <w:color w:val="FF0000"/>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color w:val="FF0000"/>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trike/>
          <w:color w:val="FF0000"/>
          <w:sz w:val="22"/>
          <w:szCs w:val="22"/>
        </w:rPr>
        <w:t xml:space="preserve">This step is particularly important for fine-grained healthcare data access because authorisation to access one category of healthcare information does not imply authorisation to access all categories</w:t>
      </w:r>
      <w:r>
        <w:rPr>
          <w:rFonts w:ascii="Times New Roman" w:cs="Times New Roman" w:eastAsia="Times New Roman" w:hAnsi="Times New Roman"/>
          <w:color w:val="FF0000"/>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trike/>
          <w:color w:val="FF0000"/>
          <w:sz w:val="22"/>
          <w:szCs w:val="22"/>
        </w:rPr>
        <w:t xml:space="preserve">This ordering is important because it prevents the system from treating identity validity or collective approval as unrestricted permission.</w:t>
      </w:r>
      <w:r>
        <w:rPr>
          <w:rFonts w:ascii="Times New Roman" w:cs="Times New Roman" w:eastAsia="Times New Roman" w:hAnsi="Times New Roman"/>
          <w:color w:val="FF0000"/>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color w:val="FF0000"/>
          <w:sz w:val="22"/>
          <w:szCs w:val="22"/>
        </w:rPr>
        <w:t xml:space="preserve"> The circuit is written in circom </w:t>
      </w:r>
      <w:r>
        <w:rPr>
          <w:rFonts w:ascii="Times New Roman" w:cs="Times New Roman" w:eastAsia="Times New Roman" w:hAnsi="Times New Roman"/>
          <w:color w:val="FF0000"/>
          <w:sz w:val="22"/>
          <w:szCs w:val="22"/>
        </w:rPr>
        <w:t xml:space="preserve">(iden3 2026b)</w:t>
      </w:r>
      <w:r>
        <w:rPr>
          <w:rFonts w:ascii="Times New Roman" w:cs="Times New Roman" w:eastAsia="Times New Roman" w:hAnsi="Times New Roman"/>
          <w:color w:val="FF0000"/>
          <w:sz w:val="22"/>
          <w:szCs w:val="22"/>
        </w:rPr>
        <w:t xml:space="preserve">, and the proof is generated and verified with snarkjs </w:t>
      </w:r>
      <w:r>
        <w:rPr>
          <w:rFonts w:ascii="Times New Roman" w:cs="Times New Roman" w:eastAsia="Times New Roman" w:hAnsi="Times New Roman"/>
          <w:color w:val="FF0000"/>
          <w:sz w:val="22"/>
          <w:szCs w:val="22"/>
        </w:rPr>
        <w:t xml:space="preserve">(iden3 2026a)</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color w:val="FF0000"/>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color w:val="FF0000"/>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trike/>
          <w:color w:val="FF0000"/>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r>
        <w:rPr>
          <w:rFonts w:ascii="Times New Roman" w:cs="Times New Roman" w:eastAsia="Times New Roman" w:hAnsi="Times New Roman"/>
          <w:strike/>
          <w:color w:val="FF0000"/>
          <w:sz w:val="22"/>
          <w:szCs w:val="22"/>
        </w:rPr>
        <w:t xml:space="preserve">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trike/>
          <w:color w:val="FF0000"/>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w:t>
      </w:r>
      <w:r>
        <w:rPr>
          <w:rFonts w:ascii="Times New Roman" w:cs="Times New Roman" w:eastAsia="Times New Roman" w:hAnsi="Times New Roman"/>
          <w:color w:val="FF0000"/>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trike/>
          <w:color w:val="FF0000"/>
          <w:sz w:val="22"/>
          <w:szCs w:val="22"/>
        </w:rPr>
        <w:t xml:space="preserve">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FF0000"/>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trike/>
          <w:color w:val="FF0000"/>
          <w:sz w:val="22"/>
          <w:szCs w:val="22"/>
        </w:rPr>
        <w:t xml:space="preserve">This work will be a major part of the next stage.</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color w:val="FF0000"/>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trike/>
          <w:color w:val="FF0000"/>
          <w:sz w:val="22"/>
          <w:szCs w:val="22"/>
        </w:rPr>
        <w:t xml:space="preserve">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trike/>
          <w:color w:val="FF0000"/>
          <w:sz w:val="22"/>
          <w:szCs w:val="22"/>
        </w:rPr>
        <w:t xml:space="preserve">This procedure establishes a distinction between functional correctness and security correctness.</w:t>
      </w:r>
      <w:r>
        <w:rPr>
          <w:rFonts w:ascii="Times New Roman" w:cs="Times New Roman" w:eastAsia="Times New Roman" w:hAnsi="Times New Roman"/>
          <w:color w:val="FF0000"/>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trike/>
          <w:color w:val="FF0000"/>
          <w:sz w:val="22"/>
          <w:szCs w:val="22"/>
        </w:rPr>
        <w:t xml:space="preserve">or when the requested purpose or data scope violates the consent policy</w:t>
      </w:r>
      <w:r>
        <w:rPr>
          <w:rFonts w:ascii="Times New Roman" w:cs="Times New Roman" w:eastAsia="Times New Roman" w:hAnsi="Times New Roman"/>
          <w:color w:val="FF0000"/>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FF0000"/>
          <w:sz w:val="22"/>
          <w:szCs w:val="22"/>
        </w:rPr>
        <w:t xml:space="preserve">The prototype uses synthetic patient records from the Synthea 1K sample </w:t>
      </w:r>
      <w:r>
        <w:rPr>
          <w:rFonts w:ascii="Times New Roman" w:cs="Times New Roman" w:eastAsia="Times New Roman" w:hAnsi="Times New Roman"/>
          <w:color w:val="FF0000"/>
          <w:sz w:val="22"/>
          <w:szCs w:val="22"/>
        </w:rPr>
        <w:t xml:space="preserve">(Walonoski et al. 2018)</w:t>
      </w:r>
      <w:r>
        <w:rPr>
          <w:rFonts w:ascii="Times New Roman" w:cs="Times New Roman" w:eastAsia="Times New Roman" w:hAnsi="Times New Roman"/>
          <w:color w:val="FF0000"/>
          <w:sz w:val="22"/>
          <w:szCs w:val="22"/>
        </w:rPr>
        <w:t xml:space="preserve">, taken from synthea.mitre.org in its CSV export rather than its FHIR R4 export </w:t>
      </w:r>
      <w:r>
        <w:rPr>
          <w:rFonts w:ascii="Times New Roman" w:cs="Times New Roman" w:eastAsia="Times New Roman" w:hAnsi="Times New Roman"/>
          <w:color w:val="FF0000"/>
          <w:sz w:val="22"/>
          <w:szCs w:val="22"/>
        </w:rPr>
        <w:t xml:space="preserve">(HL7 International 2019)</w:t>
      </w:r>
      <w:r>
        <w:rPr>
          <w:rFonts w:ascii="Times New Roman" w:cs="Times New Roman" w:eastAsia="Times New Roman" w:hAnsi="Times New Roman"/>
          <w:color w:val="FF0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trike/>
          <w:color w:val="FF0000"/>
          <w:sz w:val="22"/>
          <w:szCs w:val="22"/>
        </w:rPr>
        <w:t xml:space="preserve">role-based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color w:val="FF0000"/>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color w:val="FF0000"/>
          <w:sz w:val="22"/>
          <w:szCs w:val="22"/>
        </w:rPr>
        <w:t xml:space="preserve">, a contract written in Solidity </w:t>
      </w:r>
      <w:r>
        <w:rPr>
          <w:rFonts w:ascii="Times New Roman" w:cs="Times New Roman" w:eastAsia="Times New Roman" w:hAnsi="Times New Roman"/>
          <w:color w:val="FF0000"/>
          <w:sz w:val="22"/>
          <w:szCs w:val="22"/>
        </w:rPr>
        <w:t xml:space="preserve">(Ethereum Foundation 2026a)</w:t>
      </w:r>
      <w:r>
        <w:rPr>
          <w:rFonts w:ascii="Times New Roman" w:cs="Times New Roman" w:eastAsia="Times New Roman" w:hAnsi="Times New Roman"/>
          <w:color w:val="FF0000"/>
          <w:sz w:val="22"/>
          <w:szCs w:val="22"/>
        </w:rPr>
        <w:t xml:space="preserve"> for the Ethereum virtual machine </w:t>
      </w:r>
      <w:r>
        <w:rPr>
          <w:rFonts w:ascii="Times New Roman" w:cs="Times New Roman" w:eastAsia="Times New Roman" w:hAnsi="Times New Roman"/>
          <w:color w:val="FF0000"/>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color w:val="FF0000"/>
          <w:sz w:val="22"/>
          <w:szCs w:val="22"/>
        </w:rPr>
        <w:t xml:space="preserve">on the Sepolia testnet </w:t>
      </w:r>
      <w:r>
        <w:rPr>
          <w:rFonts w:ascii="Times New Roman" w:cs="Times New Roman" w:eastAsia="Times New Roman" w:hAnsi="Times New Roman"/>
          <w:color w:val="FF0000"/>
          <w:sz w:val="22"/>
          <w:szCs w:val="22"/>
        </w:rPr>
        <w:t xml:space="preserve">(Ethereum Foundation 2026b)</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color w:val="FF0000"/>
          <w:sz w:val="22"/>
          <w:szCs w:val="22"/>
        </w:rPr>
        <w:t xml:space="preserve"> </w:t>
      </w:r>
      <w:r>
        <w:rPr>
          <w:rFonts w:ascii="Times New Roman" w:cs="Times New Roman" w:eastAsia="Times New Roman" w:hAnsi="Times New Roman"/>
          <w:color w:val="FF0000"/>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trike/>
          <w:color w:val="FF0000"/>
          <w:sz w:val="22"/>
          <w:szCs w:val="22"/>
        </w:rPr>
        <w:t xml:space="preserve">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trike/>
          <w:color w:val="FF0000"/>
          <w:sz w:val="22"/>
          <w:szCs w:val="22"/>
        </w:rPr>
        <w:t xml:space="preserve"> Synthetic healthcare records derived from the Synthea dataset are used to construct representative consent workflows.</w:t>
      </w:r>
      <w:r>
        <w:rPr>
          <w:rFonts w:ascii="Times New Roman" w:cs="Times New Roman" w:eastAsia="Times New Roman" w:hAnsi="Times New Roman"/>
          <w:color w:val="FF0000"/>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11.4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trike/>
          <w:color w:val="FF0000"/>
          <w:sz w:val="22"/>
          <w:szCs w:val="22"/>
        </w:rPr>
        <w:t xml:space="preserve">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w:t>
      </w:r>
      <w:r>
        <w:rPr>
          <w:rFonts w:ascii="Times New Roman" w:cs="Times New Roman" w:eastAsia="Times New Roman" w:hAnsi="Times New Roman"/>
          <w:color w:val="FF0000"/>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 auditor can examine not only whether access occurred, but also whether the requester possessed a valid identity</w:t>
      </w:r>
      <w:r>
        <w:rPr>
          <w:rFonts w:ascii="Times New Roman" w:cs="Times New Roman" w:eastAsia="Times New Roman" w:hAnsi="Times New Roman"/>
          <w:color w:val="FF0000"/>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trike/>
          <w:color w:val="FF0000"/>
          <w:sz w:val="22"/>
          <w:szCs w:val="22"/>
        </w:rPr>
        <w:t xml:space="preserve">The subsystems represent different interaction responsibilities but share the same architectural principle: none of them independently determines whether access should be granted.</w:t>
      </w:r>
      <w:r>
        <w:rPr>
          <w:rFonts w:ascii="Times New Roman" w:cs="Times New Roman" w:eastAsia="Times New Roman" w:hAnsi="Times New Roman"/>
          <w:color w:val="FF0000"/>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trike/>
          <w:color w:val="FF0000"/>
          <w:sz w:val="22"/>
          <w:szCs w:val="22"/>
        </w:rPr>
        <w:t xml:space="preserve">Consequently, validation does not merely determine whether the final output is ALLOW or DENY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trike/>
          <w:color w:val="FF0000"/>
          <w:sz w:val="22"/>
          <w:szCs w:val="22"/>
        </w:rPr>
        <w:t xml:space="preserve"> it also determines whether the underlying evidence is consistent with the decision.</w:t>
      </w:r>
      <w:r>
        <w:rPr>
          <w:rFonts w:ascii="Times New Roman" w:cs="Times New Roman" w:eastAsia="Times New Roman" w:hAnsi="Times New Roman"/>
          <w:color w:val="FF0000"/>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trike/>
          <w:color w:val="FF0000"/>
          <w:sz w:val="22"/>
          <w:szCs w:val="22"/>
        </w:rPr>
        <w:t xml:space="preserve">This confirms that a system may be conceptually correct but incorrectly implemented, or may pass functional tests while failing under invalid or adversarial conditions.</w:t>
      </w:r>
      <w:r>
        <w:rPr>
          <w:rFonts w:ascii="Times New Roman" w:cs="Times New Roman" w:eastAsia="Times New Roman" w:hAnsi="Times New Roman"/>
          <w:color w:val="FF0000"/>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trike/>
          <w:color w:val="FF0000"/>
          <w:sz w:val="22"/>
          <w:szCs w:val="22"/>
        </w:rPr>
        <w:t xml:space="preserve">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FF0000"/>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trike/>
          <w:color w:val="FF0000"/>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FF0000"/>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trike/>
          <w:color w:val="FF0000"/>
          <w:sz w:val="22"/>
          <w:szCs w:val="22"/>
        </w:rPr>
        <w:t xml:space="preserve">Particular attention will be given to the relationship between the formal security model and the observed behaviour of the implemented system.</w:t>
      </w:r>
      <w:r>
        <w:rPr>
          <w:rFonts w:ascii="Times New Roman" w:cs="Times New Roman" w:eastAsia="Times New Roman" w:hAnsi="Times New Roman"/>
          <w:color w:val="FF0000"/>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trike/>
          <w:color w:val="FF0000"/>
          <w:sz w:val="22"/>
          <w:szCs w:val="22"/>
        </w:rPr>
        <w:t xml:space="preserve">The purpose of this work is not merely to demonstrate that the prototype works under normal conditions, but to establish explicit security properties</w:t>
      </w:r>
      <w:r>
        <w:rPr>
          <w:rFonts w:ascii="Times New Roman" w:cs="Times New Roman" w:eastAsia="Times New Roman" w:hAnsi="Times New Roman"/>
          <w:color w:val="FF0000"/>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trike/>
          <w:color w:val="FF0000"/>
          <w:sz w:val="22"/>
          <w:szCs w:val="22"/>
        </w:rPr>
        <w:t xml:space="preserve">will build upon the foundational trust-oriented authorisation framework established during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trike/>
          <w:color w:val="FF0000"/>
          <w:sz w:val="22"/>
          <w:szCs w:val="22"/>
        </w:rPr>
        <w:t xml:space="preserve">current stage and extend the research towards dynamic consent governance, formal security assurance, and comprehensive empirical validation.</w:t>
      </w:r>
      <w:r>
        <w:rPr>
          <w:rFonts w:ascii="Times New Roman" w:cs="Times New Roman" w:eastAsia="Times New Roman" w:hAnsi="Times New Roman"/>
          <w:color w:val="FF0000"/>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2026-10-07T07:45:52.367Z</dcterms:created>
  <dcterms:modified xsi:type="dcterms:W3CDTF">2026-10-07T07:45:52.367Z</dcterms:modified>
</cp:coreProperties>
</file>

<file path=docProps/custom.xml><?xml version="1.0" encoding="utf-8"?>
<Properties xmlns="http://schemas.openxmlformats.org/officeDocument/2006/custom-properties" xmlns:vt="http://schemas.openxmlformats.org/officeDocument/2006/docPropsVTypes"/>
</file>