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51</w:t>
      </w:r>
    </w:p>
    <w:p>
      <w:pPr>
        <w:tabs>
          <w:tab w:val="right" w:pos="9128" w:leader="dot"/>
        </w:tabs>
        <w:spacing w:after="100"/>
      </w:pPr>
      <w:r>
        <w:rPr>
          <w:rFonts w:ascii="Times New Roman" w:cs="Times New Roman" w:eastAsia="Times New Roman" w:hAnsi="Times New Roman"/>
          <w:sz w:val="22"/>
          <w:szCs w:val="22"/>
        </w:rPr>
        <w:t xml:space="preserve">12. Publications Summary	67</w:t>
      </w:r>
    </w:p>
    <w:p>
      <w:pPr>
        <w:tabs>
          <w:tab w:val="right" w:pos="9128" w:leader="dot"/>
        </w:tabs>
        <w:spacing w:after="100"/>
      </w:pPr>
      <w:r>
        <w:rPr>
          <w:rFonts w:ascii="Times New Roman" w:cs="Times New Roman" w:eastAsia="Times New Roman" w:hAnsi="Times New Roman"/>
          <w:sz w:val="22"/>
          <w:szCs w:val="22"/>
        </w:rPr>
        <w:t xml:space="preserve">13. Research Plan	68</w:t>
      </w:r>
    </w:p>
    <w:p>
      <w:pPr>
        <w:tabs>
          <w:tab w:val="right" w:pos="9128" w:leader="dot"/>
        </w:tabs>
        <w:spacing w:after="100"/>
      </w:pPr>
      <w:r>
        <w:rPr>
          <w:rFonts w:ascii="Times New Roman" w:cs="Times New Roman" w:eastAsia="Times New Roman" w:hAnsi="Times New Roman"/>
          <w:sz w:val="22"/>
          <w:szCs w:val="22"/>
        </w:rPr>
        <w:t xml:space="preserve">References	70</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Digital services make collaboration easier, but they also raise a governance question: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w:t>
      </w:r>
      <w:r>
        <w:rPr>
          <w:rFonts w:ascii="Times New Roman" w:cs="Times New Roman" w:eastAsia="Times New Roman" w:hAnsi="Times New Roman"/>
          <w:sz w:val="22"/>
          <w:szCs w:val="22"/>
        </w:rPr>
        <w:t xml:space="preserve">(Kaplow et al. 2024; McClelland &amp; Harper 2023; Narkhede, Wankhede &amp; Kamble 2025; Nazir et al. 2026)</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w:t>
      </w:r>
      <w:r>
        <w:rPr>
          <w:rFonts w:ascii="Times New Roman" w:cs="Times New Roman" w:eastAsia="Times New Roman" w:hAnsi="Times New Roman"/>
          <w:sz w:val="22"/>
          <w:szCs w:val="22"/>
        </w:rPr>
        <w:t xml:space="preserve">(Nazir et al. 2026; Tawfik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these settings, authorisation is a distributed governance problem, not just a check of a user's login and a static permission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while decentralised identifiers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w:t>
      </w:r>
      <w:r>
        <w:rPr>
          <w:rFonts w:ascii="Times New Roman" w:cs="Times New Roman" w:eastAsia="Times New Roman" w:hAnsi="Times New Roman"/>
          <w:sz w:val="22"/>
          <w:szCs w:val="22"/>
        </w:rPr>
        <w:t xml:space="preserve">(Flamini et al. 2024)</w:t>
      </w:r>
      <w:r>
        <w:rPr>
          <w:rFonts w:ascii="Times New Roman" w:cs="Times New Roman" w:eastAsia="Times New Roman" w:hAnsi="Times New Roman"/>
          <w:sz w:val="22"/>
          <w:szCs w:val="22"/>
        </w:rPr>
        <w:t xml:space="preserve">, and policy-based access-control mechanisms can restrict access to authorised resources </w:t>
      </w:r>
      <w:r>
        <w:rPr>
          <w:rFonts w:ascii="Times New Roman" w:cs="Times New Roman" w:eastAsia="Times New Roman" w:hAnsi="Times New Roman"/>
          <w:sz w:val="22"/>
          <w:szCs w:val="22"/>
        </w:rPr>
        <w:t xml:space="preserve">(Andrew et al. 2023; Nazir et al. 2026; Tawfik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Consent must therefore be treated as an active, evaluable part of the authorisation process, not as a static record of permission,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Existing approaches provide important technological components,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w:t>
      </w:r>
      <w:r>
        <w:rPr>
          <w:rFonts w:ascii="Times New Roman" w:cs="Times New Roman" w:eastAsia="Times New Roman" w:hAnsi="Times New Roman"/>
          <w:sz w:val="22"/>
          <w:szCs w:val="22"/>
        </w:rPr>
        <w:t xml:space="preserve">(Madine et al. 2020; Tith et al. 2020)</w:t>
      </w:r>
      <w:r>
        <w:rPr>
          <w:rFonts w:ascii="Times New Roman" w:cs="Times New Roman" w:eastAsia="Times New Roman" w:hAnsi="Times New Roman"/>
          <w:sz w:val="22"/>
          <w:szCs w:val="22"/>
        </w:rPr>
        <w:t xml:space="preserve">,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w:t>
      </w:r>
      <w:r>
        <w:rPr>
          <w:rFonts w:ascii="Times New Roman" w:cs="Times New Roman" w:eastAsia="Times New Roman" w:hAnsi="Times New Roman"/>
          <w:sz w:val="22"/>
          <w:szCs w:val="22"/>
        </w:rPr>
        <w:t xml:space="preserve">(Ferreira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 (SRQ1 to SRQ6, referred to as RQ1 to RQ6).</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covers the work delivered so far, while temporal and lifecycle trust, formal security assurance, and comprehensive empirical validation will be developed further in the next stage.</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Having the security mechanisms is one thing</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Identifiers (DIDs)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color w:val="00A000"/>
          <w:sz w:val="22"/>
          <w:szCs w:val="22"/>
        </w:rPr>
        <w:t xml:space="preserve">(Jiang et al. 2023)</w:t>
      </w:r>
      <w:r>
        <w:rPr>
          <w:rFonts w:ascii="Times New Roman" w:cs="Times New Roman" w:eastAsia="Times New Roman" w:hAnsi="Times New Roman"/>
          <w:color w:val="00A000"/>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All screening, coding, and quality assessment up to the reporting checkpoint were carried out by the author,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color w:val="00A000"/>
          <w:sz w:val="22"/>
          <w:szCs w:val="22"/>
        </w:rPr>
        <w:t xml:space="preserve">(Albalwy, Brass &amp; Davies 2021; Jaiman &amp; Urovi 2020; Madine et al. 2020; Tith et al. 2020)</w:t>
      </w:r>
      <w:r>
        <w:rPr>
          <w:rFonts w:ascii="Times New Roman" w:cs="Times New Roman" w:eastAsia="Times New Roman" w:hAnsi="Times New Roman"/>
          <w:color w:val="00A000"/>
          <w:sz w:val="22"/>
          <w:szCs w:val="22"/>
        </w:rPr>
        <w:t xml:space="preserve">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One full-text report could not be retrieved, and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2.1 shows the quality items, how each one was scored, and the rule used for inclusion.</w:t>
      </w:r>
      <w:r>
        <w:rPr>
          <w:rFonts w:ascii="Times New Roman" w:cs="Times New Roman" w:eastAsia="Times New Roman" w:hAnsi="Times New Roman"/>
          <w:color w:val="00A000"/>
          <w:sz w:val="22"/>
          <w:szCs w:val="22"/>
        </w:rPr>
        <w:t xml:space="preserve">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w:t>
      </w:r>
      <w:r>
        <w:rPr>
          <w:rFonts w:ascii="Times New Roman" w:cs="Times New Roman" w:eastAsia="Times New Roman" w:hAnsi="Times New Roman"/>
          <w:color w:val="00A000"/>
          <w:sz w:val="22"/>
          <w:szCs w:val="22"/>
        </w:rPr>
        <w:t xml:space="preserve">(Albalwy, Brass &amp; Davies 2021; Li et al. 2026a)</w:t>
      </w:r>
      <w:r>
        <w:rPr>
          <w:rFonts w:ascii="Times New Roman" w:cs="Times New Roman" w:eastAsia="Times New Roman" w:hAnsi="Times New Roman"/>
          <w:color w:val="00A000"/>
          <w:sz w:val="22"/>
          <w:szCs w:val="22"/>
        </w:rPr>
        <w:t xml:space="preserve">, they form the 25 primary studies, S1 to S25. 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one stream, normally the one on which it is coded most strongly</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S6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is placed in the multi-party stream for its guardian access gate, although it is graded Partial on Req 3.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 Table 2.3 summarises the description and the issues and limitations of each primary study.</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color w:val="00A000"/>
          <w:sz w:val="22"/>
          <w:szCs w:val="22"/>
        </w:rPr>
        <w:t xml:space="preserve"> Phuyal et al. </w:t>
      </w:r>
      <w:r>
        <w:rPr>
          <w:rFonts w:ascii="Times New Roman" w:cs="Times New Roman" w:eastAsia="Times New Roman" w:hAnsi="Times New Roman"/>
          <w:color w:val="00A000"/>
          <w:sz w:val="22"/>
          <w:szCs w:val="22"/>
        </w:rPr>
        <w:t xml:space="preserve">(2026b)</w:t>
      </w:r>
      <w:r>
        <w:rPr>
          <w:rFonts w:ascii="Times New Roman" w:cs="Times New Roman" w:eastAsia="Times New Roman" w:hAnsi="Times New Roman"/>
          <w:color w:val="00A000"/>
          <w:sz w:val="22"/>
          <w:szCs w:val="22"/>
        </w:rPr>
        <w:t xml:space="preserve">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among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color w:val="00A000"/>
          <w:sz w:val="22"/>
          <w:szCs w:val="22"/>
        </w:rPr>
        <w:t xml:space="preserve">(Phuyal et al. 2026a)</w:t>
      </w:r>
      <w:r>
        <w:rPr>
          <w:rFonts w:ascii="Times New Roman" w:cs="Times New Roman" w:eastAsia="Times New Roman" w:hAnsi="Times New Roman"/>
          <w:color w:val="00A000"/>
          <w:sz w:val="22"/>
          <w:szCs w:val="22"/>
        </w:rPr>
        <w:t xml:space="preserve"> is design-only.</w:t>
      </w:r>
      <w:r>
        <w:rPr>
          <w:rFonts w:ascii="Times New Roman" w:cs="Times New Roman" w:eastAsia="Times New Roman" w:hAnsi="Times New Roman"/>
          <w:color w:val="00A000"/>
          <w:sz w:val="22"/>
          <w:szCs w:val="22"/>
        </w:rPr>
        <w:t xml:space="preserve"> Tseng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w:t>
      </w:r>
      <w:r>
        <w:rPr>
          <w:rFonts w:ascii="Times New Roman" w:cs="Times New Roman" w:eastAsia="Times New Roman" w:hAnsi="Times New Roman"/>
          <w:color w:val="00A000"/>
          <w:sz w:val="22"/>
          <w:szCs w:val="22"/>
        </w:rPr>
        <w:t xml:space="preserve">(2022)</w:t>
      </w:r>
      <w:r>
        <w:rPr>
          <w:rFonts w:ascii="Times New Roman" w:cs="Times New Roman" w:eastAsia="Times New Roman" w:hAnsi="Times New Roman"/>
          <w:color w:val="00A000"/>
          <w:sz w:val="22"/>
          <w:szCs w:val="22"/>
        </w:rPr>
        <w:t xml:space="preserve"> apply a (t, n) investigator threshold to record admission and revocation, and Abbasi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use a Shamir (5, 3) threshold for key custody.</w:t>
      </w:r>
      <w:r>
        <w:rPr>
          <w:rFonts w:ascii="Times New Roman" w:cs="Times New Roman" w:eastAsia="Times New Roman" w:hAnsi="Times New Roman"/>
          <w:color w:val="00A000"/>
          <w:sz w:val="22"/>
          <w:szCs w:val="22"/>
        </w:rPr>
        <w:t xml:space="preserve"> Punia et al.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use patient-appointed verifiers as a contingency, </w:t>
      </w:r>
      <w:r>
        <w:rPr>
          <w:rFonts w:ascii="Times New Roman" w:cs="Times New Roman" w:eastAsia="Times New Roman" w:hAnsi="Times New Roman"/>
          <w:color w:val="00A000"/>
          <w:sz w:val="22"/>
          <w:szCs w:val="22"/>
        </w:rPr>
        <w:t xml:space="preserve">(Ekholm et al. 2025)</w:t>
      </w:r>
      <w:r>
        <w:rPr>
          <w:rFonts w:ascii="Times New Roman" w:cs="Times New Roman" w:eastAsia="Times New Roman" w:hAnsi="Times New Roman"/>
          <w:color w:val="00A000"/>
          <w:sz w:val="22"/>
          <w:szCs w:val="22"/>
        </w:rPr>
        <w:t xml:space="preserve"> reports guardian co-consent at registration time, and </w:t>
      </w:r>
      <w:r>
        <w:rPr>
          <w:rFonts w:ascii="Times New Roman" w:cs="Times New Roman" w:eastAsia="Times New Roman" w:hAnsi="Times New Roman"/>
          <w:color w:val="00A000"/>
          <w:sz w:val="22"/>
          <w:szCs w:val="22"/>
        </w:rPr>
        <w:t xml:space="preserve">(Hagström et al. 2024)</w:t>
      </w:r>
      <w:r>
        <w:rPr>
          <w:rFonts w:ascii="Times New Roman" w:cs="Times New Roman" w:eastAsia="Times New Roman" w:hAnsi="Times New Roman"/>
          <w:color w:val="00A000"/>
          <w:sz w:val="22"/>
          <w:szCs w:val="22"/>
        </w:rPr>
        <w:t xml:space="preserve">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Tith et al.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a purpose tree in chaincode, and Jaiman and Urovi </w:t>
      </w:r>
      <w:r>
        <w:rPr>
          <w:rFonts w:ascii="Times New Roman" w:cs="Times New Roman" w:eastAsia="Times New Roman" w:hAnsi="Times New Roman"/>
          <w:color w:val="00A000"/>
          <w:sz w:val="22"/>
          <w:szCs w:val="22"/>
        </w:rPr>
        <w:t xml:space="preserve">(2020)</w:t>
      </w:r>
      <w:r>
        <w:rPr>
          <w:rFonts w:ascii="Times New Roman" w:cs="Times New Roman" w:eastAsia="Times New Roman" w:hAnsi="Times New Roman"/>
          <w:color w:val="00A000"/>
          <w:sz w:val="22"/>
          <w:szCs w:val="22"/>
        </w:rPr>
        <w:t xml:space="preserve"> match ontology terms against the patient's consent.</w:t>
      </w:r>
      <w:r>
        <w:rPr>
          <w:rFonts w:ascii="Times New Roman" w:cs="Times New Roman" w:eastAsia="Times New Roman" w:hAnsi="Times New Roman"/>
          <w:color w:val="00A000"/>
          <w:sz w:val="22"/>
          <w:szCs w:val="22"/>
        </w:rPr>
        <w:t xml:space="preserve"> Albalwy et al. </w:t>
      </w:r>
      <w:r>
        <w:rPr>
          <w:rFonts w:ascii="Times New Roman" w:cs="Times New Roman" w:eastAsia="Times New Roman" w:hAnsi="Times New Roman"/>
          <w:color w:val="00A000"/>
          <w:sz w:val="22"/>
          <w:szCs w:val="22"/>
        </w:rPr>
        <w:t xml:space="preserve">(2021)</w:t>
      </w:r>
      <w:r>
        <w:rPr>
          <w:rFonts w:ascii="Times New Roman" w:cs="Times New Roman" w:eastAsia="Times New Roman" w:hAnsi="Times New Roman"/>
          <w:color w:val="00A000"/>
          <w:sz w:val="22"/>
          <w:szCs w:val="22"/>
        </w:rPr>
        <w:t xml:space="preserve"> evaluate a hashed policy tree of data type, role, and purpose, and Román-Martínez et al. </w:t>
      </w:r>
      <w:r>
        <w:rPr>
          <w:rFonts w:ascii="Times New Roman" w:cs="Times New Roman" w:eastAsia="Times New Roman" w:hAnsi="Times New Roman"/>
          <w:color w:val="00A000"/>
          <w:sz w:val="22"/>
          <w:szCs w:val="22"/>
        </w:rPr>
        <w:t xml:space="preserve">(2023)</w:t>
      </w:r>
      <w:r>
        <w:rPr>
          <w:rFonts w:ascii="Times New Roman" w:cs="Times New Roman" w:eastAsia="Times New Roman" w:hAnsi="Times New Roman"/>
          <w:color w:val="00A000"/>
          <w:sz w:val="22"/>
          <w:szCs w:val="22"/>
        </w:rPr>
        <w:t xml:space="preserve"> evaluate the FHIR purpose-of-use through XACML.</w:t>
      </w:r>
      <w:r>
        <w:rPr>
          <w:rFonts w:ascii="Times New Roman" w:cs="Times New Roman" w:eastAsia="Times New Roman" w:hAnsi="Times New Roman"/>
          <w:color w:val="00A000"/>
          <w:sz w:val="22"/>
          <w:szCs w:val="22"/>
        </w:rPr>
        <w:t xml:space="preserve"> The trust dimension T4 is coded Yes in 11 studies, Partial in 10, and No in 4, and the Req 4 grade in Table 2.4 is Yes in 10, Partial in 11, and No in 4.</w:t>
      </w:r>
      <w:r>
        <w:rPr>
          <w:rFonts w:ascii="Times New Roman" w:cs="Times New Roman" w:eastAsia="Times New Roman" w:hAnsi="Times New Roman"/>
          <w:color w:val="00A000"/>
          <w:sz w:val="22"/>
          <w:szCs w:val="22"/>
        </w:rPr>
        <w:t xml:space="preserve"> However, purpose-of-use enters the decision in only six studies </w:t>
      </w:r>
      <w:r>
        <w:rPr>
          <w:rFonts w:ascii="Times New Roman" w:cs="Times New Roman" w:eastAsia="Times New Roman" w:hAnsi="Times New Roman"/>
          <w:color w:val="00A000"/>
          <w:sz w:val="22"/>
          <w:szCs w:val="22"/>
        </w:rPr>
        <w:t xml:space="preserve">(Eneh et al. 2026; Panagoulias et al. 2026)</w:t>
      </w:r>
      <w:r>
        <w:rPr>
          <w:rFonts w:ascii="Times New Roman" w:cs="Times New Roman" w:eastAsia="Times New Roman" w:hAnsi="Times New Roman"/>
          <w:color w:val="00A000"/>
          <w:sz w:val="22"/>
          <w:szCs w:val="22"/>
        </w:rPr>
        <w:t xml:space="preserve">,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bind the expiry into key derivation, and Panagoulias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enforce revocation at decision time across 43,500 simulated attempts in a single-node ledger.</w:t>
      </w:r>
      <w:r>
        <w:rPr>
          <w:rFonts w:ascii="Times New Roman" w:cs="Times New Roman" w:eastAsia="Times New Roman" w:hAnsi="Times New Roman"/>
          <w:color w:val="00A000"/>
          <w:sz w:val="22"/>
          <w:szCs w:val="22"/>
        </w:rPr>
        <w:t xml:space="preserve"> Li et al. </w:t>
      </w:r>
      <w:r>
        <w:rPr>
          <w:rFonts w:ascii="Times New Roman" w:cs="Times New Roman" w:eastAsia="Times New Roman" w:hAnsi="Times New Roman"/>
          <w:color w:val="00A000"/>
          <w:sz w:val="22"/>
          <w:szCs w:val="22"/>
        </w:rPr>
        <w:t xml:space="preserve">(2026a)</w:t>
      </w:r>
      <w:r>
        <w:rPr>
          <w:rFonts w:ascii="Times New Roman" w:cs="Times New Roman" w:eastAsia="Times New Roman" w:hAnsi="Times New Roman"/>
          <w:color w:val="00A000"/>
          <w:sz w:val="22"/>
          <w:szCs w:val="22"/>
        </w:rPr>
        <w:t xml:space="preserve">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w:t>
      </w:r>
      <w:r>
        <w:rPr>
          <w:rFonts w:ascii="Times New Roman" w:cs="Times New Roman" w:eastAsia="Times New Roman" w:hAnsi="Times New Roman"/>
          <w:color w:val="00A000"/>
          <w:sz w:val="22"/>
          <w:szCs w:val="22"/>
        </w:rPr>
        <w:t xml:space="preserve">(Phuyal et al. 2026b)</w:t>
      </w:r>
      <w:r>
        <w:rPr>
          <w:rFonts w:ascii="Times New Roman" w:cs="Times New Roman" w:eastAsia="Times New Roman" w:hAnsi="Times New Roman"/>
          <w:color w:val="00A000"/>
          <w:sz w:val="22"/>
          <w:szCs w:val="22"/>
        </w:rPr>
        <w:t xml:space="preserve">, and the four stream-5 systems that enforce time inside the decision are all single-party, with doing so through the credential rather than the consent.</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w:t>
      </w:r>
      <w:r>
        <w:rPr>
          <w:rFonts w:ascii="Times New Roman" w:cs="Times New Roman" w:eastAsia="Times New Roman" w:hAnsi="Times New Roman"/>
          <w:color w:val="00A000"/>
          <w:sz w:val="22"/>
          <w:szCs w:val="22"/>
        </w:rPr>
        <w:t xml:space="preserve">(2024)</w:t>
      </w:r>
      <w:r>
        <w:rPr>
          <w:rFonts w:ascii="Times New Roman" w:cs="Times New Roman" w:eastAsia="Times New Roman" w:hAnsi="Times New Roman"/>
          <w:color w:val="00A000"/>
          <w:sz w:val="22"/>
          <w:szCs w:val="22"/>
        </w:rPr>
        <w:t xml:space="preserve"> and Maruthi and Singh </w:t>
      </w:r>
      <w:r>
        <w:rPr>
          <w:rFonts w:ascii="Times New Roman" w:cs="Times New Roman" w:eastAsia="Times New Roman" w:hAnsi="Times New Roman"/>
          <w:color w:val="00A000"/>
          <w:sz w:val="22"/>
          <w:szCs w:val="22"/>
        </w:rPr>
        <w:t xml:space="preserve">(2025)</w:t>
      </w:r>
      <w:r>
        <w:rPr>
          <w:rFonts w:ascii="Times New Roman" w:cs="Times New Roman" w:eastAsia="Times New Roman" w:hAnsi="Times New Roman"/>
          <w:color w:val="00A000"/>
          <w:sz w:val="22"/>
          <w:szCs w:val="22"/>
        </w:rPr>
        <w:t xml:space="preserve"> prove threshold gates in isolation, and Mei et al. </w:t>
      </w:r>
      <w:r>
        <w:rPr>
          <w:rFonts w:ascii="Times New Roman" w:cs="Times New Roman" w:eastAsia="Times New Roman" w:hAnsi="Times New Roman"/>
          <w:color w:val="00A000"/>
          <w:sz w:val="22"/>
          <w:szCs w:val="22"/>
        </w:rPr>
        <w:t xml:space="preserve">(2026)</w:t>
      </w:r>
      <w:r>
        <w:rPr>
          <w:rFonts w:ascii="Times New Roman" w:cs="Times New Roman" w:eastAsia="Times New Roman" w:hAnsi="Times New Roman"/>
          <w:color w:val="00A000"/>
          <w:sz w:val="22"/>
          <w:szCs w:val="22"/>
        </w:rPr>
        <w:t xml:space="preserve">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An inverse relation between predicate breadth and assurance strength was observed.</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2.3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condition, whereas the proved schemes either omit policy, temporal validity, and lifecycle or, as in </w:t>
      </w:r>
      <w:r>
        <w:rPr>
          <w:rFonts w:ascii="Times New Roman" w:cs="Times New Roman" w:eastAsia="Times New Roman" w:hAnsi="Times New Roman"/>
          <w:color w:val="00A000"/>
          <w:sz w:val="22"/>
          <w:szCs w:val="22"/>
        </w:rPr>
        <w:t xml:space="preserve">(Mei et al. 2026)</w:t>
      </w:r>
      <w:r>
        <w:rPr>
          <w:rFonts w:ascii="Times New Roman" w:cs="Times New Roman" w:eastAsia="Times New Roman" w:hAnsi="Times New Roman"/>
          <w:color w:val="00A000"/>
          <w:sz w:val="22"/>
          <w:szCs w:val="22"/>
        </w:rPr>
        <w:t xml:space="preserve">, prove only a static encryption predicate. Table 2.4 summarises the 25 studies against the six requirements, where Yes denotes satisfied, Partial partially satisfied, and No not satisfied.</w:t>
      </w:r>
      <w:r>
        <w:rPr>
          <w:rFonts w:ascii="Times New Roman" w:cs="Times New Roman" w:eastAsia="Times New Roman" w:hAnsi="Times New Roman"/>
          <w:color w:val="00A000"/>
          <w:sz w:val="22"/>
          <w:szCs w:val="22"/>
        </w:rPr>
        <w:t xml:space="preserve"> 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w:t>
      </w:r>
      <w:r>
        <w:rPr>
          <w:rFonts w:ascii="Times New Roman" w:cs="Times New Roman" w:eastAsia="Times New Roman" w:hAnsi="Times New Roman"/>
          <w:color w:val="00A000"/>
          <w:sz w:val="22"/>
          <w:szCs w:val="22"/>
        </w:rPr>
        <w:t xml:space="preserve">(Madine et al. 2020)</w:t>
      </w:r>
      <w:r>
        <w:rPr>
          <w:rFonts w:ascii="Times New Roman" w:cs="Times New Roman" w:eastAsia="Times New Roman" w:hAnsi="Times New Roman"/>
          <w:color w:val="00A000"/>
          <w:sz w:val="22"/>
          <w:szCs w:val="22"/>
        </w:rPr>
        <w:t xml:space="preserve"> and </w:t>
      </w:r>
      <w:r>
        <w:rPr>
          <w:rFonts w:ascii="Times New Roman" w:cs="Times New Roman" w:eastAsia="Times New Roman" w:hAnsi="Times New Roman"/>
          <w:color w:val="00A000"/>
          <w:sz w:val="22"/>
          <w:szCs w:val="22"/>
        </w:rPr>
        <w:t xml:space="preserve">(Panagoulias et al. 2026)</w:t>
      </w:r>
      <w:r>
        <w:rPr>
          <w:rFonts w:ascii="Times New Roman" w:cs="Times New Roman" w:eastAsia="Times New Roman" w:hAnsi="Times New Roman"/>
          <w:color w:val="00A000"/>
          <w:sz w:val="22"/>
          <w:szCs w:val="22"/>
        </w:rPr>
        <w:t xml:space="preserve">,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w:t>
      </w:r>
      <w:r>
        <w:rPr>
          <w:rFonts w:ascii="Times New Roman" w:cs="Times New Roman" w:eastAsia="Times New Roman" w:hAnsi="Times New Roman"/>
          <w:color w:val="00A000"/>
          <w:sz w:val="22"/>
          <w:szCs w:val="22"/>
        </w:rPr>
        <w:t xml:space="preserve">(Punia et al. 2025)</w:t>
      </w:r>
      <w:r>
        <w:rPr>
          <w:rFonts w:ascii="Times New Roman" w:cs="Times New Roman" w:eastAsia="Times New Roman" w:hAnsi="Times New Roman"/>
          <w:color w:val="00A000"/>
          <w:sz w:val="22"/>
          <w:szCs w:val="22"/>
        </w:rPr>
        <w:t xml:space="preserve">,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w:t>
      </w:r>
      <w:r>
        <w:rPr>
          <w:rFonts w:ascii="Times New Roman" w:cs="Times New Roman" w:eastAsia="Times New Roman" w:hAnsi="Times New Roman"/>
          <w:color w:val="00A000"/>
          <w:sz w:val="22"/>
          <w:szCs w:val="22"/>
        </w:rPr>
        <w:t xml:space="preserve">(Maruthi &amp; Singh 2025; Zhao &amp; Su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2.5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left for the next stage (Sections 10 and 11).</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color w:val="00A000"/>
          <w:sz w:val="22"/>
          <w:szCs w:val="22"/>
        </w:rPr>
        <w:t xml:space="preserve"> The rarity of multi-party approval and formal verification is also seen in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Multi-party authorisation of patient consent is not absent from the literature, since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w:t>
      </w:r>
      <w:r>
        <w:rPr>
          <w:rFonts w:ascii="Times New Roman" w:cs="Times New Roman" w:eastAsia="Times New Roman" w:hAnsi="Times New Roman"/>
          <w:color w:val="00A000"/>
          <w:sz w:val="22"/>
          <w:szCs w:val="22"/>
        </w:rPr>
        <w:t xml:space="preserve">(Ferreira et al. 2025; Panagoulias et al. 2026; Phuyal et al. 2026b; Punia et al. 2025; Shanmugham &amp; Senthilkumar 2026)</w:t>
      </w:r>
      <w:r>
        <w:rPr>
          <w:rFonts w:ascii="Times New Roman" w:cs="Times New Roman" w:eastAsia="Times New Roman" w:hAnsi="Times New Roman"/>
          <w:color w:val="00A000"/>
          <w:sz w:val="22"/>
          <w:szCs w:val="22"/>
        </w:rPr>
        <w:t xml:space="preserve"> 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w:t>
      </w:r>
      <w:r>
        <w:rPr>
          <w:rFonts w:ascii="Times New Roman" w:cs="Times New Roman" w:eastAsia="Times New Roman" w:hAnsi="Times New Roman"/>
          <w:color w:val="00A000"/>
          <w:sz w:val="22"/>
          <w:szCs w:val="22"/>
        </w:rPr>
        <w:t xml:space="preserve">(Albalwy, Brass &amp; Davies 2021; Eneh et al. 2026; Phuyal et al. 2026b; Shanmugham &amp; Senthilkumar 2026; Tith et al. 2020)</w:t>
      </w:r>
      <w:r>
        <w:rPr>
          <w:rFonts w:ascii="Times New Roman" w:cs="Times New Roman" w:eastAsia="Times New Roman" w:hAnsi="Times New Roman"/>
          <w:color w:val="00A000"/>
          <w:sz w:val="22"/>
          <w:szCs w:val="22"/>
        </w:rPr>
        <w:t xml:space="preserve">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condition </w:t>
      </w:r>
      <w:r>
        <w:rPr>
          <w:rFonts w:ascii="Times New Roman" w:cs="Times New Roman" w:eastAsia="Times New Roman" w:hAnsi="Times New Roman"/>
          <w:color w:val="00A000"/>
          <w:sz w:val="22"/>
          <w:szCs w:val="22"/>
        </w:rPr>
        <w:t xml:space="preserve">(Madine et al. 2020; Punia et al. 2025; Tan, Chi &amp; Lam 2024)</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color w:val="00A000"/>
          <w:sz w:val="22"/>
          <w:szCs w:val="22"/>
        </w:rPr>
        <w:t xml:space="preserve">(Punia et al. 2025; Wu et al. 2022; Zhao &amp; Su 2024)</w:t>
      </w:r>
      <w:r>
        <w:rPr>
          <w:rFonts w:ascii="Times New Roman" w:cs="Times New Roman" w:eastAsia="Times New Roman" w:hAnsi="Times New Roman"/>
          <w:color w:val="00A000"/>
          <w:sz w:val="22"/>
          <w:szCs w:val="22"/>
        </w:rPr>
        <w:t xml:space="preserve">, or appointed by the patient </w:t>
      </w:r>
      <w:r>
        <w:rPr>
          <w:rFonts w:ascii="Times New Roman" w:cs="Times New Roman" w:eastAsia="Times New Roman" w:hAnsi="Times New Roman"/>
          <w:color w:val="00A000"/>
          <w:sz w:val="22"/>
          <w:szCs w:val="22"/>
        </w:rPr>
        <w:t xml:space="preserve">(Maruthi &amp; Singh 2025; Tan, Chi &amp; Lam 2024)</w:t>
      </w:r>
      <w:r>
        <w:rPr>
          <w:rFonts w:ascii="Times New Roman" w:cs="Times New Roman" w:eastAsia="Times New Roman" w:hAnsi="Times New Roman"/>
          <w:color w:val="00A000"/>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For brevity, SRQ1 to SRQ6 are referred to as RQ1 to RQ6 throughout this report.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(3.2).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w:t>
      </w:r>
      <w:r>
        <w:rPr>
          <w:rFonts w:ascii="Times New Roman" w:cs="Times New Roman" w:eastAsia="Times New Roman" w:hAnsi="Times New Roman"/>
          <w:color w:val="00A000"/>
          <w:sz w:val="22"/>
          <w:szCs w:val="22"/>
        </w:rPr>
        <w:t xml:space="preserve">(Groth 2016)</w:t>
      </w:r>
      <w:r>
        <w:rPr>
          <w:rFonts w:ascii="Times New Roman" w:cs="Times New Roman" w:eastAsia="Times New Roman" w:hAnsi="Times New Roman"/>
          <w:color w:val="00A000"/>
          <w:sz w:val="22"/>
          <w:szCs w:val="22"/>
        </w:rPr>
        <w:t xml:space="preserve"> to verify, so a request that satisfies the five predicates is still denied when the proof fails, as in attack A9 (Section 11.5).</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the lifecycle transition check, a formal lifecycle model, and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Each research question therefore has one research activity, and each objective contributes to the framework.</w:t>
      </w:r>
      <w:r>
        <w:rPr>
          <w:rFonts w:ascii="Times New Roman" w:cs="Times New Roman" w:eastAsia="Times New Roman" w:hAnsi="Times New Roman"/>
          <w:color w:val="00A000"/>
          <w:sz w:val="22"/>
          <w:szCs w:val="22"/>
        </w:rPr>
        <w:t xml:space="preserve"> RO1 to RO4 are delivered in this stage,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is the result of evaluating independently verifiable security conditions together.</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5.1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5.3,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5.4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 guardians'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guardians whose approvals have been verified and let N denote the required authorisation threshold, as in Equation (5.1).</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set of verified approving guardians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(5.2),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therefore contains each member of G at most once, and an approval from a signer outside G does not enter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Beyond the access decision shown in Figure 5.4, the prototype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is evaluated by the Controller before an access decision is produced,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color w:val="00A000"/>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w:t>
      </w:r>
      <w:r>
        <w:rPr>
          <w:rFonts w:ascii="Times New Roman" w:cs="Times New Roman" w:eastAsia="Times New Roman" w:hAnsi="Times New Roman"/>
          <w:sz w:val="22"/>
          <w:szCs w:val="22"/>
        </w:rPr>
        <w:t xml:space="preserve"> 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The system then validates the guardian set G, which must be non-empty, and every guardian in it must have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authorised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color w:val="00A000"/>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(7.2),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7.1,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highlight w:val="yellow"/>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7.1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approving guardians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8.1,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7.1.</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(8.1)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the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(9.1)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9.1,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returns DENY and records the corresponding denial evidence. 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requires the evidence supporting the access decision to be a Groth16 zero-knowledge proof that has verified</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color w:val="00A000"/>
          <w:sz w:val="22"/>
          <w:szCs w:val="22"/>
        </w:rPr>
        <w:t xml:space="preserve"> The proof shows that the prover knows the secret and the expiry time behind a Poseidon commitment </w:t>
      </w:r>
      <w:r>
        <w:rPr>
          <w:rFonts w:ascii="Times New Roman" w:cs="Times New Roman" w:eastAsia="Times New Roman" w:hAnsi="Times New Roman"/>
          <w:color w:val="00A000"/>
          <w:sz w:val="22"/>
          <w:szCs w:val="22"/>
        </w:rPr>
        <w:t xml:space="preserve">(Grassi et al. 2021)</w:t>
      </w:r>
      <w:r>
        <w:rPr>
          <w:rFonts w:ascii="Times New Roman" w:cs="Times New Roman" w:eastAsia="Times New Roman" w:hAnsi="Times New Roman"/>
          <w:color w:val="00A000"/>
          <w:sz w:val="22"/>
          <w:szCs w:val="22"/>
        </w:rPr>
        <w:t xml:space="preserve">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9.1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the next stage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color w:val="00A000"/>
          <w:sz w:val="22"/>
          <w:szCs w:val="22"/>
        </w:rPr>
        <w:t xml:space="preserve">Equation (10.2)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revocation and the token state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while the time-based states are evaluated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(10.3).</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 PENDING_TOKEN is the brief state between the last verified approval and the recording of the local token identifier</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At each evaluation,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10.2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The system therefore checks whether authorisation is still valid at the time an operation is requested, instead of treating authorisation as a one-time event.</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the next stage.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The next stage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will record an unauthorised state-transition event and return INVALID, but this check is not yet implemented.</w:t>
      </w:r>
      <w:r>
        <w:rPr>
          <w:rFonts w:ascii="Times New Roman" w:cs="Times New Roman" w:eastAsia="Times New Roman" w:hAnsi="Times New Roman"/>
          <w:sz w:val="22"/>
          <w:szCs w:val="22"/>
        </w:rPr>
        <w:t xml:space="preserve"> The implemented temporal and revocation checks already ensure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main activities of the next stage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color w:val="00A000"/>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of the five predicates of Equation (10.3)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color w:val="00A000"/>
          <w:sz w:val="22"/>
          <w:szCs w:val="22"/>
        </w:rPr>
        <w:t xml:space="preserve">The prototype uses synthetic patient records from the Synthea 1K sample </w:t>
      </w:r>
      <w:r>
        <w:rPr>
          <w:rFonts w:ascii="Times New Roman" w:cs="Times New Roman" w:eastAsia="Times New Roman" w:hAnsi="Times New Roman"/>
          <w:color w:val="00A000"/>
          <w:sz w:val="22"/>
          <w:szCs w:val="22"/>
        </w:rPr>
        <w:t xml:space="preserve">(Walonoski et al. 2018)</w:t>
      </w:r>
      <w:r>
        <w:rPr>
          <w:rFonts w:ascii="Times New Roman" w:cs="Times New Roman" w:eastAsia="Times New Roman" w:hAnsi="Times New Roman"/>
          <w:color w:val="00A000"/>
          <w:sz w:val="22"/>
          <w:szCs w:val="22"/>
        </w:rPr>
        <w:t xml:space="preserve">, taken from synthea.mitre.org in its CSV export rather than its FHIR R4 export </w:t>
      </w:r>
      <w:r>
        <w:rPr>
          <w:rFonts w:ascii="Times New Roman" w:cs="Times New Roman" w:eastAsia="Times New Roman" w:hAnsi="Times New Roman"/>
          <w:color w:val="00A000"/>
          <w:sz w:val="22"/>
          <w:szCs w:val="22"/>
        </w:rPr>
        <w:t xml:space="preserve">(HL7 International 2019)</w:t>
      </w:r>
      <w:r>
        <w:rPr>
          <w:rFonts w:ascii="Times New Roman" w:cs="Times New Roman" w:eastAsia="Times New Roman" w:hAnsi="Times New Roman"/>
          <w:color w:val="00A000"/>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 The records are taken from the Synthea 1K sample of synthetic patient records (synthea.mitre.org) in its CSV export. The prototype loads a subset of patients with their observations, conditions, medications and procedures, and no real patient data is involved.</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Figure 11.4 shows the evaluated consent f050c29a. 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11.2,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11.3.</w:t>
      </w:r>
      <w:r>
        <w:rPr>
          <w:rFonts w:ascii="Times New Roman" w:cs="Times New Roman" w:eastAsia="Times New Roman" w:hAnsi="Times New Roman"/>
          <w:sz w:val="22"/>
          <w:szCs w:val="22"/>
        </w:rPr>
        <w:t xml:space="preserve"> The public anchoring of the evaluated consent f050c29a in block 11,771,243 (block 11,771,581 for consent 04da25f5 in Figure 11.3)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11.4,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11.5,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11.6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is refused by the doctor subsystem at the consent-state check, because the consent is no longer ACTIVE</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11.7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11.8,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00A000"/>
          <w:sz w:val="22"/>
          <w:szCs w:val="22"/>
          <w:highlight w:val="yellow"/>
        </w:rPr>
        <w:t xml:space="preserve">;</w:t>
      </w:r>
      <w:r>
        <w:rPr>
          <w:rFonts w:ascii="Times New Roman" w:cs="Times New Roman" w:eastAsia="Times New Roman" w:hAnsi="Times New Roman"/>
          <w:color w:val="00A000"/>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11.11,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component of C that it targets, as listed in Table 11.5.</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analysis records the unsuccessful cases and classifies each one as a violation of an intended security property or as a limitation to be addressed in the next stage.</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the next stage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The next stage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The formal security model will be compared with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The next stage will address the prototype limitations that the evaluation has exposed, which include the N-of-N approval rule, the server-derived guardian keys, the unauthenticated requester role, the absence of cryptographic DID resolution and VC validation, the purpose check that does not yet compare a separately declared request purpose, the missing lifecycle transition check, and the unkeyed and unchained audit digest.</w:t>
      </w:r>
      <w:r>
        <w:rPr>
          <w:rFonts w:ascii="Times New Roman" w:cs="Times New Roman" w:eastAsia="Times New Roman" w:hAnsi="Times New Roman"/>
          <w:sz w:val="22"/>
          <w:szCs w:val="22"/>
        </w:rPr>
        <w:t xml:space="preserve"> This work establishes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the next stage.</w:t>
      </w:r>
      <w:r>
        <w:rPr>
          <w:rFonts w:ascii="Times New Roman" w:cs="Times New Roman" w:eastAsia="Times New Roman" w:hAnsi="Times New Roman"/>
          <w:sz w:val="22"/>
          <w:szCs w:val="22"/>
        </w:rPr>
        <w:t xml:space="preserve"> RO5 and RO6 constitute 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extend the framework of the current stage to dynamic consent governance, formal security assurance, and a fuller empirical validation.</w:t>
      </w:r>
      <w:r>
        <w:rPr>
          <w:rFonts w:ascii="Times New Roman" w:cs="Times New Roman" w:eastAsia="Times New Roman" w:hAnsi="Times New Roman"/>
          <w:color w:val="00A000"/>
          <w:sz w:val="22"/>
          <w:szCs w:val="22"/>
        </w:rPr>
        <w:t xml:space="preserve"> The lifecycle transition check, the formal lifecycle model, and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highlight w:val="yellow"/>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highlight w:val="yellow"/>
        </w:rPr>
        <w:t xml:space="preserve">Digital Society</w:t>
      </w:r>
      <w:r>
        <w:rPr>
          <w:rFonts w:ascii="Times New Roman" w:cs="Times New Roman" w:eastAsia="Times New Roman" w:hAnsi="Times New Roman"/>
          <w:sz w:val="18"/>
          <w:szCs w:val="18"/>
          <w:highlight w:val="yellow"/>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highlight w:val="yellow"/>
        </w:rPr>
        <w:t xml:space="preserve">Jesus, V. &amp; Pandit, H.J. 2022, 'Consent receipts for a usable and auditable web of personal data', </w:t>
      </w:r>
      <w:r>
        <w:rPr>
          <w:rFonts w:ascii="Times New Roman" w:cs="Times New Roman" w:eastAsia="Times New Roman" w:hAnsi="Times New Roman"/>
          <w:i/>
          <w:iCs/>
          <w:sz w:val="18"/>
          <w:szCs w:val="18"/>
          <w:highlight w:val="yellow"/>
        </w:rPr>
        <w:t xml:space="preserve">IEEE Access</w:t>
      </w:r>
      <w:r>
        <w:rPr>
          <w:rFonts w:ascii="Times New Roman" w:cs="Times New Roman" w:eastAsia="Times New Roman" w:hAnsi="Times New Roman"/>
          <w:sz w:val="18"/>
          <w:szCs w:val="18"/>
          <w:highlight w:val="yellow"/>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highlight w:val="yellow"/>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highlight w:val="yellow"/>
        </w:rPr>
        <w:t xml:space="preserve">Entropy</w:t>
      </w:r>
      <w:r>
        <w:rPr>
          <w:rFonts w:ascii="Times New Roman" w:cs="Times New Roman" w:eastAsia="Times New Roman" w:hAnsi="Times New Roman"/>
          <w:sz w:val="18"/>
          <w:szCs w:val="18"/>
          <w:highlight w:val="yellow"/>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highlight w:val="yellow"/>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highlight w:val="yellow"/>
        </w:rPr>
        <w:t xml:space="preserve">Applied Sciences</w:t>
      </w:r>
      <w:r>
        <w:rPr>
          <w:rFonts w:ascii="Times New Roman" w:cs="Times New Roman" w:eastAsia="Times New Roman" w:hAnsi="Times New Roman"/>
          <w:sz w:val="18"/>
          <w:szCs w:val="18"/>
          <w:highlight w:val="yellow"/>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highlight w:val="yellow"/>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highlight w:val="yellow"/>
        </w:rPr>
        <w:t xml:space="preserve">Journal of the American Medical Informatics Association</w:t>
      </w:r>
      <w:r>
        <w:rPr>
          <w:rFonts w:ascii="Times New Roman" w:cs="Times New Roman" w:eastAsia="Times New Roman" w:hAnsi="Times New Roman"/>
          <w:sz w:val="18"/>
          <w:szCs w:val="18"/>
          <w:highlight w:val="yellow"/>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2026-10-07T07:45:50.537Z</dcterms:created>
  <dcterms:modified xsi:type="dcterms:W3CDTF">2026-10-07T07:45:50.537Z</dcterms:modified>
</cp:coreProperties>
</file>

<file path=docProps/custom.xml><?xml version="1.0" encoding="utf-8"?>
<Properties xmlns="http://schemas.openxmlformats.org/officeDocument/2006/custom-properties" xmlns:vt="http://schemas.openxmlformats.org/officeDocument/2006/docPropsVTypes"/>
</file>