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29</w:t>
      </w:r>
    </w:p>
    <w:p>
      <w:pPr>
        <w:tabs>
          <w:tab w:val="right" w:pos="9128" w:leader="dot"/>
        </w:tabs>
        <w:spacing w:after="100"/>
      </w:pPr>
      <w:r>
        <w:rPr>
          <w:rFonts w:ascii="Times New Roman" w:cs="Times New Roman" w:eastAsia="Times New Roman" w:hAnsi="Times New Roman"/>
          <w:sz w:val="22"/>
          <w:szCs w:val="22"/>
        </w:rPr>
        <w:t xml:space="preserve">7. The Proposed Solution for RO2	33</w:t>
      </w:r>
    </w:p>
    <w:p>
      <w:pPr>
        <w:tabs>
          <w:tab w:val="right" w:pos="9128" w:leader="dot"/>
        </w:tabs>
        <w:spacing w:after="100"/>
      </w:pPr>
      <w:r>
        <w:rPr>
          <w:rFonts w:ascii="Times New Roman" w:cs="Times New Roman" w:eastAsia="Times New Roman" w:hAnsi="Times New Roman"/>
          <w:sz w:val="22"/>
          <w:szCs w:val="22"/>
        </w:rPr>
        <w:t xml:space="preserve">8. The Proposed Solution for RO3	37</w:t>
      </w:r>
    </w:p>
    <w:p>
      <w:pPr>
        <w:tabs>
          <w:tab w:val="right" w:pos="9128" w:leader="dot"/>
        </w:tabs>
        <w:spacing w:after="100"/>
      </w:pPr>
      <w:r>
        <w:rPr>
          <w:rFonts w:ascii="Times New Roman" w:cs="Times New Roman" w:eastAsia="Times New Roman" w:hAnsi="Times New Roman"/>
          <w:sz w:val="22"/>
          <w:szCs w:val="22"/>
        </w:rPr>
        <w:t xml:space="preserve">9. The Proposed Solution for RO4	42</w:t>
      </w:r>
    </w:p>
    <w:p>
      <w:pPr>
        <w:tabs>
          <w:tab w:val="right" w:pos="9128" w:leader="dot"/>
        </w:tabs>
        <w:spacing w:after="100"/>
      </w:pPr>
      <w:r>
        <w:rPr>
          <w:rFonts w:ascii="Times New Roman" w:cs="Times New Roman" w:eastAsia="Times New Roman" w:hAnsi="Times New Roman"/>
          <w:sz w:val="22"/>
          <w:szCs w:val="22"/>
        </w:rPr>
        <w:t xml:space="preserve">10. The Proposed Solution for RO5	47</w:t>
      </w:r>
    </w:p>
    <w:p>
      <w:pPr>
        <w:tabs>
          <w:tab w:val="right" w:pos="9128" w:leader="dot"/>
        </w:tabs>
        <w:spacing w:after="100"/>
      </w:pPr>
      <w:r>
        <w:rPr>
          <w:rFonts w:ascii="Times New Roman" w:cs="Times New Roman" w:eastAsia="Times New Roman" w:hAnsi="Times New Roman"/>
          <w:sz w:val="22"/>
          <w:szCs w:val="22"/>
        </w:rPr>
        <w:t xml:space="preserve">11. The Proposed Solution for RO6	51</w:t>
      </w:r>
    </w:p>
    <w:p>
      <w:pPr>
        <w:tabs>
          <w:tab w:val="right" w:pos="9128" w:leader="dot"/>
        </w:tabs>
        <w:spacing w:after="100"/>
      </w:pPr>
      <w:r>
        <w:rPr>
          <w:rFonts w:ascii="Times New Roman" w:cs="Times New Roman" w:eastAsia="Times New Roman" w:hAnsi="Times New Roman"/>
          <w:sz w:val="22"/>
          <w:szCs w:val="22"/>
        </w:rPr>
        <w:t xml:space="preserve">12. Publications Summary	67</w:t>
      </w:r>
    </w:p>
    <w:p>
      <w:pPr>
        <w:tabs>
          <w:tab w:val="right" w:pos="9128" w:leader="dot"/>
        </w:tabs>
        <w:spacing w:after="100"/>
      </w:pPr>
      <w:r>
        <w:rPr>
          <w:rFonts w:ascii="Times New Roman" w:cs="Times New Roman" w:eastAsia="Times New Roman" w:hAnsi="Times New Roman"/>
          <w:sz w:val="22"/>
          <w:szCs w:val="22"/>
        </w:rPr>
        <w:t xml:space="preserve">13. Research Plan	68</w:t>
      </w:r>
    </w:p>
    <w:p>
      <w:pPr>
        <w:tabs>
          <w:tab w:val="right" w:pos="9128" w:leader="dot"/>
        </w:tabs>
        <w:spacing w:after="100"/>
      </w:pPr>
      <w:r>
        <w:rPr>
          <w:rFonts w:ascii="Times New Roman" w:cs="Times New Roman" w:eastAsia="Times New Roman" w:hAnsi="Times New Roman"/>
          <w:sz w:val="22"/>
          <w:szCs w:val="22"/>
        </w:rPr>
        <w:t xml:space="preserve">References	70</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highlight w:val="magenta"/>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highlight w:val="green"/>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magenta"/>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highlight w:val="magenta"/>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highlight w:val="green"/>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highlight w:val="green"/>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magenta"/>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green"/>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highlight w:val="green"/>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highlight w:val="magenta"/>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highlight w:val="green"/>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highlight w:val="green"/>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highlight w:val="green"/>
        </w:rPr>
        <w:t xml:space="preserve">(Phuyal et al. 2026b; Wu &amp; Zhang 2025)</w:t>
      </w:r>
      <w:r>
        <w:rPr>
          <w:rFonts w:ascii="Times New Roman" w:cs="Times New Roman" w:eastAsia="Times New Roman" w:hAnsi="Times New Roman"/>
          <w:sz w:val="22"/>
          <w:szCs w:val="22"/>
        </w:rPr>
        <w:t xml:space="preserve">, blockchain-based records, multi-party approval mechanisms </w:t>
      </w:r>
      <w:r>
        <w:rPr>
          <w:rFonts w:ascii="Times New Roman" w:cs="Times New Roman" w:eastAsia="Times New Roman" w:hAnsi="Times New Roman"/>
          <w:sz w:val="22"/>
          <w:szCs w:val="22"/>
          <w:highlight w:val="green"/>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highlight w:val="green"/>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highlight w:val="green"/>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highlight w:val="magenta"/>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highlight w:val="magenta"/>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highlight w:val="green"/>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highlight w:val="green"/>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highlight w:val="green"/>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highlight w:val="green"/>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z w:val="22"/>
          <w:szCs w:val="22"/>
          <w:highlight w:val="magenta"/>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highlight w:val="magenta"/>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highlight w:val="green"/>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highlight w:val="green"/>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highlight w:val="magenta"/>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highlight w:val="magenta"/>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highlight w:val="green"/>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2.1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2.1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highlight w:val="green"/>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2.1: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5715000" cy="521970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19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highlight w:val="green"/>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highlight w:val="green"/>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highlight w:val="green"/>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highlight w:val="green"/>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highlight w:val="green"/>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highlight w:val="green"/>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highlight w:val="green"/>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highlight w:val="green"/>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highlight w:val="green"/>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highlight w:val="green"/>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highlight w:val="green"/>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highlight w:val="green"/>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highlight w:val="green"/>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highlight w:val="green"/>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highlight w:val="green"/>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highlight w:val="green"/>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highlight w:val="green"/>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highlight w:val="green"/>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highlight w:val="green"/>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highlight w:val="green"/>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highlight w:val="green"/>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highlight w:val="green"/>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highlight w:val="green"/>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highlight w:val="green"/>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highlight w:val="green"/>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highlight w:val="green"/>
        </w:rPr>
        <w:t xml:space="preserve">(Hagström et al. 2024)</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highlight w:val="green"/>
        </w:rPr>
        <w:t xml:space="preserve">(2023)</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highlight w:val="green"/>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highlight w:val="green"/>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highlight w:val="green"/>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2.3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2.4,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highlight w:val="green"/>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highlight w:val="green"/>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highlight w:val="green"/>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highlight w:val="green"/>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highlight w:val="green"/>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highlight w:val="green"/>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highlight w:val="green"/>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highlight w:val="green"/>
        </w:rPr>
        <w:t xml:space="preserve">(Ekholm et al. 2025)</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highlight w:val="green"/>
        </w:rPr>
        <w:t xml:space="preserve">(Hagström et al. 2024)</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highlight w:val="green"/>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highlight w:val="green"/>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highlight w:val="green"/>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highlight w:val="green"/>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2.4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highlight w:val="green"/>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highlight w:val="green"/>
        </w:rPr>
        <w:t xml:space="preserve">(Phuyal et al. 2026b)</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highlight w:val="green"/>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highlight w:val="green"/>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highlight w:val="green"/>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highlight w:val="magenta"/>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2.3: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highlight w:val="green"/>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highlight w:val="green"/>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highlight w:val="green"/>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highlight w:val="green"/>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highlight w:val="green"/>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highlight w:val="green"/>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highlight w:val="green"/>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highlight w:val="green"/>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highlight w:val="green"/>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highlight w:val="green"/>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highlight w:val="green"/>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highlight w:val="green"/>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highlight w:val="green"/>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highlight w:val="green"/>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highlight w:val="green"/>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highlight w:val="green"/>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highlight w:val="green"/>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highlight w:val="green"/>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highlight w:val="green"/>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highlight w:val="green"/>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highlight w:val="green"/>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highlight w:val="green"/>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highlight w:val="green"/>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highlight w:val="green"/>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highlight w:val="green"/>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highlight w:val="magenta"/>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highlight w:val="green"/>
        </w:rPr>
        <w:t xml:space="preserve">(Mei et al. 2026)</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2.4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2.4: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highlight w:val="green"/>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highlight w:val="green"/>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highlight w:val="green"/>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highlight w:val="green"/>
        </w:rPr>
        <w:t xml:space="preserve">(Maruthi &amp; Singh 2025; Zhao &amp; Su 2024)</w:t>
      </w:r>
      <w:r>
        <w:rPr>
          <w:rFonts w:ascii="Times New Roman" w:cs="Times New Roman" w:eastAsia="Times New Roman" w:hAnsi="Times New Roman"/>
          <w:sz w:val="22"/>
          <w:szCs w:val="22"/>
        </w:rPr>
        <w:t xml:space="preserve">. Fourth, the two quadruples are complementary, since lacks policy and assurance, whereas lacks multi-party approval and identity depth.</w:t>
      </w:r>
    </w:p>
    <w:p>
      <w:pPr>
        <w:spacing w:after="110" w:line="264"/>
        <w:jc w:val="both"/>
      </w:pPr>
      <w:r>
        <w:rPr>
          <w:rFonts w:ascii="Times New Roman" w:cs="Times New Roman" w:eastAsia="Times New Roman" w:hAnsi="Times New Roman"/>
          <w:sz w:val="22"/>
          <w:szCs w:val="22"/>
          <w:highlight w:val="magenta"/>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2.5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2.4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5715000" cy="2867025"/>
            <wp:effectExtent t="0" r="0" b="0" l="0"/>
            <wp:docPr id="1"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867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2.4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2.5: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6.1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7.1.</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highlight w:val="green"/>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8.1.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9.1,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highlight w:val="magenta"/>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highlight w:val="green"/>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highlight w:val="magenta"/>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highlight w:val="green"/>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highlight w:val="green"/>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highlight w:val="green"/>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highlight w:val="magenta"/>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highlight w:val="green"/>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highlight w:val="green"/>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highlight w:val="green"/>
        </w:rPr>
        <w:t xml:space="preserve">(Madine et al. 2020; Punia et al. 2025; Tan, Chi &amp; Lam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highlight w:val="magenta"/>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highlight w:val="magenta"/>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highlight w:val="green"/>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highlight w:val="green"/>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(3.1)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(3.2)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highlight w:val="green"/>
        </w:rPr>
        <w:t xml:space="preserve">(Groth 2016)</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11.5).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highlight w:val="magenta"/>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highlight w:val="magenta"/>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highlight w:val="magenta"/>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highlight w:val="magenta"/>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highlight w:val="magenta"/>
        </w:rPr>
        <w:t xml:space="preserve">Instead, the authorisation decision is the result of evaluating independently verifiable security conditions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5.1 describes the layers and their components, Section 5.2 explains where trust is evaluated and where the architectural boundaries lie, Section 5.3 walks through the authorisation workflow, and Section 5.4 maps the architecture to the research objectives.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5.1: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5.2: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performs the Sepolia mint and revoke transactions as a background process.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(3.2).</w:t>
      </w:r>
    </w:p>
    <w:p>
      <w:pPr>
        <w:keepNext/>
        <w:spacing w:after="60" w:before="160"/>
        <w:jc w:val="center"/>
      </w:pPr>
      <w:r>
        <w:drawing>
          <wp:inline distT="0" distB="0" distL="0" distR="0">
            <wp:extent cx="3676650" cy="533400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5.3: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highlight w:val="magenta"/>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5.4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highlight w:val="magenta"/>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(5.1). Here, Token(C) ≠ ∅ means that C has been assigned a token identifier, and Revoked(C) = 0 means that the consent has not been revoked.</w:t>
      </w:r>
    </w:p>
    <w:p>
      <w:pPr>
        <w:keepNext/>
        <w:spacing w:after="60" w:before="160"/>
        <w:jc w:val="center"/>
      </w:pPr>
      <w:r>
        <w:drawing>
          <wp:inline distT="0" distB="0" distL="0" distR="0">
            <wp:extent cx="3305175" cy="533400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051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5.4: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(5.1)</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(5.2),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(5.2)</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5.4,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highlight w:val="magenta"/>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w:t>
      </w:r>
      <w:r>
        <w:rPr>
          <w:rFonts w:ascii="Times New Roman" w:cs="Times New Roman" w:eastAsia="Times New Roman" w:hAnsi="Times New Roman"/>
          <w:sz w:val="22"/>
          <w:szCs w:val="22"/>
        </w:rPr>
        <w:t xml:space="preserve">Similarly, the purpose must be a supported healthcare use. The full design also requires the requested purpose to match the purpose recorded in the consent, which the prototype does not yet compare, as Section 9.4 explains.</w:t>
      </w:r>
      <w:r>
        <w:rPr>
          <w:rFonts w:ascii="Times New Roman" w:cs="Times New Roman" w:eastAsia="Times New Roman" w:hAnsi="Times New Roman"/>
          <w:sz w:val="22"/>
          <w:szCs w:val="22"/>
        </w:rPr>
        <w:t xml:space="preserve">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5.1: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highlight w:val="magenta"/>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section presents the solution for RO1, the consent object on which the other objectives build.</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r>
        <w:rPr>
          <w:rFonts w:ascii="Times New Roman" w:cs="Times New Roman" w:eastAsia="Times New Roman" w:hAnsi="Times New Roman"/>
          <w:b/>
          <w:bCs/>
          <w:sz w:val="24"/>
          <w:szCs w:val="24"/>
        </w:rPr>
        <w:t xml:space="preserve"> (conceptual and prototype level)</w:t>
      </w:r>
    </w:p>
    <w:p>
      <w:pPr>
        <w:spacing w:after="110" w:line="264"/>
        <w:jc w:val="both"/>
      </w:pPr>
      <w:r>
        <w:rPr>
          <w:rFonts w:ascii="Times New Roman" w:cs="Times New Roman" w:eastAsia="Times New Roman" w:hAnsi="Times New Roman"/>
          <w:sz w:val="22"/>
          <w:szCs w:val="22"/>
        </w:rPr>
        <w:t xml:space="preserve">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(6.1)</w:t>
      </w:r>
    </w:p>
    <w:p>
      <w:pPr>
        <w:spacing w:after="110" w:line="264"/>
        <w:jc w:val="both"/>
      </w:pPr>
      <w:r>
        <w:rPr>
          <w:rFonts w:ascii="Times New Roman" w:cs="Times New Roman" w:eastAsia="Times New Roman" w:hAnsi="Times New Roman"/>
          <w:sz w:val="22"/>
          <w:szCs w:val="22"/>
        </w:rPr>
        <w:t xml:space="preserve">In Equation (6.1),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762250" cy="533400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7622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6.1: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6.2 shows how the validated information is combined to construct the consent object. </w:t>
      </w:r>
      <w:r>
        <w:rPr>
          <w:rFonts w:ascii="Times New Roman" w:cs="Times New Roman" w:eastAsia="Times New Roman" w:hAnsi="Times New Roman"/>
          <w:sz w:val="22"/>
          <w:szCs w:val="22"/>
          <w:highlight w:val="magenta"/>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6.2: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highlight w:val="magenta"/>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6.1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6.1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highlight w:val="magenta"/>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 </w:t>
      </w:r>
      <w:r>
        <w:rPr>
          <w:rFonts w:ascii="Times New Roman" w:cs="Times New Roman" w:eastAsia="Times New Roman" w:hAnsi="Times New Roman"/>
          <w:sz w:val="22"/>
          <w:szCs w:val="22"/>
        </w:rPr>
        <w:t xml:space="preserve">The next section presents the solution for RO2, which verifies who the participants are and what authority they hold.</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r>
        <w:rPr>
          <w:rFonts w:ascii="Times New Roman" w:cs="Times New Roman" w:eastAsia="Times New Roman" w:hAnsi="Times New Roman"/>
          <w:b/>
          <w:bCs/>
          <w:sz w:val="24"/>
          <w:szCs w:val="24"/>
        </w:rPr>
        <w:t xml:space="preserve"> (conceptual and prototype level)</w:t>
      </w:r>
    </w:p>
    <w:p>
      <w:pPr>
        <w:spacing w:after="110" w:line="264"/>
        <w:jc w:val="both"/>
      </w:pPr>
      <w:r>
        <w:rPr>
          <w:rFonts w:ascii="Times New Roman" w:cs="Times New Roman" w:eastAsia="Times New Roman" w:hAnsi="Times New Roman"/>
          <w:sz w:val="22"/>
          <w:szCs w:val="22"/>
        </w:rPr>
        <w:t xml:space="preserve">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(7.1)</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w:t>
      </w:r>
      <w:r>
        <w:rPr>
          <w:rFonts w:ascii="Times New Roman" w:cs="Times New Roman" w:eastAsia="Times New Roman" w:hAnsi="Times New Roman"/>
          <w:sz w:val="22"/>
          <w:szCs w:val="22"/>
        </w:rPr>
        <w:t xml:space="preserve"> In the current prototype this check is structural, as Section 7.4 explains.</w:t>
      </w:r>
      <w:r>
        <w:rPr>
          <w:rFonts w:ascii="Times New Roman" w:cs="Times New Roman" w:eastAsia="Times New Roman" w:hAnsi="Times New Roman"/>
          <w:sz w:val="22"/>
          <w:szCs w:val="22"/>
        </w:rPr>
        <w:t xml:space="preserve">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(7.2)</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3581400" cy="533400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58140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7.1: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7.1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7.1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7.1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highlight w:val="magenta"/>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 </w:t>
      </w:r>
      <w:r>
        <w:rPr>
          <w:rFonts w:ascii="Times New Roman" w:cs="Times New Roman" w:eastAsia="Times New Roman" w:hAnsi="Times New Roman"/>
          <w:sz w:val="22"/>
          <w:szCs w:val="22"/>
        </w:rPr>
        <w:t xml:space="preserve">The next section presents the solution for RO3, the multi-party approval of the consent.</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r>
        <w:rPr>
          <w:rFonts w:ascii="Times New Roman" w:cs="Times New Roman" w:eastAsia="Times New Roman" w:hAnsi="Times New Roman"/>
          <w:b/>
          <w:bCs/>
          <w:sz w:val="24"/>
          <w:szCs w:val="24"/>
        </w:rPr>
        <w:t xml:space="preserve"> (conceptual and prototype level)</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w:t>
      </w:r>
      <w:r>
        <w:rPr>
          <w:rFonts w:ascii="Times New Roman" w:cs="Times New Roman" w:eastAsia="Times New Roman" w:hAnsi="Times New Roman"/>
          <w:sz w:val="22"/>
          <w:szCs w:val="22"/>
        </w:rPr>
        <w:t xml:space="preserve">Section 8.1 defines the threshold condition, Section 8.2 shows the multi-party authorisation workflow, Section 8.3 gives the procedure and the algorithm, and Section 8.4 states the outcome of RO3.</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(8.1),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(8.1)</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highlight w:val="magenta"/>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Guardian workflow verifies the guardian VC, appends the guardian DID to the consent signatures, and displays the current approval count relative to the threshold.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476625" cy="533400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4766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8.1: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7.1.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(8.2).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(8.2)</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(8.3)</w:t>
      </w:r>
    </w:p>
    <w:p>
      <w:pPr>
        <w:spacing w:after="110" w:line="264"/>
        <w:jc w:val="both"/>
      </w:pPr>
      <w:r>
        <w:rPr>
          <w:rFonts w:ascii="Times New Roman" w:cs="Times New Roman" w:eastAsia="Times New Roman" w:hAnsi="Times New Roman"/>
          <w:sz w:val="22"/>
          <w:szCs w:val="22"/>
        </w:rPr>
        <w:t xml:space="preserve">Algorithm 8.1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8.1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7.1,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highlight w:val="magenta"/>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7.1. Algorithm 7.1 establishes whether an individual participant possesses a valid identity and sufficient authority, whereas Algorithm 8.1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(8.4).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(8.4)</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(8.5) holds for a consent that has a token identifier and has not been revoked, whereas Equation (8.6)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(8.5)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(8.6)</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w:t>
      </w:r>
      <w:r>
        <w:rPr>
          <w:rFonts w:ascii="Times New Roman" w:cs="Times New Roman" w:eastAsia="Times New Roman" w:hAnsi="Times New Roman"/>
          <w:sz w:val="22"/>
          <w:szCs w:val="22"/>
        </w:rPr>
        <w:t xml:space="preserve">The next section presents the solution for RO4, which checks the purpose and the data scope of each request.</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r>
        <w:rPr>
          <w:rFonts w:ascii="Times New Roman" w:cs="Times New Roman" w:eastAsia="Times New Roman" w:hAnsi="Times New Roman"/>
          <w:b/>
          <w:bCs/>
          <w:sz w:val="24"/>
          <w:szCs w:val="24"/>
        </w:rPr>
        <w:t xml:space="preserve"> (conceptual and prototype level)</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w:t>
      </w:r>
      <w:r>
        <w:rPr>
          <w:rFonts w:ascii="Times New Roman" w:cs="Times New Roman" w:eastAsia="Times New Roman" w:hAnsi="Times New Roman"/>
          <w:sz w:val="22"/>
          <w:szCs w:val="22"/>
        </w:rPr>
        <w:t xml:space="preserve">Section 9.1 defines the scope and policy conditions, Section 9.2 shows the policy-aware access workflow, Section 9.3 gives the decision algorithm, Section 9.4 qualifies what the prototype checks, and Section 9.5 states the outcome of RO4.</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(9.1)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(9.1)</w:t>
      </w:r>
    </w:p>
    <w:p>
      <w:pPr>
        <w:spacing w:after="110" w:line="264"/>
        <w:jc w:val="both"/>
      </w:pPr>
      <w:r>
        <w:rPr>
          <w:rFonts w:ascii="Times New Roman" w:cs="Times New Roman" w:eastAsia="Times New Roman" w:hAnsi="Times New Roman"/>
          <w:sz w:val="22"/>
          <w:szCs w:val="22"/>
        </w:rPr>
        <w:t xml:space="preserve">The policy condition can therefore be expressed as Equation (9.2)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(9.2)</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(9.3)</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(10.2)</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highlight w:val="magenta"/>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(9.3)</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w:t>
      </w:r>
      <w:r>
        <w:rPr>
          <w:rFonts w:ascii="Times New Roman" w:cs="Times New Roman" w:eastAsia="Times New Roman" w:hAnsi="Times New Roman"/>
          <w:sz w:val="22"/>
          <w:szCs w:val="22"/>
        </w:rPr>
        <w:t xml:space="preserve">consent purpose</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the requested </w:t>
      </w:r>
      <w:r>
        <w:rPr>
          <w:rFonts w:ascii="Times New Roman" w:cs="Times New Roman" w:eastAsia="Times New Roman" w:hAnsi="Times New Roman"/>
          <w:sz w:val="22"/>
          <w:szCs w:val="22"/>
        </w:rPr>
        <w:t xml:space="preserve">data scope. The HALAH implementation provides a concrete basis for this objective. As shown in Figure 9.1,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(9.4), and a healthcare professional then requests the categories given in Equation (9.5).</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(9.4)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(9.5)</w:t>
      </w:r>
    </w:p>
    <w:p>
      <w:pPr>
        <w:spacing w:after="110" w:line="264"/>
        <w:jc w:val="both"/>
      </w:pPr>
      <w:r>
        <w:rPr>
          <w:rFonts w:ascii="Times New Roman" w:cs="Times New Roman" w:eastAsia="Times New Roman" w:hAnsi="Times New Roman"/>
          <w:sz w:val="22"/>
          <w:szCs w:val="22"/>
        </w:rPr>
        <w:t xml:space="preserve">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highlight w:val="magenta"/>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(9.6)</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9.1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9.1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highlight w:val="magenta"/>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circuit is written in circom </w:t>
      </w:r>
      <w:r>
        <w:rPr>
          <w:rFonts w:ascii="Times New Roman" w:cs="Times New Roman" w:eastAsia="Times New Roman" w:hAnsi="Times New Roman"/>
          <w:sz w:val="22"/>
          <w:szCs w:val="22"/>
          <w:highlight w:val="green"/>
        </w:rPr>
        <w:t xml:space="preserve">(iden3 2026b)</w:t>
      </w:r>
      <w:r>
        <w:rPr>
          <w:rFonts w:ascii="Times New Roman" w:cs="Times New Roman" w:eastAsia="Times New Roman" w:hAnsi="Times New Roman"/>
          <w:sz w:val="22"/>
          <w:szCs w:val="22"/>
        </w:rPr>
        <w:t xml:space="preserve">, and the proof is generated and verified with snarkjs </w:t>
      </w:r>
      <w:r>
        <w:rPr>
          <w:rFonts w:ascii="Times New Roman" w:cs="Times New Roman" w:eastAsia="Times New Roman" w:hAnsi="Times New Roman"/>
          <w:sz w:val="22"/>
          <w:szCs w:val="22"/>
          <w:highlight w:val="green"/>
        </w:rPr>
        <w:t xml:space="preserve">(iden3 2026a)</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highlight w:val="green"/>
        </w:rPr>
        <w:t xml:space="preserve">(Grassi et al. 2021)</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9.1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highlight w:val="magenta"/>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9.1 therefore acts as the final policy-enforcement layer of the proposed authorisation lifecycle. Algorithm 6.1 establishes the consent constraints, Algorithm 7.1 establishes trustworthy identity and authority evidence, and Algorithm 8.1 establishes collective authorisation evidence. Algorithm 9.1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 </w:t>
      </w:r>
      <w:r>
        <w:rPr>
          <w:rFonts w:ascii="Times New Roman" w:cs="Times New Roman" w:eastAsia="Times New Roman" w:hAnsi="Times New Roman"/>
          <w:sz w:val="22"/>
          <w:szCs w:val="22"/>
        </w:rPr>
        <w:t xml:space="preserve">The next section presents the solution for RO5, which keeps a consent valid only within its time interval and lifecycle state.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w:t>
      </w:r>
      <w:r>
        <w:rPr>
          <w:rFonts w:ascii="Times New Roman" w:cs="Times New Roman" w:eastAsia="Times New Roman" w:hAnsi="Times New Roman"/>
          <w:sz w:val="22"/>
          <w:szCs w:val="22"/>
        </w:rPr>
        <w:t xml:space="preserve">Section 10.1 defines the temporal and jurisdictional conditions, Section 10.2 describes the controls that are already implemented, and Section 10.3 sets out the remaining work and the expected outcome.</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(10.1)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(10.1)</w:t>
      </w:r>
    </w:p>
    <w:p>
      <w:pPr>
        <w:spacing w:after="110" w:line="264"/>
        <w:jc w:val="both"/>
      </w:pPr>
      <w:r>
        <w:rPr>
          <w:rFonts w:ascii="Times New Roman" w:cs="Times New Roman" w:eastAsia="Times New Roman" w:hAnsi="Times New Roman"/>
          <w:sz w:val="22"/>
          <w:szCs w:val="22"/>
        </w:rPr>
        <w:t xml:space="preserve">Equation (10.2)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(10.2)</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(10.3).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(10.3)</w:t>
      </w:r>
    </w:p>
    <w:p>
      <w:pPr>
        <w:spacing w:after="110" w:line="264"/>
        <w:jc w:val="both"/>
      </w:pPr>
      <w:r>
        <w:rPr>
          <w:rFonts w:ascii="Times New Roman" w:cs="Times New Roman" w:eastAsia="Times New Roman" w:hAnsi="Times New Roman"/>
          <w:sz w:val="22"/>
          <w:szCs w:val="22"/>
          <w:highlight w:val="magenta"/>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10.1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3714750" cy="533400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7147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10.1: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8.1 and Figure 8.1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10.2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highlight w:val="magenta"/>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10.2: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 </w:t>
      </w:r>
      <w:r>
        <w:rPr>
          <w:rFonts w:ascii="Times New Roman" w:cs="Times New Roman" w:eastAsia="Times New Roman" w:hAnsi="Times New Roman"/>
          <w:sz w:val="22"/>
          <w:szCs w:val="22"/>
        </w:rPr>
        <w:t xml:space="preserve">The next section presents RO6, the validation of the framework on the HALAH prototype.</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11.1 sets out the validation approach, Section 11.2 describes the dataset, Section 11.3 presents the HALAH prototype and the live scenarios, Section 11.4 reports the measured results, Section 11.5 reports the unit-level adversarial tests, and Section 11.6 lists the remaining work.</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11.1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4752975" cy="533400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highlight w:val="magenta"/>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(11.1)</w:t>
      </w:r>
    </w:p>
    <w:p>
      <w:pPr>
        <w:spacing w:after="110" w:line="264"/>
        <w:jc w:val="both"/>
      </w:pPr>
      <w:r>
        <w:rPr>
          <w:rFonts w:ascii="Times New Roman" w:cs="Times New Roman" w:eastAsia="Times New Roman" w:hAnsi="Times New Roman"/>
          <w:sz w:val="22"/>
          <w:szCs w:val="22"/>
        </w:rPr>
        <w:t xml:space="preserve">Equivalently, Equation (11.2), the contrapositive of Equation (11.1), states that if any mandatory condition is violated, the request must be denied. Equation (11.1) is therefore examined through the 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(10.3)</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(11.2)</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Its 23 functional and regression tests examine whether access is denied when identity verification fails, when the required authorisation threshold is not satisfied, </w:t>
      </w:r>
      <w:r>
        <w:rPr>
          <w:rFonts w:ascii="Times New Roman" w:cs="Times New Roman" w:eastAsia="Times New Roman" w:hAnsi="Times New Roman"/>
          <w:sz w:val="22"/>
          <w:szCs w:val="22"/>
        </w:rPr>
        <w:t xml:space="preserve">when the requested data scope falls outside the consent scope, or when the consent purpose is not a supported healthcare use</w:t>
      </w:r>
      <w:r>
        <w:rPr>
          <w:rFonts w:ascii="Times New Roman" w:cs="Times New Roman" w:eastAsia="Times New Roman" w:hAnsi="Times New Roman"/>
          <w:sz w:val="22"/>
          <w:szCs w:val="22"/>
        </w:rPr>
        <w:t xml:space="preserve">. They also cover invalid EIP-712 guardian signatures and tampered or expired zero-knowledge proofs, whereas the 13 adversarial tests cover a baseline and twelve attack scenarios.</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Dataset Used for Validation</w:t>
      </w:r>
    </w:p>
    <w:p>
      <w:pPr>
        <w:spacing w:after="110" w:line="264"/>
        <w:jc w:val="both"/>
      </w:pPr>
      <w:r>
        <w:rPr>
          <w:rFonts w:ascii="Times New Roman" w:cs="Times New Roman" w:eastAsia="Times New Roman" w:hAnsi="Times New Roman"/>
          <w:sz w:val="22"/>
          <w:szCs w:val="22"/>
        </w:rPr>
        <w:t xml:space="preserve">The prototype uses synthetic patient records from the Synthea 1K sample </w:t>
      </w:r>
      <w:r>
        <w:rPr>
          <w:rFonts w:ascii="Times New Roman" w:cs="Times New Roman" w:eastAsia="Times New Roman" w:hAnsi="Times New Roman"/>
          <w:sz w:val="22"/>
          <w:szCs w:val="22"/>
          <w:highlight w:val="green"/>
        </w:rPr>
        <w:t xml:space="preserve">(Walonoski et al. 2018)</w:t>
      </w:r>
      <w:r>
        <w:rPr>
          <w:rFonts w:ascii="Times New Roman" w:cs="Times New Roman" w:eastAsia="Times New Roman" w:hAnsi="Times New Roman"/>
          <w:sz w:val="22"/>
          <w:szCs w:val="22"/>
        </w:rPr>
        <w:t xml:space="preserve">, taken from synthea.mitre.org in its CSV export rather than its FHIR R4 export </w:t>
      </w:r>
      <w:r>
        <w:rPr>
          <w:rFonts w:ascii="Times New Roman" w:cs="Times New Roman" w:eastAsia="Times New Roman" w:hAnsi="Times New Roman"/>
          <w:sz w:val="22"/>
          <w:szCs w:val="22"/>
          <w:highlight w:val="green"/>
        </w:rPr>
        <w:t xml:space="preserve">(HL7 International 2019)</w:t>
      </w:r>
      <w:r>
        <w:rPr>
          <w:rFonts w:ascii="Times New Roman" w:cs="Times New Roman" w:eastAsia="Times New Roman" w:hAnsi="Times New Roman"/>
          <w:sz w:val="22"/>
          <w:szCs w:val="22"/>
        </w:rPr>
        <w:t xml:space="preserve">.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only step is the selection of the subset loaded into the local database of the prototype.</w:t>
      </w: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w:t>
      </w:r>
      <w:r>
        <w:rPr>
          <w:rFonts w:ascii="Times New Roman" w:cs="Times New Roman" w:eastAsia="Times New Roman" w:hAnsi="Times New Roman"/>
          <w:sz w:val="22"/>
          <w:szCs w:val="22"/>
        </w:rPr>
        <w:t xml:space="preserve">consent management platform. The current system includes separate patient, guardian, doctor, and auditor interfaces</w:t>
      </w:r>
      <w:r>
        <w:rPr>
          <w:rFonts w:ascii="Times New Roman" w:cs="Times New Roman" w:eastAsia="Times New Roman" w:hAnsi="Times New Roman"/>
          <w:sz w:val="22"/>
          <w:szCs w:val="22"/>
        </w:rPr>
        <w:t xml:space="preserve">, and the role shown in an interface is declared rather than authenticated, as noted in Section 5</w:t>
      </w:r>
      <w:r>
        <w:rPr>
          <w:rFonts w:ascii="Times New Roman" w:cs="Times New Roman" w:eastAsia="Times New Roman" w:hAnsi="Times New Roman"/>
          <w:sz w:val="22"/>
          <w:szCs w:val="22"/>
        </w:rPr>
        <w:t xml:space="preserve">. It also records consent creation, guardian approval, token minting, state checks, and data-access events. Following successful threshold satisfaction, the system generates activation or token evidence associated with the authorisation decision through ConsentSBTv3</w:t>
      </w:r>
      <w:r>
        <w:rPr>
          <w:rFonts w:ascii="Times New Roman" w:cs="Times New Roman" w:eastAsia="Times New Roman" w:hAnsi="Times New Roman"/>
          <w:sz w:val="22"/>
          <w:szCs w:val="22"/>
        </w:rPr>
        <w:t xml:space="preserve">, a contract written in Solidity </w:t>
      </w:r>
      <w:r>
        <w:rPr>
          <w:rFonts w:ascii="Times New Roman" w:cs="Times New Roman" w:eastAsia="Times New Roman" w:hAnsi="Times New Roman"/>
          <w:sz w:val="22"/>
          <w:szCs w:val="22"/>
          <w:highlight w:val="green"/>
        </w:rPr>
        <w:t xml:space="preserve">(Ethereum Foundation 2026a)</w:t>
      </w:r>
      <w:r>
        <w:rPr>
          <w:rFonts w:ascii="Times New Roman" w:cs="Times New Roman" w:eastAsia="Times New Roman" w:hAnsi="Times New Roman"/>
          <w:sz w:val="22"/>
          <w:szCs w:val="22"/>
        </w:rPr>
        <w:t xml:space="preserve"> for the Ethereum virtual machine </w:t>
      </w:r>
      <w:r>
        <w:rPr>
          <w:rFonts w:ascii="Times New Roman" w:cs="Times New Roman" w:eastAsia="Times New Roman" w:hAnsi="Times New Roman"/>
          <w:sz w:val="22"/>
          <w:szCs w:val="22"/>
          <w:highlight w:val="green"/>
        </w:rPr>
        <w:t xml:space="preserve">(Wood 2014)</w:t>
      </w:r>
      <w:r>
        <w:rPr>
          <w:rFonts w:ascii="Times New Roman" w:cs="Times New Roman" w:eastAsia="Times New Roman" w:hAnsi="Times New Roman"/>
          <w:sz w:val="22"/>
          <w:szCs w:val="22"/>
        </w:rPr>
        <w:t xml:space="preserve">, compiled in Remix</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green"/>
        </w:rPr>
        <w:t xml:space="preserve">(Ethereum Foundation 2026c)</w:t>
      </w:r>
      <w:r>
        <w:rPr>
          <w:rFonts w:ascii="Times New Roman" w:cs="Times New Roman" w:eastAsia="Times New Roman" w:hAnsi="Times New Roman"/>
          <w:sz w:val="22"/>
          <w:szCs w:val="22"/>
        </w:rPr>
        <w:t xml:space="preserve"> and deployed </w:t>
      </w:r>
      <w:r>
        <w:rPr>
          <w:rFonts w:ascii="Times New Roman" w:cs="Times New Roman" w:eastAsia="Times New Roman" w:hAnsi="Times New Roman"/>
          <w:sz w:val="22"/>
          <w:szCs w:val="22"/>
        </w:rPr>
        <w:t xml:space="preserve">on the Sepolia testnet </w:t>
      </w:r>
      <w:r>
        <w:rPr>
          <w:rFonts w:ascii="Times New Roman" w:cs="Times New Roman" w:eastAsia="Times New Roman" w:hAnsi="Times New Roman"/>
          <w:sz w:val="22"/>
          <w:szCs w:val="22"/>
          <w:highlight w:val="green"/>
        </w:rPr>
        <w:t xml:space="preserve">(Ethereum Foundation 2026b)</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via MetaMask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green"/>
        </w:rPr>
        <w:t xml:space="preserve">(Consensys 2026)</w:t>
      </w:r>
      <w:r>
        <w:rPr>
          <w:rFonts w:ascii="Times New Roman" w:cs="Times New Roman" w:eastAsia="Times New Roman" w:hAnsi="Times New Roman"/>
          <w:sz w:val="22"/>
          <w:szCs w:val="22"/>
        </w:rPr>
        <w:t xml:space="preserve">.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highlight w:val="green"/>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highlight w:val="green"/>
        </w:rPr>
        <w:t xml:space="preserve">(Cai 2022)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The synthetic records that the prototype loads are described in Section 11.2.</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11.4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11.2, Figure 11.3 and Figure 11.5)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highlight w:val="magenta"/>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11.2: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w:t>
      </w:r>
      <w:r>
        <w:rPr>
          <w:rFonts w:ascii="Times New Roman" w:cs="Times New Roman" w:eastAsia="Times New Roman" w:hAnsi="Times New Roman"/>
          <w:sz w:val="22"/>
          <w:szCs w:val="22"/>
        </w:rPr>
        <w:t xml:space="preserve">The public anchoring of the evaluated consent f050c29a in block 11,771,243 (block 11,771,581 for consent 04da25f5 in Figure 11.3)</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11.3: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11.4: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11.5: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11.6: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11.7: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magenta"/>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11.9.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11.8: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11.9: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highlight w:val="magenta"/>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11.1: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11.2: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11.10: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mode itself is written only on granted rows, which is why Table 11.3 shows it as not logged for that row</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highlight w:val="magenta"/>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11.3: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11.4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11.4: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11.2</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11.11,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Anchoring confirmation is the slowest step, but it runs in the background, so it delays neither the guardians nor the doctor.</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1.4 is not plotted, as its values are close to those of the checkValidAt read" title="Processing time of the decision components on a logarithmic axis (median and minimum to maximum). The checkValid read of Table 11.4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11.11: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11.4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highlight w:val="magenta"/>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11.5</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11.5 and Figure 11.12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highlight w:val="magenta"/>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highlight w:val="magenta"/>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11.5: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11.6</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11.12: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highlight w:val="magenta"/>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11.6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highlight w:val="magenta"/>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highlight w:val="magenta"/>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13.1: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highlight w:val="magenta"/>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13.1: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13.2.</w:t>
      </w:r>
    </w:p>
    <w:p>
      <w:pPr>
        <w:keepNext/>
        <w:spacing w:after="80" w:before="200"/>
        <w:jc w:val="center"/>
      </w:pPr>
      <w:r>
        <w:rPr>
          <w:rFonts w:ascii="Times New Roman" w:cs="Times New Roman" w:eastAsia="Times New Roman" w:hAnsi="Times New Roman"/>
          <w:b/>
          <w:bCs/>
          <w:sz w:val="18"/>
          <w:szCs w:val="18"/>
        </w:rPr>
        <w:t xml:space="preserve">Table 13.2: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 implementation in JavaScript and WASM</w:t>
      </w:r>
      <w:r>
        <w:rPr>
          <w:rFonts w:ascii="Times New Roman" w:cs="Times New Roman" w:eastAsia="Times New Roman" w:hAnsi="Times New Roman"/>
          <w:sz w:val="18"/>
          <w:szCs w:val="18"/>
        </w:rPr>
        <w:t xml:space="preserve">, viewed 7 October 2026, &lt;https://github.com/iden3/snarkjs&gt;.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 viewed 7 October 2026, &lt;https://ethereum.github.io/yellowpaper/paper.pdf&gt;.</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4f75743c835265daafdcbac66f2bdd6c1034f620.png"/><Relationship Id="rId14" Type="http://schemas.openxmlformats.org/officeDocument/2006/relationships/image" Target="media/03c920405551cc59ae0ad5edcc55300e0a8ed15e.png"/><Relationship Id="rId15" Type="http://schemas.openxmlformats.org/officeDocument/2006/relationships/image" Target="media/2b20591a43c6eb19bfdab74102d4f7f1165b386f.png"/><Relationship Id="rId16" Type="http://schemas.openxmlformats.org/officeDocument/2006/relationships/image" Target="media/11081a2422bebced6d030d22f0ebf13798832173.png"/><Relationship Id="rId17" Type="http://schemas.openxmlformats.org/officeDocument/2006/relationships/image" Target="media/fc5a6be7647fd964b300798307c832eee656672b.png"/><Relationship Id="rId18" Type="http://schemas.openxmlformats.org/officeDocument/2006/relationships/image" Target="media/7ce013ee8724e8dcb1576e7f068db7f8890e5be3.png"/><Relationship Id="rId19" Type="http://schemas.openxmlformats.org/officeDocument/2006/relationships/image" Target="media/f1f163df8a47e4df987495706c8e057d78128af6.png"/><Relationship Id="rId20" Type="http://schemas.openxmlformats.org/officeDocument/2006/relationships/image" Target="media/3f71846d42f224996eb357c7ac4f2281babf68df.png"/><Relationship Id="rId21" Type="http://schemas.openxmlformats.org/officeDocument/2006/relationships/image" Target="media/2bdcc233d9d5ad41e4df5ec32cccb0f936be6fdd.png"/><Relationship Id="rId22" Type="http://schemas.openxmlformats.org/officeDocument/2006/relationships/image" Target="media/3b43f208c34e619a9b1fcd7a8da9990014f117c8.png"/><Relationship Id="rId23" Type="http://schemas.openxmlformats.org/officeDocument/2006/relationships/image" Target="media/00d6986401b6325763b2855292d411f63286ea76.png"/><Relationship Id="rId24" Type="http://schemas.openxmlformats.org/officeDocument/2006/relationships/image" Target="media/e59b5686af22a06dff9cd4bfae93b397759ea42a.png"/><Relationship Id="rId25" Type="http://schemas.openxmlformats.org/officeDocument/2006/relationships/image" Target="media/551744d4db41183fe0c9b4d913479007233462c1.png"/><Relationship Id="rId26" Type="http://schemas.openxmlformats.org/officeDocument/2006/relationships/image" Target="media/379af060121c595b8dab938b017503bf01d94543.png"/><Relationship Id="rId27" Type="http://schemas.openxmlformats.org/officeDocument/2006/relationships/image" Target="media/8b0dede8cf949138f1ca18f2a0be3b9f91a5a8b2.png"/><Relationship Id="rId28" Type="http://schemas.openxmlformats.org/officeDocument/2006/relationships/image" Target="media/f0af766d9de14575067307b6f7dccaf71ca25b88.png"/><Relationship Id="rId29" Type="http://schemas.openxmlformats.org/officeDocument/2006/relationships/image" Target="media/32a920cb8d148805391dcda55782af93c6edfd51.png"/><Relationship Id="rId30" Type="http://schemas.openxmlformats.org/officeDocument/2006/relationships/image" Target="media/06dd8d4f71199a2b46751bf3ced20974c9f60efc.png"/><Relationship Id="rId31" Type="http://schemas.openxmlformats.org/officeDocument/2006/relationships/image" Target="media/4315c9b43325fa22d4a470efde68b53ff388ded2.png"/><Relationship Id="rId32" Type="http://schemas.openxmlformats.org/officeDocument/2006/relationships/image" Target="media/9cb74c21136b6eec65353d28ee54d88601225eab.png"/><Relationship Id="rId33" Type="http://schemas.openxmlformats.org/officeDocument/2006/relationships/image" Target="media/1cde75c3ba6eefdc88f22c3d35398d022b2cb385.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2026-10-07T07:45:56.749Z</dcterms:created>
  <dcterms:modified xsi:type="dcterms:W3CDTF">2026-10-07T07:45:56.749Z</dcterms:modified>
</cp:coreProperties>
</file>

<file path=docProps/custom.xml><?xml version="1.0" encoding="utf-8"?>
<Properties xmlns="http://schemas.openxmlformats.org/officeDocument/2006/custom-properties" xmlns:vt="http://schemas.openxmlformats.org/officeDocument/2006/docPropsVTypes"/>
</file>