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quality evaluation questions.</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3043"/>
        <w:gridCol w:w="3043"/>
        <w:gridCol w:w="3043"/>
      </w:tblGrid>
      <w:tr>
        <w:tc>
          <w:tcPr>
            <w:tcW w:type="dxa" w:w="3043"/>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3043"/>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3043"/>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3043"/>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2282"/>
        <w:gridCol w:w="2282"/>
        <w:gridCol w:w="2282"/>
        <w:gridCol w:w="2282"/>
      </w:tblGrid>
      <w:tr>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2282"/>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228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4A276FDF" w14:textId="77777777">
        <w:trPr>
          <w:cantSplit/>
          <w:tblHeader/>
        </w:trPr>
        <w:tc>
          <w:tcPr>
            <w:tcW w:w="70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750"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spacing w:after="40" w:line="240" w:lineRule="auto"/>
              <w:jc w:val="left"/>
            </w:pPr>
            <w:r>
              <w:rPr>
                <w:rFonts w:ascii="Palatino Linotype" w:hAnsi="Palatino Linotype" w:cs="Palatino Linotype"/>
                <w:b/>
                <w:bCs/>
                <w:color w:val="000000"/>
                <w:sz w:val="19"/>
                <w:szCs w:val="17"/>
              </w:rPr>
              <w:t>Author(s)</w:t>
            </w:r>
          </w:p>
        </w:tc>
        <w:tc>
          <w:tcPr>
            <w:tcW w:w="60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spacing w:after="40" w:line="240" w:lineRule="auto"/>
              <w:jc w:val="left"/>
            </w:pPr>
            <w:r>
              <w:rPr>
                <w:rFonts w:ascii="Palatino Linotype" w:hAnsi="Palatino Linotype" w:cs="Palatino Linotype"/>
                <w:b/>
                <w:bCs/>
                <w:color w:val="000000"/>
                <w:sz w:val="19"/>
                <w:szCs w:val="17"/>
              </w:rPr>
              <w:t>Year</w:t>
            </w:r>
          </w:p>
        </w:tc>
        <w:tc>
          <w:tcPr>
            <w:tcW w:w="3978"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spacing w:after="40" w:line="240" w:lineRule="auto"/>
              <w:jc w:val="left"/>
            </w:pPr>
            <w:r>
              <w:rPr>
                <w:rFonts w:ascii="Palatino Linotype" w:hAnsi="Palatino Linotype" w:cs="Palatino Linotype"/>
                <w:b/>
                <w:bCs/>
                <w:color w:val="000000"/>
                <w:sz w:val="19"/>
                <w:szCs w:val="17"/>
              </w:rPr>
              <w:t>Title</w:t>
            </w:r>
          </w:p>
        </w:tc>
        <w:tc>
          <w:tcPr>
            <w:tcW w:w="2100"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750"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2100"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750"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0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978"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2100"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750"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2100"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750"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2100"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750"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750"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2100"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750"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0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2100"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750"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0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2100"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750"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2100"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750"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750"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0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750"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2100"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750"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2100"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750"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0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2100"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750"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2100"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750"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750"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2100"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750"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750"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2100"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750"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2100"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750"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2100"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750"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750"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2100"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750"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0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978"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2100"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750"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0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2100"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S3 Al Amin et al. (2023)</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Informed consent is modelled as a patient-driven policy object with hash integrity, which an authorisation module conjoins with other policies inside a smart contract.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Purpose is not a condition, the time and expiry conditions are specified but not enforced, the only multi-party element is a 2-of-2 co-signature at registration, and the Goerli evaluation reports no measured results.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S19 SooHoo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authentication and authorisation processes of the iAgree portal across three United States health systems, using OAuth2, SMART on FHIR, and one-time passwords, with a permissioned Ethereum audit contract.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 enforcement is outside its scope, a single patient decides, identity and authority are not separated, revocation is claimed but not tested, and there are no formal methods.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S22 Tremper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Ten years of the Mainzelliste production service for pseudonymisation, record linkage, and informed consent management, with purpose-scoped FHIR consent directives and automated consent checks.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consent checks have no specified semantics and no demonstrated enforcement of withdrawal, its multi-party computation parties are linkage units rather than authorisers, and no consent decision is verified.</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S14 Phuyal et al. (2026b)</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single patient grants consent, the stored expiry is not checked, purpose is handled only at the interface, and there is no threat model.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S15 Phuyal et al. (2026a)</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design-science architecture for dynamic and auditable patient consent in secondary use, using FHIR Consent with purpose, scope, actors, and validity period, anchored on chain, with conceptual VC validation at a gateway.</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architecture is design-only and is neither implemented nor evaluated, and delegation through VCs is not joint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S23 Tseng et al.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EMR-Chain, a decentralised electronic medical record exchange that verifies authority-issued roles separately from X.509 identities and enforces token expiry at the validator.</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 Abbasi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Decentralised EHR management in which a Shamir (5, 3) threshold reconstructs a symmetric key, and automated oracles release their shares according to the requester's on-chain role.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threshold is over key custodians rather than authorisers, the patient share is not required, purpose is not evaluated, and no authorisation decision is verified despite extensive performance measurement.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S4 Ekholm et al.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deployed electronic informed consent platform for rare disease genomics, in which a minor's consent is valid only when all legal guardians sign, and guardianship is verified against the Swedish Population Register.</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guardian co-consent applies at registration rather than at each access request, the platform is centralised and described with little technical detail, and there is no temporal, purpose, or formal assurance condition.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S6 Hagström et al. (2024)</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comparative case study of national patient portals, in which a clinician's capacity assessment and the minor's consent jointly gate guardian access, with register-verified guardianship and enforced age windows.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mechanism is centralised and applied at documentation time, and the guardian is the party whose proxy access is gated rather than a co-authoriser of the patient's access decision.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S10 Madine et al. (2020)</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Fully decentralised multi-party consent management in which, on the incapacitated path, approvals from a regulator and a guardian threshold are required on one access request, and stale attestations stop counting.</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On the normal path a single patient key authorises, so multi-party approval is a contingency. Purpose and data-category policy are absent, revocation after delivery is not possible, and there is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S16 Punia et al.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MedXBlock, a blockchain-driven access control system for cloud healthcare that combines an institutional M-of-N multi-signature with a conjunctive role and attribute policy evaluated with deny-by-default.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S20 Tan et al. (2024)</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Sharing of personal health records with multi-party pre-authorisation verification, in which a (t, n) threshold of patient-appointed verifiers each validate the grant, its expiry, and the revocation list before releasing a key share.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joint approval is a pre-delegated contingency for an unconscious patient rather than a standing condition, purpose and data scope are not evaluated, and the gate is not evaluated empirically as an authorisation decision.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S24 Wu et al. (2022)</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Trust computing and privacy-preserving smart contracts for multi-site clinical trial data, in which a (t, n) investigator threshold signature governs trial admission to the ledger and consent revocation.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consent grant is unilateral, the voters are institution-side investigators, the vote reduces to a hash-integrity check, there is no policy engine, and there is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S2 Albalwy et al. (2021)</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blockchain-based dynamic consent proof of concept for clinical genomic data, in which a hashed policy tree of data type, role, and purpose is evaluated by the smart contract.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single patient sets and cancels consent, the requester's role and credentials are not verified, time is applied only at the delivery layer, and there is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S7 Jaiman and Urovi (2020)</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consent model in which ontology terms requested by a data requester are matched against the patient's consent inside the smart contract, with denial tested across requester profiles.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Security assurance is explicitly outside its scope, and there is no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S17 Román-Martínez et al. (2023)</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blockchain-based service-oriented architecture on Hyperledger Fabric for consent management, access control, and auditing, in which FHIR purpose-of-use limits are evaluated per resource through XACML.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There is no withdrawal or expiry path, and the experiments validate only the blockchain component.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S21 Tith et al. (2020)</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purpose-based consent model on Hyperledger Fabric, in which a consent tuple of role, doctor identifiers, action, and intended purpose is matched against a purpose tree in chaincode at request time.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 is given by a single patient, the tuple has no temporal element, the effect of withdrawal is not tested, identity uses Fabric certificates without DID or VC, and there is no formal verification.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S5 Eneh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EdgeConsent, a demonstration of on-chain attribute-based access control in which consent rules with purpose, data category, and notBefore and notAfter bounds are evaluated at decision time.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two-page demonstration with weak identity and authority trust and no DID or VC, no multi-party approval, a lifecycle that is only an active flag, and preliminary local evaluation without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S9 Li et al. (2026a)</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hybrid RBAC and smart contract scheme with attribute-based authentication for fine-grained EMR access in IoMT, which enforces credential expiry at every sharing interaction.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Time is enforced in the decision through the credential rather than the consent, which is why Req 5 is graded Yes, but the consent itself carries no enforced validity window, and there is no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S13 Panagoulias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simulated single-node prototype with set-membership policy and aggregate deny attribution, without multi-party approval or identity depth, and the authors declare no formal assurance.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S18 Hema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 is issued from a single patient key, identity relies on a cloud authentication service without DID or VC, and assurance is limited to an adversary model.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1014"/>
        <w:gridCol w:w="1014"/>
        <w:gridCol w:w="1014"/>
        <w:gridCol w:w="1014"/>
        <w:gridCol w:w="1014"/>
        <w:gridCol w:w="1014"/>
        <w:gridCol w:w="1014"/>
        <w:gridCol w:w="1014"/>
        <w:gridCol w:w="1014"/>
      </w:tblGrid>
      <w:tr>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Description of the study</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Issues/Limitations</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1</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2</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3</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4</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5</w:t>
            </w:r>
          </w:p>
        </w:tc>
        <w:tc>
          <w:tcPr>
            <w:tcW w:type="dxa" w:w="1014"/>
            <w:tcBorders>
              <w:top w:val="nil"/>
              <w:left w:val="nil"/>
              <w:bottom w:val="single" w:sz="6" w:color="000000" w:space="0"/>
              <w:right w:val="nil"/>
              <w:insideH w:val="nil"/>
              <w:insideV w:val="nil"/>
            </w:tcBorders>
          </w:tcPr>
          <w:p>
            <w:pPr>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Req 6</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S8 Zhao and Su (2024)</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threshold traceable delegation scheme in which the patient delegates a threshold of l already-authorised users, who must jointly authorise an out-of-policy requester, with unforgeability argued under DBDH.</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authorisers are consumer-side delegates rather than patient-side stakeholders, the patient's own decision is unilateral, a trusted authority escrows keys, and there is no temporal, lifecycle, or purpose condition.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S11 Maruthi and Singh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Protection of IoMT data for unconscious patients, in which t-of-n patient-designated relatives release access through threshold proxy re-encryption, and the hospital and relatives are authenticated on chain.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 and temporal conditions are not evaluated, and the proofs cover the threshold gate in isolation rather than the complete decision.</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S12 Mei et al. (2026)</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An efficient dual-revocation CP-ABE scheme for IoMT that terminates access immediately through ciphertext update, motivated by consent withdrawal, with a security reduction under q-BDHE.</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proof covers a static encryption predicate, revocation operates at scheme level rather than on a consent object, and there is no multi-party approval.</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r>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S25 Wu and Zhang (2025)</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HealthDID, a DID-based privacy-preserving EMR sharing system with three game-based definitions and three theorems proved by reduction, in which a zero-knowledge proof binds the authorisation to a specific requester.</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proofs cover only the identity and authority fragment, multi-party refers to the privacy requirements of several stakeholders rather than joint approval, and there are no policy, temporal, or lifecycle conditions.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No</w:t>
            </w:r>
          </w:p>
        </w:tc>
        <w:tc>
          <w:tcPr>
            <w:tcW w:type="dxa" w:w="10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Yes</w:t>
            </w:r>
          </w:p>
        </w:tc>
      </w:tr>
    </w:tbl>
    <w:p>
      <w:pPr/>
      <w:r>
        <w:rPr>
          <w:color w:val="FF0000"/>
        </w:r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7BC8D64E" w14:textId="77777777">
        <w:trPr>
          <w:cantSplit/>
          <w:tblHeader/>
        </w:trPr>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spacing w:after="40" w:line="240" w:lineRule="auto"/>
              <w:jc w:val="left"/>
            </w:pPr>
            <w:r>
              <w:rPr>
                <w:rFonts w:ascii="Palatino Linotype" w:hAnsi="Palatino Linotype" w:cs="Palatino Linotype"/>
                <w:b/>
                <w:bCs/>
                <w:color w:val="000000"/>
                <w:sz w:val="19"/>
                <w:szCs w:val="17"/>
              </w:rPr>
              <w:t>Req 1</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spacing w:after="40" w:line="240" w:lineRule="auto"/>
              <w:jc w:val="left"/>
            </w:pPr>
            <w:r>
              <w:rPr>
                <w:rFonts w:ascii="Palatino Linotype" w:hAnsi="Palatino Linotype" w:cs="Palatino Linotype"/>
                <w:b/>
                <w:bCs/>
                <w:color w:val="000000"/>
                <w:sz w:val="19"/>
                <w:szCs w:val="17"/>
              </w:rPr>
              <w:t>Req 2</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spacing w:after="40" w:line="240" w:lineRule="auto"/>
              <w:jc w:val="left"/>
            </w:pPr>
            <w:r>
              <w:rPr>
                <w:rFonts w:ascii="Palatino Linotype" w:hAnsi="Palatino Linotype" w:cs="Palatino Linotype"/>
                <w:b/>
                <w:bCs/>
                <w:color w:val="000000"/>
                <w:sz w:val="19"/>
                <w:szCs w:val="17"/>
              </w:rPr>
              <w:t>Req 3</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spacing w:after="40" w:line="240" w:lineRule="auto"/>
              <w:jc w:val="left"/>
            </w:pPr>
            <w:r>
              <w:rPr>
                <w:rFonts w:ascii="Palatino Linotype" w:hAnsi="Palatino Linotype" w:cs="Palatino Linotype"/>
                <w:b/>
                <w:bCs/>
                <w:color w:val="000000"/>
                <w:sz w:val="19"/>
                <w:szCs w:val="17"/>
              </w:rPr>
              <w:t>Req 4</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spacing w:after="40" w:line="240" w:lineRule="auto"/>
              <w:jc w:val="left"/>
            </w:pPr>
            <w:r>
              <w:rPr>
                <w:rFonts w:ascii="Palatino Linotype" w:hAnsi="Palatino Linotype" w:cs="Palatino Linotype"/>
                <w:b/>
                <w:bCs/>
                <w:color w:val="000000"/>
                <w:sz w:val="19"/>
                <w:szCs w:val="17"/>
              </w:rPr>
              <w:t>Req 5</w:t>
            </w:r>
          </w:p>
        </w:tc>
        <w:tc>
          <w:tcPr>
            <w:tcW w:w="1133"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1131"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1131"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1131"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1131"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1131"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1131"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1131"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2.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