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Authorisation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r>
        <w:br w:type="page"/>
      </w:r>
    </w:p>
    <w:p>
      <w:pPr>
        <w:spacing w:after="200" w:before="200"/>
        <w:jc w:val="center"/>
      </w:pPr>
      <w:r>
        <w:rPr>
          <w:rFonts w:ascii="Cambria" w:cs="Cambria" w:eastAsia="Cambria" w:hAnsi="Cambria"/>
          <w:b/>
          <w:bCs/>
          <w:color w:val="0000CC"/>
          <w:sz w:val="28"/>
          <w:szCs w:val="28"/>
        </w:rPr>
        <w:t xml:space="preserve">Abstract</w:t>
      </w:r>
    </w:p>
    <w:p>
      <w:pPr>
        <w:spacing w:after="140" w:line="300"/>
        <w:jc w:val="both"/>
      </w:pPr>
      <w:r>
        <w:rPr>
          <w:rFonts w:ascii="Cambria" w:cs="Cambria" w:eastAsia="Cambria" w:hAnsi="Cambria"/>
          <w:color w:val="0000CC"/>
          <w:sz w:val="24"/>
          <w:szCs w:val="24"/>
        </w:rPr>
        <w:t xml:space="preserve">Healthcare data sharing increasingly requires authorisation decisions in which the patient, a guardian set G, the authorised doctor D and institutional authorities participate without belonging to a single administrative domain. Existing blockchain-based consent systems record consent as an immutable permission event, but they do not establish who the participants are, whether they hold the authority to approve, whether the required collective approval has been obtained, whether the requested purpose and data scope match the consent, or whether the consent is still valid at the time of the request.</w:t>
      </w:r>
    </w:p>
    <w:p>
      <w:pPr>
        <w:spacing w:after="140" w:line="300"/>
        <w:jc w:val="both"/>
      </w:pPr>
      <w:r>
        <w:rPr>
          <w:rFonts w:ascii="Cambria" w:cs="Cambria" w:eastAsia="Cambria" w:hAnsi="Cambria"/>
          <w:color w:val="0000CC"/>
          <w:sz w:val="24"/>
          <w:szCs w:val="24"/>
        </w:rPr>
        <w:t xml:space="preserve">This research proposes HALAH, a trust-oriented authorisation framework in which patient consent is represented as an evaluable consent object C = (I, A, P, T, L, E) rather than as a static permission record. Six research objectives are addressed: a trust-centric consent model (RO1), decentralised identity and authority trust using decentralised identifiers and verifiable credentials (RO2), trustworthy multi-party authorisation through a threshold N over the guardian set G (RO3), policy- and context-aware access control (RO4), temporal and lifecycle trust with expiry and revocation (RO5), and formal security assurance with empirical validation (RO6). A systematic literature review of 33 studies, structured by six requirements, shows that no reviewed study satisfies these requirements together. The framework is realised through a Model–View–Controller architecture, six procedures with their algorithms, and a prototype deployed on the Ethereum Sepolia testnet, in which consent activation and revocation are anchored as verifiable transactions and every access decision is the conjunction of the five trust predicates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P</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The current stage delivers RO1 to RO5 in operational form together with the empirical component of RO6, evidenced by 23 automated tests, a live jurisdiction-based denial, an on-chain revocation followed by refusal and an independent verification of every recorded transaction. The formal component of RO6, together with consent modification, delegation and a performance study, constitutes the next stage of the research.</w:t>
      </w:r>
    </w:p>
    <w:p>
      <w:r>
        <w:br w:type="page"/>
      </w:r>
    </w:p>
    <w:p>
      <w:r>
        <w:br w:type="page"/>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8</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10</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14</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14</w:t>
      </w:r>
    </w:p>
    <w:p>
      <w:pPr>
        <w:tabs>
          <w:tab w:val="right" w:pos="9360" w:leader="dot"/>
        </w:tabs>
        <w:spacing w:after="60"/>
        <w:ind w:left="360"/>
      </w:pPr>
      <w:r>
        <w:rPr>
          <w:rFonts w:ascii="Cambria" w:cs="Cambria" w:eastAsia="Cambria" w:hAnsi="Cambria"/>
          <w:b w:val="false"/>
          <w:bCs w:val="false"/>
          <w:sz w:val="22"/>
          <w:szCs w:val="22"/>
        </w:rPr>
        <w:t xml:space="preserve">2.2 Key Requirements for Trustworthy Multi-Party Consent Authorisation</w:t>
      </w:r>
      <w:r>
        <w:rPr>
          <w:rFonts w:ascii="Cambria" w:cs="Cambria" w:eastAsia="Cambria" w:hAnsi="Cambria"/>
          <w:sz w:val="22"/>
          <w:szCs w:val="22"/>
        </w:rPr>
        <w:t xml:space="preserve">	15</w:t>
      </w:r>
    </w:p>
    <w:p>
      <w:pPr>
        <w:tabs>
          <w:tab w:val="right" w:pos="9360" w:leader="dot"/>
        </w:tabs>
        <w:spacing w:after="60"/>
        <w:ind w:left="720"/>
      </w:pPr>
      <w:r>
        <w:rPr>
          <w:rFonts w:ascii="Cambria" w:cs="Cambria" w:eastAsia="Cambria" w:hAnsi="Cambria"/>
          <w:b w:val="false"/>
          <w:bCs w:val="false"/>
          <w:sz w:val="20"/>
          <w:szCs w:val="20"/>
        </w:rPr>
        <w:t xml:space="preserve">2.2.1 Representation of consent as an evaluable authorisation object (Req: 1)</w:t>
      </w:r>
      <w:r>
        <w:rPr>
          <w:rFonts w:ascii="Cambria" w:cs="Cambria" w:eastAsia="Cambria" w:hAnsi="Cambria"/>
          <w:sz w:val="20"/>
          <w:szCs w:val="20"/>
        </w:rPr>
        <w:t xml:space="preserve">	15</w:t>
      </w:r>
    </w:p>
    <w:p>
      <w:pPr>
        <w:tabs>
          <w:tab w:val="right" w:pos="9360" w:leader="dot"/>
        </w:tabs>
        <w:spacing w:after="60"/>
        <w:ind w:left="720"/>
      </w:pPr>
      <w:r>
        <w:rPr>
          <w:rFonts w:ascii="Cambria" w:cs="Cambria" w:eastAsia="Cambria" w:hAnsi="Cambria"/>
          <w:b w:val="false"/>
          <w:bCs w:val="false"/>
          <w:sz w:val="20"/>
          <w:szCs w:val="20"/>
        </w:rPr>
        <w:t xml:space="preserve">2.2.2 Decentralised verification of identity and authority (Req: 2)</w:t>
      </w:r>
      <w:r>
        <w:rPr>
          <w:rFonts w:ascii="Cambria" w:cs="Cambria" w:eastAsia="Cambria" w:hAnsi="Cambria"/>
          <w:sz w:val="20"/>
          <w:szCs w:val="20"/>
        </w:rPr>
        <w:t xml:space="preserve">	15</w:t>
      </w:r>
    </w:p>
    <w:p>
      <w:pPr>
        <w:tabs>
          <w:tab w:val="right" w:pos="9360" w:leader="dot"/>
        </w:tabs>
        <w:spacing w:after="60"/>
        <w:ind w:left="720"/>
      </w:pPr>
      <w:r>
        <w:rPr>
          <w:rFonts w:ascii="Cambria" w:cs="Cambria" w:eastAsia="Cambria" w:hAnsi="Cambria"/>
          <w:b w:val="false"/>
          <w:bCs w:val="false"/>
          <w:sz w:val="20"/>
          <w:szCs w:val="20"/>
        </w:rPr>
        <w:t xml:space="preserve">2.2.3 Multi-party authorisation through a verifiable threshold (Req: 3)</w:t>
      </w:r>
      <w:r>
        <w:rPr>
          <w:rFonts w:ascii="Cambria" w:cs="Cambria" w:eastAsia="Cambria" w:hAnsi="Cambria"/>
          <w:sz w:val="20"/>
          <w:szCs w:val="20"/>
        </w:rPr>
        <w:t xml:space="preserve">	15</w:t>
      </w:r>
    </w:p>
    <w:p>
      <w:pPr>
        <w:tabs>
          <w:tab w:val="right" w:pos="9360" w:leader="dot"/>
        </w:tabs>
        <w:spacing w:after="60"/>
        <w:ind w:left="720"/>
      </w:pPr>
      <w:r>
        <w:rPr>
          <w:rFonts w:ascii="Cambria" w:cs="Cambria" w:eastAsia="Cambria" w:hAnsi="Cambria"/>
          <w:b w:val="false"/>
          <w:bCs w:val="false"/>
          <w:sz w:val="20"/>
          <w:szCs w:val="20"/>
        </w:rPr>
        <w:t xml:space="preserve">2.2.4 Policy- and context-aware enforcement at the time of access (Req: 4)</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2.2.5 Temporal validity and lifecycle control of consent (Req: 5)</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2.2.6 Verifiable auditability and security assurance (Req: 6)</w:t>
      </w:r>
      <w:r>
        <w:rPr>
          <w:rFonts w:ascii="Cambria" w:cs="Cambria" w:eastAsia="Cambria" w:hAnsi="Cambria"/>
          <w:sz w:val="20"/>
          <w:szCs w:val="20"/>
        </w:rPr>
        <w:t xml:space="preserve">	16</w:t>
      </w:r>
    </w:p>
    <w:p>
      <w:pPr>
        <w:tabs>
          <w:tab w:val="right" w:pos="9360" w:leader="dot"/>
        </w:tabs>
        <w:spacing w:after="60"/>
        <w:ind w:left="360"/>
      </w:pPr>
      <w:r>
        <w:rPr>
          <w:rFonts w:ascii="Cambria" w:cs="Cambria" w:eastAsia="Cambria" w:hAnsi="Cambria"/>
          <w:b w:val="false"/>
          <w:bCs w:val="false"/>
          <w:sz w:val="22"/>
          <w:szCs w:val="22"/>
        </w:rPr>
        <w:t xml:space="preserve">2.3 Systematic Literature Review Methodology</w:t>
      </w:r>
      <w:r>
        <w:rPr>
          <w:rFonts w:ascii="Cambria" w:cs="Cambria" w:eastAsia="Cambria" w:hAnsi="Cambria"/>
          <w:sz w:val="22"/>
          <w:szCs w:val="22"/>
        </w:rPr>
        <w:t xml:space="preserve">	17</w:t>
      </w:r>
    </w:p>
    <w:p>
      <w:pPr>
        <w:tabs>
          <w:tab w:val="right" w:pos="9360" w:leader="dot"/>
        </w:tabs>
        <w:spacing w:after="60"/>
        <w:ind w:left="720"/>
      </w:pPr>
      <w:r>
        <w:rPr>
          <w:rFonts w:ascii="Cambria" w:cs="Cambria" w:eastAsia="Cambria" w:hAnsi="Cambria"/>
          <w:b w:val="false"/>
          <w:bCs w:val="false"/>
          <w:sz w:val="20"/>
          <w:szCs w:val="20"/>
        </w:rPr>
        <w:t xml:space="preserve">2.3.1 Review Design and Reporting Framework</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2.3.2 Questions for Review</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2.3.3 Search Databases and Search Strategy</w:t>
      </w:r>
      <w:r>
        <w:rPr>
          <w:rFonts w:ascii="Cambria" w:cs="Cambria" w:eastAsia="Cambria" w:hAnsi="Cambria"/>
          <w:sz w:val="20"/>
          <w:szCs w:val="20"/>
        </w:rPr>
        <w:t xml:space="preserve">	18</w:t>
      </w:r>
    </w:p>
    <w:p>
      <w:pPr>
        <w:tabs>
          <w:tab w:val="right" w:pos="9360" w:leader="dot"/>
        </w:tabs>
        <w:spacing w:after="60"/>
        <w:ind w:left="720"/>
      </w:pPr>
      <w:r>
        <w:rPr>
          <w:rFonts w:ascii="Cambria" w:cs="Cambria" w:eastAsia="Cambria" w:hAnsi="Cambria"/>
          <w:b w:val="false"/>
          <w:bCs w:val="false"/>
          <w:sz w:val="20"/>
          <w:szCs w:val="20"/>
        </w:rPr>
        <w:t xml:space="preserve">2.3.4 Search Period and Search Execution</w:t>
      </w:r>
      <w:r>
        <w:rPr>
          <w:rFonts w:ascii="Cambria" w:cs="Cambria" w:eastAsia="Cambria" w:hAnsi="Cambria"/>
          <w:sz w:val="20"/>
          <w:szCs w:val="20"/>
        </w:rPr>
        <w:t xml:space="preserve">	19</w:t>
      </w:r>
    </w:p>
    <w:p>
      <w:pPr>
        <w:tabs>
          <w:tab w:val="right" w:pos="9360" w:leader="dot"/>
        </w:tabs>
        <w:spacing w:after="60"/>
        <w:ind w:left="720"/>
      </w:pPr>
      <w:r>
        <w:rPr>
          <w:rFonts w:ascii="Cambria" w:cs="Cambria" w:eastAsia="Cambria" w:hAnsi="Cambria"/>
          <w:b w:val="false"/>
          <w:bCs w:val="false"/>
          <w:sz w:val="20"/>
          <w:szCs w:val="20"/>
        </w:rPr>
        <w:t xml:space="preserve">2.3.5 Eligibility Criteria</w:t>
      </w:r>
      <w:r>
        <w:rPr>
          <w:rFonts w:ascii="Cambria" w:cs="Cambria" w:eastAsia="Cambria" w:hAnsi="Cambria"/>
          <w:sz w:val="20"/>
          <w:szCs w:val="20"/>
        </w:rPr>
        <w:t xml:space="preserve">	20</w:t>
      </w:r>
    </w:p>
    <w:p>
      <w:pPr>
        <w:tabs>
          <w:tab w:val="right" w:pos="9360" w:leader="dot"/>
        </w:tabs>
        <w:spacing w:after="60"/>
        <w:ind w:left="720"/>
      </w:pPr>
      <w:r>
        <w:rPr>
          <w:rFonts w:ascii="Cambria" w:cs="Cambria" w:eastAsia="Cambria" w:hAnsi="Cambria"/>
          <w:b w:val="false"/>
          <w:bCs w:val="false"/>
          <w:sz w:val="20"/>
          <w:szCs w:val="20"/>
        </w:rPr>
        <w:t xml:space="preserve">2.3.6 Screening and Study Selection</w:t>
      </w:r>
      <w:r>
        <w:rPr>
          <w:rFonts w:ascii="Cambria" w:cs="Cambria" w:eastAsia="Cambria" w:hAnsi="Cambria"/>
          <w:sz w:val="20"/>
          <w:szCs w:val="20"/>
        </w:rPr>
        <w:t xml:space="preserve">	21</w:t>
      </w:r>
    </w:p>
    <w:p>
      <w:pPr>
        <w:tabs>
          <w:tab w:val="right" w:pos="9360" w:leader="dot"/>
        </w:tabs>
        <w:spacing w:after="60"/>
        <w:ind w:left="720"/>
      </w:pPr>
      <w:r>
        <w:rPr>
          <w:rFonts w:ascii="Cambria" w:cs="Cambria" w:eastAsia="Cambria" w:hAnsi="Cambria"/>
          <w:b w:val="false"/>
          <w:bCs w:val="false"/>
          <w:sz w:val="20"/>
          <w:szCs w:val="20"/>
        </w:rPr>
        <w:t xml:space="preserve">2.3.7 Data Extraction and Synthesis</w:t>
      </w:r>
      <w:r>
        <w:rPr>
          <w:rFonts w:ascii="Cambria" w:cs="Cambria" w:eastAsia="Cambria" w:hAnsi="Cambria"/>
          <w:sz w:val="20"/>
          <w:szCs w:val="20"/>
        </w:rPr>
        <w:t xml:space="preserve">	22</w:t>
      </w:r>
    </w:p>
    <w:p>
      <w:pPr>
        <w:tabs>
          <w:tab w:val="right" w:pos="9360" w:leader="dot"/>
        </w:tabs>
        <w:spacing w:after="60"/>
        <w:ind w:left="720"/>
      </w:pPr>
      <w:r>
        <w:rPr>
          <w:rFonts w:ascii="Cambria" w:cs="Cambria" w:eastAsia="Cambria" w:hAnsi="Cambria"/>
          <w:b w:val="false"/>
          <w:bCs w:val="false"/>
          <w:sz w:val="20"/>
          <w:szCs w:val="20"/>
        </w:rPr>
        <w:t xml:space="preserve">2.3.8 Shortlisted Studies and Their Categorisation</w:t>
      </w:r>
      <w:r>
        <w:rPr>
          <w:rFonts w:ascii="Cambria" w:cs="Cambria" w:eastAsia="Cambria" w:hAnsi="Cambria"/>
          <w:sz w:val="20"/>
          <w:szCs w:val="20"/>
        </w:rPr>
        <w:t xml:space="preserve">	23</w:t>
      </w:r>
    </w:p>
    <w:p>
      <w:pPr>
        <w:tabs>
          <w:tab w:val="right" w:pos="9360" w:leader="dot"/>
        </w:tabs>
        <w:spacing w:after="60"/>
        <w:ind w:left="360"/>
      </w:pPr>
      <w:r>
        <w:rPr>
          <w:rFonts w:ascii="Cambria" w:cs="Cambria" w:eastAsia="Cambria" w:hAnsi="Cambria"/>
          <w:b w:val="false"/>
          <w:bCs w:val="false"/>
          <w:sz w:val="22"/>
          <w:szCs w:val="22"/>
        </w:rPr>
        <w:t xml:space="preserve">2.4 Review</w:t>
      </w:r>
      <w:r>
        <w:rPr>
          <w:rFonts w:ascii="Cambria" w:cs="Cambria" w:eastAsia="Cambria" w:hAnsi="Cambria"/>
          <w:sz w:val="22"/>
          <w:szCs w:val="22"/>
        </w:rPr>
        <w:t xml:space="preserve">	27</w:t>
      </w:r>
    </w:p>
    <w:p>
      <w:pPr>
        <w:tabs>
          <w:tab w:val="right" w:pos="9360" w:leader="dot"/>
        </w:tabs>
        <w:spacing w:after="60"/>
        <w:ind w:left="720"/>
      </w:pPr>
      <w:r>
        <w:rPr>
          <w:rFonts w:ascii="Cambria" w:cs="Cambria" w:eastAsia="Cambria" w:hAnsi="Cambria"/>
          <w:b w:val="false"/>
          <w:bCs w:val="false"/>
          <w:sz w:val="20"/>
          <w:szCs w:val="20"/>
        </w:rPr>
        <w:t xml:space="preserve">2.4.1 Healthcare Consent and Decentralised Data Governance</w:t>
      </w:r>
      <w:r>
        <w:rPr>
          <w:rFonts w:ascii="Cambria" w:cs="Cambria" w:eastAsia="Cambria" w:hAnsi="Cambria"/>
          <w:sz w:val="20"/>
          <w:szCs w:val="20"/>
        </w:rPr>
        <w:t xml:space="preserve">	28</w:t>
      </w:r>
    </w:p>
    <w:p>
      <w:pPr>
        <w:tabs>
          <w:tab w:val="right" w:pos="9360" w:leader="dot"/>
        </w:tabs>
        <w:spacing w:after="60"/>
        <w:ind w:left="720"/>
      </w:pPr>
      <w:r>
        <w:rPr>
          <w:rFonts w:ascii="Cambria" w:cs="Cambria" w:eastAsia="Cambria" w:hAnsi="Cambria"/>
          <w:b w:val="false"/>
          <w:bCs w:val="false"/>
          <w:sz w:val="20"/>
          <w:szCs w:val="20"/>
        </w:rPr>
        <w:t xml:space="preserve">2.4.2 Blockchain-Based Consent and Data Governance</w:t>
      </w:r>
      <w:r>
        <w:rPr>
          <w:rFonts w:ascii="Cambria" w:cs="Cambria" w:eastAsia="Cambria" w:hAnsi="Cambria"/>
          <w:sz w:val="20"/>
          <w:szCs w:val="20"/>
        </w:rPr>
        <w:t xml:space="preserve">	31</w:t>
      </w:r>
    </w:p>
    <w:p>
      <w:pPr>
        <w:tabs>
          <w:tab w:val="right" w:pos="9360" w:leader="dot"/>
        </w:tabs>
        <w:spacing w:after="60"/>
        <w:ind w:left="720"/>
      </w:pPr>
      <w:r>
        <w:rPr>
          <w:rFonts w:ascii="Cambria" w:cs="Cambria" w:eastAsia="Cambria" w:hAnsi="Cambria"/>
          <w:b w:val="false"/>
          <w:bCs w:val="false"/>
          <w:sz w:val="20"/>
          <w:szCs w:val="20"/>
        </w:rPr>
        <w:t xml:space="preserve">2.4.3 Decentralised Identity and Verifiable Credentials</w:t>
      </w:r>
      <w:r>
        <w:rPr>
          <w:rFonts w:ascii="Cambria" w:cs="Cambria" w:eastAsia="Cambria" w:hAnsi="Cambria"/>
          <w:sz w:val="20"/>
          <w:szCs w:val="20"/>
        </w:rPr>
        <w:t xml:space="preserve">	34</w:t>
      </w:r>
    </w:p>
    <w:p>
      <w:pPr>
        <w:tabs>
          <w:tab w:val="right" w:pos="9360" w:leader="dot"/>
        </w:tabs>
        <w:spacing w:after="60"/>
        <w:ind w:left="720"/>
      </w:pPr>
      <w:r>
        <w:rPr>
          <w:rFonts w:ascii="Cambria" w:cs="Cambria" w:eastAsia="Cambria" w:hAnsi="Cambria"/>
          <w:b w:val="false"/>
          <w:bCs w:val="false"/>
          <w:sz w:val="20"/>
          <w:szCs w:val="20"/>
        </w:rPr>
        <w:t xml:space="preserve">2.4.4 Multi-Party Authorisation and Collaborative Consent</w:t>
      </w:r>
      <w:r>
        <w:rPr>
          <w:rFonts w:ascii="Cambria" w:cs="Cambria" w:eastAsia="Cambria" w:hAnsi="Cambria"/>
          <w:sz w:val="20"/>
          <w:szCs w:val="20"/>
        </w:rPr>
        <w:t xml:space="preserve">	37</w:t>
      </w:r>
    </w:p>
    <w:p>
      <w:pPr>
        <w:tabs>
          <w:tab w:val="right" w:pos="9360" w:leader="dot"/>
        </w:tabs>
        <w:spacing w:after="60"/>
        <w:ind w:left="720"/>
      </w:pPr>
      <w:r>
        <w:rPr>
          <w:rFonts w:ascii="Cambria" w:cs="Cambria" w:eastAsia="Cambria" w:hAnsi="Cambria"/>
          <w:b w:val="false"/>
          <w:bCs w:val="false"/>
          <w:sz w:val="20"/>
          <w:szCs w:val="20"/>
        </w:rPr>
        <w:t xml:space="preserve">2.4.5 Policy-Based and Context-Aware Access Control</w:t>
      </w:r>
      <w:r>
        <w:rPr>
          <w:rFonts w:ascii="Cambria" w:cs="Cambria" w:eastAsia="Cambria" w:hAnsi="Cambria"/>
          <w:sz w:val="20"/>
          <w:szCs w:val="20"/>
        </w:rPr>
        <w:t xml:space="preserve">	38</w:t>
      </w:r>
    </w:p>
    <w:p>
      <w:pPr>
        <w:tabs>
          <w:tab w:val="right" w:pos="9360" w:leader="dot"/>
        </w:tabs>
        <w:spacing w:after="60"/>
        <w:ind w:left="720"/>
      </w:pPr>
      <w:r>
        <w:rPr>
          <w:rFonts w:ascii="Cambria" w:cs="Cambria" w:eastAsia="Cambria" w:hAnsi="Cambria"/>
          <w:b w:val="false"/>
          <w:bCs w:val="false"/>
          <w:sz w:val="20"/>
          <w:szCs w:val="20"/>
        </w:rPr>
        <w:t xml:space="preserve">2.4.6 Trusted Computing, Secure Execution, and Security Assurance</w:t>
      </w:r>
      <w:r>
        <w:rPr>
          <w:rFonts w:ascii="Cambria" w:cs="Cambria" w:eastAsia="Cambria" w:hAnsi="Cambria"/>
          <w:sz w:val="20"/>
          <w:szCs w:val="20"/>
        </w:rPr>
        <w:t xml:space="preserve">	40</w:t>
      </w:r>
    </w:p>
    <w:p>
      <w:pPr>
        <w:tabs>
          <w:tab w:val="right" w:pos="9360" w:leader="dot"/>
        </w:tabs>
        <w:spacing w:after="60"/>
        <w:ind w:left="720"/>
      </w:pPr>
      <w:r>
        <w:rPr>
          <w:rFonts w:ascii="Cambria" w:cs="Cambria" w:eastAsia="Cambria" w:hAnsi="Cambria"/>
          <w:b w:val="false"/>
          <w:bCs w:val="false"/>
          <w:sz w:val="20"/>
          <w:szCs w:val="20"/>
        </w:rPr>
        <w:t xml:space="preserve">2.4.7 Comparative Analysis of Existing Approaches</w:t>
      </w:r>
      <w:r>
        <w:rPr>
          <w:rFonts w:ascii="Cambria" w:cs="Cambria" w:eastAsia="Cambria" w:hAnsi="Cambria"/>
          <w:sz w:val="20"/>
          <w:szCs w:val="20"/>
        </w:rPr>
        <w:t xml:space="preserve">	42</w:t>
      </w:r>
    </w:p>
    <w:p>
      <w:pPr>
        <w:tabs>
          <w:tab w:val="right" w:pos="9360" w:leader="dot"/>
        </w:tabs>
        <w:spacing w:after="60"/>
        <w:ind w:left="360"/>
      </w:pPr>
      <w:r>
        <w:rPr>
          <w:rFonts w:ascii="Cambria" w:cs="Cambria" w:eastAsia="Cambria" w:hAnsi="Cambria"/>
          <w:b w:val="false"/>
          <w:bCs w:val="false"/>
          <w:sz w:val="22"/>
          <w:szCs w:val="22"/>
        </w:rPr>
        <w:t xml:space="preserve">2.5 Synthesis and Research Gap</w:t>
      </w:r>
      <w:r>
        <w:rPr>
          <w:rFonts w:ascii="Cambria" w:cs="Cambria" w:eastAsia="Cambria" w:hAnsi="Cambria"/>
          <w:sz w:val="22"/>
          <w:szCs w:val="22"/>
        </w:rPr>
        <w:t xml:space="preserve">	44</w:t>
      </w:r>
    </w:p>
    <w:p>
      <w:pPr>
        <w:tabs>
          <w:tab w:val="right" w:pos="9360" w:leader="dot"/>
        </w:tabs>
        <w:spacing w:after="60"/>
        <w:ind w:left="720"/>
      </w:pPr>
      <w:r>
        <w:rPr>
          <w:rFonts w:ascii="Cambria" w:cs="Cambria" w:eastAsia="Cambria" w:hAnsi="Cambria"/>
          <w:b w:val="false"/>
          <w:bCs w:val="false"/>
          <w:sz w:val="20"/>
          <w:szCs w:val="20"/>
        </w:rPr>
        <w:t xml:space="preserve">2.5.1 Research Gaps in the Existing Studies from the Requirement Perspective</w:t>
      </w:r>
      <w:r>
        <w:rPr>
          <w:rFonts w:ascii="Cambria" w:cs="Cambria" w:eastAsia="Cambria" w:hAnsi="Cambria"/>
          <w:sz w:val="20"/>
          <w:szCs w:val="20"/>
        </w:rPr>
        <w:t xml:space="preserve">	44</w:t>
      </w:r>
    </w:p>
    <w:p>
      <w:pPr>
        <w:tabs>
          <w:tab w:val="right" w:pos="9360" w:leader="dot"/>
        </w:tabs>
        <w:spacing w:after="60"/>
        <w:ind w:left="360"/>
      </w:pPr>
      <w:r>
        <w:rPr>
          <w:rFonts w:ascii="Cambria" w:cs="Cambria" w:eastAsia="Cambria" w:hAnsi="Cambria"/>
          <w:b w:val="false"/>
          <w:bCs w:val="false"/>
          <w:sz w:val="22"/>
          <w:szCs w:val="22"/>
        </w:rPr>
        <w:t xml:space="preserve">2.6 Conclusion</w:t>
      </w:r>
      <w:r>
        <w:rPr>
          <w:rFonts w:ascii="Cambria" w:cs="Cambria" w:eastAsia="Cambria" w:hAnsi="Cambria"/>
          <w:sz w:val="22"/>
          <w:szCs w:val="22"/>
        </w:rPr>
        <w:t xml:space="preserve">	47</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49</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49</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50</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51</w:t>
      </w:r>
    </w:p>
    <w:p>
      <w:pPr>
        <w:tabs>
          <w:tab w:val="right" w:pos="9360" w:leader="dot"/>
        </w:tabs>
        <w:spacing w:after="60"/>
        <w:ind w:left="720"/>
      </w:pPr>
      <w:r>
        <w:rPr>
          <w:rFonts w:ascii="Cambria" w:cs="Cambria" w:eastAsia="Cambria" w:hAnsi="Cambria"/>
          <w:b w:val="false"/>
          <w:bCs w:val="false"/>
          <w:sz w:val="20"/>
          <w:szCs w:val="20"/>
        </w:rPr>
        <w:t xml:space="preserve">3.3.1 SRQ1: Trust-Centric Consent Modelling</w:t>
      </w:r>
      <w:r>
        <w:rPr>
          <w:rFonts w:ascii="Cambria" w:cs="Cambria" w:eastAsia="Cambria" w:hAnsi="Cambria"/>
          <w:sz w:val="20"/>
          <w:szCs w:val="20"/>
        </w:rPr>
        <w:t xml:space="preserve">	52</w:t>
      </w:r>
    </w:p>
    <w:p>
      <w:pPr>
        <w:tabs>
          <w:tab w:val="right" w:pos="9360" w:leader="dot"/>
        </w:tabs>
        <w:spacing w:after="60"/>
        <w:ind w:left="720"/>
      </w:pPr>
      <w:r>
        <w:rPr>
          <w:rFonts w:ascii="Cambria" w:cs="Cambria" w:eastAsia="Cambria" w:hAnsi="Cambria"/>
          <w:b w:val="false"/>
          <w:bCs w:val="false"/>
          <w:sz w:val="20"/>
          <w:szCs w:val="20"/>
        </w:rPr>
        <w:t xml:space="preserve">3.3.2 SRQ2: Decentralised Identity and Authority Trust</w:t>
      </w:r>
      <w:r>
        <w:rPr>
          <w:rFonts w:ascii="Cambria" w:cs="Cambria" w:eastAsia="Cambria" w:hAnsi="Cambria"/>
          <w:sz w:val="20"/>
          <w:szCs w:val="20"/>
        </w:rPr>
        <w:t xml:space="preserve">	52</w:t>
      </w:r>
    </w:p>
    <w:p>
      <w:pPr>
        <w:tabs>
          <w:tab w:val="right" w:pos="9360" w:leader="dot"/>
        </w:tabs>
        <w:spacing w:after="60"/>
        <w:ind w:left="720"/>
      </w:pPr>
      <w:r>
        <w:rPr>
          <w:rFonts w:ascii="Cambria" w:cs="Cambria" w:eastAsia="Cambria" w:hAnsi="Cambria"/>
          <w:b w:val="false"/>
          <w:bCs w:val="false"/>
          <w:sz w:val="20"/>
          <w:szCs w:val="20"/>
        </w:rPr>
        <w:t xml:space="preserve">3.3.3 SRQ3: Trustworthy Multi-Party Authorisation</w:t>
      </w:r>
      <w:r>
        <w:rPr>
          <w:rFonts w:ascii="Cambria" w:cs="Cambria" w:eastAsia="Cambria" w:hAnsi="Cambria"/>
          <w:sz w:val="20"/>
          <w:szCs w:val="20"/>
        </w:rPr>
        <w:t xml:space="preserve">	53</w:t>
      </w:r>
    </w:p>
    <w:p>
      <w:pPr>
        <w:tabs>
          <w:tab w:val="right" w:pos="9360" w:leader="dot"/>
        </w:tabs>
        <w:spacing w:after="60"/>
        <w:ind w:left="720"/>
      </w:pPr>
      <w:r>
        <w:rPr>
          <w:rFonts w:ascii="Cambria" w:cs="Cambria" w:eastAsia="Cambria" w:hAnsi="Cambria"/>
          <w:b w:val="false"/>
          <w:bCs w:val="false"/>
          <w:sz w:val="20"/>
          <w:szCs w:val="20"/>
        </w:rPr>
        <w:t xml:space="preserve">3.3.4 SRQ4: Policy- and Context-Aware Access Control</w:t>
      </w:r>
      <w:r>
        <w:rPr>
          <w:rFonts w:ascii="Cambria" w:cs="Cambria" w:eastAsia="Cambria" w:hAnsi="Cambria"/>
          <w:sz w:val="20"/>
          <w:szCs w:val="20"/>
        </w:rPr>
        <w:t xml:space="preserve">	54</w:t>
      </w:r>
    </w:p>
    <w:p>
      <w:pPr>
        <w:tabs>
          <w:tab w:val="right" w:pos="9360" w:leader="dot"/>
        </w:tabs>
        <w:spacing w:after="60"/>
        <w:ind w:left="720"/>
      </w:pPr>
      <w:r>
        <w:rPr>
          <w:rFonts w:ascii="Cambria" w:cs="Cambria" w:eastAsia="Cambria" w:hAnsi="Cambria"/>
          <w:b w:val="false"/>
          <w:bCs w:val="false"/>
          <w:sz w:val="20"/>
          <w:szCs w:val="20"/>
        </w:rPr>
        <w:t xml:space="preserve">3.3.5 SRQ5: Temporal and Lifecycle Trust</w:t>
      </w:r>
      <w:r>
        <w:rPr>
          <w:rFonts w:ascii="Cambria" w:cs="Cambria" w:eastAsia="Cambria" w:hAnsi="Cambria"/>
          <w:sz w:val="20"/>
          <w:szCs w:val="20"/>
        </w:rPr>
        <w:t xml:space="preserve">	54</w:t>
      </w:r>
    </w:p>
    <w:p>
      <w:pPr>
        <w:tabs>
          <w:tab w:val="right" w:pos="9360" w:leader="dot"/>
        </w:tabs>
        <w:spacing w:after="60"/>
        <w:ind w:left="720"/>
      </w:pPr>
      <w:r>
        <w:rPr>
          <w:rFonts w:ascii="Cambria" w:cs="Cambria" w:eastAsia="Cambria" w:hAnsi="Cambria"/>
          <w:b w:val="false"/>
          <w:bCs w:val="false"/>
          <w:sz w:val="20"/>
          <w:szCs w:val="20"/>
        </w:rPr>
        <w:t xml:space="preserve">3.3.6 SRQ6: Formal Security Assurance and Empirical Validation</w:t>
      </w:r>
      <w:r>
        <w:rPr>
          <w:rFonts w:ascii="Cambria" w:cs="Cambria" w:eastAsia="Cambria" w:hAnsi="Cambria"/>
          <w:sz w:val="20"/>
          <w:szCs w:val="20"/>
        </w:rPr>
        <w:t xml:space="preserve">	55</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57</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60</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60</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60</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60</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61</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61</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62</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63</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66</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66</w:t>
      </w:r>
    </w:p>
    <w:p>
      <w:pPr>
        <w:tabs>
          <w:tab w:val="right" w:pos="9360" w:leader="dot"/>
        </w:tabs>
        <w:spacing w:after="60"/>
        <w:ind w:left="720"/>
      </w:pPr>
      <w:r>
        <w:rPr>
          <w:rFonts w:ascii="Cambria" w:cs="Cambria" w:eastAsia="Cambria" w:hAnsi="Cambria"/>
          <w:b w:val="false"/>
          <w:bCs w:val="false"/>
          <w:sz w:val="20"/>
          <w:szCs w:val="20"/>
        </w:rPr>
        <w:t xml:space="preserve">5.1.1 MVC Component Decomposition</w:t>
      </w:r>
      <w:r>
        <w:rPr>
          <w:rFonts w:ascii="Cambria" w:cs="Cambria" w:eastAsia="Cambria" w:hAnsi="Cambria"/>
          <w:sz w:val="20"/>
          <w:szCs w:val="20"/>
        </w:rPr>
        <w:t xml:space="preserve">	68</w:t>
      </w:r>
    </w:p>
    <w:p>
      <w:pPr>
        <w:tabs>
          <w:tab w:val="right" w:pos="9360" w:leader="dot"/>
        </w:tabs>
        <w:spacing w:after="60"/>
        <w:ind w:left="720"/>
      </w:pPr>
      <w:r>
        <w:rPr>
          <w:rFonts w:ascii="Cambria" w:cs="Cambria" w:eastAsia="Cambria" w:hAnsi="Cambria"/>
          <w:b w:val="false"/>
          <w:bCs w:val="false"/>
          <w:sz w:val="20"/>
          <w:szCs w:val="20"/>
        </w:rPr>
        <w:t xml:space="preserve">5.1.2 Trust Evaluation Across the MVC Layers</w:t>
      </w:r>
      <w:r>
        <w:rPr>
          <w:rFonts w:ascii="Cambria" w:cs="Cambria" w:eastAsia="Cambria" w:hAnsi="Cambria"/>
          <w:sz w:val="20"/>
          <w:szCs w:val="20"/>
        </w:rPr>
        <w:t xml:space="preserve">	70</w:t>
      </w:r>
    </w:p>
    <w:p>
      <w:pPr>
        <w:tabs>
          <w:tab w:val="right" w:pos="9360" w:leader="dot"/>
        </w:tabs>
        <w:spacing w:after="60"/>
        <w:ind w:left="720"/>
      </w:pPr>
      <w:r>
        <w:rPr>
          <w:rFonts w:ascii="Cambria" w:cs="Cambria" w:eastAsia="Cambria" w:hAnsi="Cambria"/>
          <w:b w:val="false"/>
          <w:bCs w:val="false"/>
          <w:sz w:val="20"/>
          <w:szCs w:val="20"/>
        </w:rPr>
        <w:t xml:space="preserve">5.1.3 Relationship Between MVC Layers and Research Questions</w:t>
      </w:r>
      <w:r>
        <w:rPr>
          <w:rFonts w:ascii="Cambria" w:cs="Cambria" w:eastAsia="Cambria" w:hAnsi="Cambria"/>
          <w:sz w:val="20"/>
          <w:szCs w:val="20"/>
        </w:rPr>
        <w:t xml:space="preserve">	71</w:t>
      </w:r>
    </w:p>
    <w:p>
      <w:pPr>
        <w:tabs>
          <w:tab w:val="right" w:pos="9360" w:leader="dot"/>
        </w:tabs>
        <w:spacing w:after="60"/>
        <w:ind w:left="720"/>
      </w:pPr>
      <w:r>
        <w:rPr>
          <w:rFonts w:ascii="Cambria" w:cs="Cambria" w:eastAsia="Cambria" w:hAnsi="Cambria"/>
          <w:b w:val="false"/>
          <w:bCs w:val="false"/>
          <w:sz w:val="20"/>
          <w:szCs w:val="20"/>
        </w:rPr>
        <w:t xml:space="preserve">5.1.4 Architectural Boundary and Trust Assumptions</w:t>
      </w:r>
      <w:r>
        <w:rPr>
          <w:rFonts w:ascii="Cambria" w:cs="Cambria" w:eastAsia="Cambria" w:hAnsi="Cambria"/>
          <w:sz w:val="20"/>
          <w:szCs w:val="20"/>
        </w:rPr>
        <w:t xml:space="preserve">	72</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Authorisation Workflow</w:t>
      </w:r>
      <w:r>
        <w:rPr>
          <w:rFonts w:ascii="Cambria" w:cs="Cambria" w:eastAsia="Cambria" w:hAnsi="Cambria"/>
          <w:sz w:val="22"/>
          <w:szCs w:val="22"/>
        </w:rPr>
        <w:t xml:space="preserve">	73</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76</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77</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78</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79</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80</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81</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81</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82</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82</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86</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86</w:t>
      </w:r>
    </w:p>
    <w:p>
      <w:pPr>
        <w:tabs>
          <w:tab w:val="right" w:pos="9360" w:leader="dot"/>
        </w:tabs>
        <w:spacing w:after="60"/>
        <w:ind w:left="720"/>
      </w:pPr>
      <w:r>
        <w:rPr>
          <w:rFonts w:ascii="Cambria" w:cs="Cambria" w:eastAsia="Cambria" w:hAnsi="Cambria"/>
          <w:b w:val="false"/>
          <w:bCs w:val="false"/>
          <w:sz w:val="20"/>
          <w:szCs w:val="20"/>
        </w:rPr>
        <w:t xml:space="preserve">6.1.1 RO1 Consent Creation Workflow</w:t>
      </w:r>
      <w:r>
        <w:rPr>
          <w:rFonts w:ascii="Cambria" w:cs="Cambria" w:eastAsia="Cambria" w:hAnsi="Cambria"/>
          <w:sz w:val="20"/>
          <w:szCs w:val="20"/>
        </w:rPr>
        <w:t xml:space="preserve">	86</w:t>
      </w:r>
    </w:p>
    <w:p>
      <w:pPr>
        <w:tabs>
          <w:tab w:val="right" w:pos="9360" w:leader="dot"/>
        </w:tabs>
        <w:spacing w:after="60"/>
        <w:ind w:left="720"/>
      </w:pPr>
      <w:r>
        <w:rPr>
          <w:rFonts w:ascii="Cambria" w:cs="Cambria" w:eastAsia="Cambria" w:hAnsi="Cambria"/>
          <w:b w:val="false"/>
          <w:bCs w:val="false"/>
          <w:sz w:val="20"/>
          <w:szCs w:val="20"/>
        </w:rPr>
        <w:t xml:space="preserve">6.1.2 Procedure for Trust-Aware Consent Creation</w:t>
      </w:r>
      <w:r>
        <w:rPr>
          <w:rFonts w:ascii="Cambria" w:cs="Cambria" w:eastAsia="Cambria" w:hAnsi="Cambria"/>
          <w:sz w:val="20"/>
          <w:szCs w:val="20"/>
        </w:rPr>
        <w:t xml:space="preserve">	88</w:t>
      </w:r>
    </w:p>
    <w:p>
      <w:pPr>
        <w:tabs>
          <w:tab w:val="right" w:pos="9360" w:leader="dot"/>
        </w:tabs>
        <w:spacing w:after="60"/>
        <w:ind w:left="720"/>
      </w:pPr>
      <w:r>
        <w:rPr>
          <w:rFonts w:ascii="Cambria" w:cs="Cambria" w:eastAsia="Cambria" w:hAnsi="Cambria"/>
          <w:b w:val="false"/>
          <w:bCs w:val="false"/>
          <w:sz w:val="20"/>
          <w:szCs w:val="20"/>
        </w:rPr>
        <w:t xml:space="preserve">6.1.3 Algorithm 1: Trust-Aware Consent Creation</w:t>
      </w:r>
      <w:r>
        <w:rPr>
          <w:rFonts w:ascii="Cambria" w:cs="Cambria" w:eastAsia="Cambria" w:hAnsi="Cambria"/>
          <w:sz w:val="20"/>
          <w:szCs w:val="20"/>
        </w:rPr>
        <w:t xml:space="preserve">	91</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91</w:t>
      </w:r>
    </w:p>
    <w:p>
      <w:pPr>
        <w:tabs>
          <w:tab w:val="right" w:pos="9360" w:leader="dot"/>
        </w:tabs>
        <w:spacing w:after="60"/>
        <w:ind w:left="720"/>
      </w:pPr>
      <w:r>
        <w:rPr>
          <w:rFonts w:ascii="Cambria" w:cs="Cambria" w:eastAsia="Cambria" w:hAnsi="Cambria"/>
          <w:b w:val="false"/>
          <w:bCs w:val="false"/>
          <w:sz w:val="20"/>
          <w:szCs w:val="20"/>
        </w:rPr>
        <w:t xml:space="preserve">6.2.1 RO2 Identity and Authority Verification Workflow</w:t>
      </w:r>
      <w:r>
        <w:rPr>
          <w:rFonts w:ascii="Cambria" w:cs="Cambria" w:eastAsia="Cambria" w:hAnsi="Cambria"/>
          <w:sz w:val="20"/>
          <w:szCs w:val="20"/>
        </w:rPr>
        <w:t xml:space="preserve">	92</w:t>
      </w:r>
    </w:p>
    <w:p>
      <w:pPr>
        <w:tabs>
          <w:tab w:val="right" w:pos="9360" w:leader="dot"/>
        </w:tabs>
        <w:spacing w:after="60"/>
        <w:ind w:left="720"/>
      </w:pPr>
      <w:r>
        <w:rPr>
          <w:rFonts w:ascii="Cambria" w:cs="Cambria" w:eastAsia="Cambria" w:hAnsi="Cambria"/>
          <w:b w:val="false"/>
          <w:bCs w:val="false"/>
          <w:sz w:val="20"/>
          <w:szCs w:val="20"/>
        </w:rPr>
        <w:t xml:space="preserve">6.2.2 Procedure for DID and VC Identity and Authority Verification</w:t>
      </w:r>
      <w:r>
        <w:rPr>
          <w:rFonts w:ascii="Cambria" w:cs="Cambria" w:eastAsia="Cambria" w:hAnsi="Cambria"/>
          <w:sz w:val="20"/>
          <w:szCs w:val="20"/>
        </w:rPr>
        <w:t xml:space="preserve">	92</w:t>
      </w:r>
    </w:p>
    <w:p>
      <w:pPr>
        <w:tabs>
          <w:tab w:val="right" w:pos="9360" w:leader="dot"/>
        </w:tabs>
        <w:spacing w:after="60"/>
        <w:ind w:left="720"/>
      </w:pPr>
      <w:r>
        <w:rPr>
          <w:rFonts w:ascii="Cambria" w:cs="Cambria" w:eastAsia="Cambria" w:hAnsi="Cambria"/>
          <w:b w:val="false"/>
          <w:bCs w:val="false"/>
          <w:sz w:val="20"/>
          <w:szCs w:val="20"/>
        </w:rPr>
        <w:t xml:space="preserve">6.2.3 Algorithm 2: DID and VC Identity and Authority Verification</w:t>
      </w:r>
      <w:r>
        <w:rPr>
          <w:rFonts w:ascii="Cambria" w:cs="Cambria" w:eastAsia="Cambria" w:hAnsi="Cambria"/>
          <w:sz w:val="20"/>
          <w:szCs w:val="20"/>
        </w:rPr>
        <w:t xml:space="preserve">	95</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96</w:t>
      </w:r>
    </w:p>
    <w:p>
      <w:pPr>
        <w:tabs>
          <w:tab w:val="right" w:pos="9360" w:leader="dot"/>
        </w:tabs>
        <w:spacing w:after="60"/>
        <w:ind w:left="720"/>
      </w:pPr>
      <w:r>
        <w:rPr>
          <w:rFonts w:ascii="Cambria" w:cs="Cambria" w:eastAsia="Cambria" w:hAnsi="Cambria"/>
          <w:b w:val="false"/>
          <w:bCs w:val="false"/>
          <w:sz w:val="20"/>
          <w:szCs w:val="20"/>
        </w:rPr>
        <w:t xml:space="preserve">6.3.1 RO3 Multi-Party Authorisation Workflow</w:t>
      </w:r>
      <w:r>
        <w:rPr>
          <w:rFonts w:ascii="Cambria" w:cs="Cambria" w:eastAsia="Cambria" w:hAnsi="Cambria"/>
          <w:sz w:val="20"/>
          <w:szCs w:val="20"/>
        </w:rPr>
        <w:t xml:space="preserve">	96</w:t>
      </w:r>
    </w:p>
    <w:p>
      <w:pPr>
        <w:tabs>
          <w:tab w:val="right" w:pos="9360" w:leader="dot"/>
        </w:tabs>
        <w:spacing w:after="60"/>
        <w:ind w:left="720"/>
      </w:pPr>
      <w:r>
        <w:rPr>
          <w:rFonts w:ascii="Cambria" w:cs="Cambria" w:eastAsia="Cambria" w:hAnsi="Cambria"/>
          <w:b w:val="false"/>
          <w:bCs w:val="false"/>
          <w:sz w:val="20"/>
          <w:szCs w:val="20"/>
        </w:rPr>
        <w:t xml:space="preserve">6.3.2 Procedure for Threshold-Based Multi-Party Authorisation</w:t>
      </w:r>
      <w:r>
        <w:rPr>
          <w:rFonts w:ascii="Cambria" w:cs="Cambria" w:eastAsia="Cambria" w:hAnsi="Cambria"/>
          <w:sz w:val="20"/>
          <w:szCs w:val="20"/>
        </w:rPr>
        <w:t xml:space="preserve">	97</w:t>
      </w:r>
    </w:p>
    <w:p>
      <w:pPr>
        <w:tabs>
          <w:tab w:val="right" w:pos="9360" w:leader="dot"/>
        </w:tabs>
        <w:spacing w:after="60"/>
        <w:ind w:left="720"/>
      </w:pPr>
      <w:r>
        <w:rPr>
          <w:rFonts w:ascii="Cambria" w:cs="Cambria" w:eastAsia="Cambria" w:hAnsi="Cambria"/>
          <w:b w:val="false"/>
          <w:bCs w:val="false"/>
          <w:sz w:val="20"/>
          <w:szCs w:val="20"/>
        </w:rPr>
        <w:t xml:space="preserve">6.3.3 Algorithm 3: Threshold-Based Multi-Party Authorisation</w:t>
      </w:r>
      <w:r>
        <w:rPr>
          <w:rFonts w:ascii="Cambria" w:cs="Cambria" w:eastAsia="Cambria" w:hAnsi="Cambria"/>
          <w:sz w:val="20"/>
          <w:szCs w:val="20"/>
        </w:rPr>
        <w:t xml:space="preserve">	100</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101</w:t>
      </w:r>
    </w:p>
    <w:p>
      <w:pPr>
        <w:tabs>
          <w:tab w:val="right" w:pos="9360" w:leader="dot"/>
        </w:tabs>
        <w:spacing w:after="60"/>
        <w:ind w:left="720"/>
      </w:pPr>
      <w:r>
        <w:rPr>
          <w:rFonts w:ascii="Cambria" w:cs="Cambria" w:eastAsia="Cambria" w:hAnsi="Cambria"/>
          <w:b w:val="false"/>
          <w:bCs w:val="false"/>
          <w:sz w:val="20"/>
          <w:szCs w:val="20"/>
        </w:rPr>
        <w:t xml:space="preserve">6.4.1 RO4 Policy-Aware Access Workflow</w:t>
      </w:r>
      <w:r>
        <w:rPr>
          <w:rFonts w:ascii="Cambria" w:cs="Cambria" w:eastAsia="Cambria" w:hAnsi="Cambria"/>
          <w:sz w:val="20"/>
          <w:szCs w:val="20"/>
        </w:rPr>
        <w:t xml:space="preserve">	102</w:t>
      </w:r>
    </w:p>
    <w:p>
      <w:pPr>
        <w:tabs>
          <w:tab w:val="right" w:pos="9360" w:leader="dot"/>
        </w:tabs>
        <w:spacing w:after="60"/>
        <w:ind w:left="720"/>
      </w:pPr>
      <w:r>
        <w:rPr>
          <w:rFonts w:ascii="Cambria" w:cs="Cambria" w:eastAsia="Cambria" w:hAnsi="Cambria"/>
          <w:b w:val="false"/>
          <w:bCs w:val="false"/>
          <w:sz w:val="20"/>
          <w:szCs w:val="20"/>
        </w:rPr>
        <w:t xml:space="preserve">6.4.2 Algorithm 4: Policy-Aware Access Decision</w:t>
      </w:r>
      <w:r>
        <w:rPr>
          <w:rFonts w:ascii="Cambria" w:cs="Cambria" w:eastAsia="Cambria" w:hAnsi="Cambria"/>
          <w:sz w:val="20"/>
          <w:szCs w:val="20"/>
        </w:rPr>
        <w:t xml:space="preserve">	103</w:t>
      </w:r>
    </w:p>
    <w:p>
      <w:pPr>
        <w:tabs>
          <w:tab w:val="right" w:pos="9360" w:leader="dot"/>
        </w:tabs>
        <w:spacing w:after="60"/>
        <w:ind w:left="720"/>
      </w:pPr>
      <w:r>
        <w:rPr>
          <w:rFonts w:ascii="Cambria" w:cs="Cambria" w:eastAsia="Cambria" w:hAnsi="Cambria"/>
          <w:b w:val="false"/>
          <w:bCs w:val="false"/>
          <w:sz w:val="20"/>
          <w:szCs w:val="20"/>
        </w:rPr>
        <w:t xml:space="preserve">6.4.3 Procedure for Policy-Aware Access Decision</w:t>
      </w:r>
      <w:r>
        <w:rPr>
          <w:rFonts w:ascii="Cambria" w:cs="Cambria" w:eastAsia="Cambria" w:hAnsi="Cambria"/>
          <w:sz w:val="20"/>
          <w:szCs w:val="20"/>
        </w:rPr>
        <w:t xml:space="preserve">	104</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107</w:t>
      </w:r>
    </w:p>
    <w:p>
      <w:pPr>
        <w:tabs>
          <w:tab w:val="right" w:pos="9360" w:leader="dot"/>
        </w:tabs>
        <w:spacing w:after="60"/>
        <w:ind w:left="720"/>
      </w:pPr>
      <w:r>
        <w:rPr>
          <w:rFonts w:ascii="Cambria" w:cs="Cambria" w:eastAsia="Cambria" w:hAnsi="Cambria"/>
          <w:b w:val="false"/>
          <w:bCs w:val="false"/>
          <w:sz w:val="20"/>
          <w:szCs w:val="20"/>
        </w:rPr>
        <w:t xml:space="preserve">6.5.1 RO5 Temporal and Lifecycle Workflow</w:t>
      </w:r>
      <w:r>
        <w:rPr>
          <w:rFonts w:ascii="Cambria" w:cs="Cambria" w:eastAsia="Cambria" w:hAnsi="Cambria"/>
          <w:sz w:val="20"/>
          <w:szCs w:val="20"/>
        </w:rPr>
        <w:t xml:space="preserve">	108</w:t>
      </w:r>
    </w:p>
    <w:p>
      <w:pPr>
        <w:tabs>
          <w:tab w:val="right" w:pos="9360" w:leader="dot"/>
        </w:tabs>
        <w:spacing w:after="60"/>
        <w:ind w:left="720"/>
      </w:pPr>
      <w:r>
        <w:rPr>
          <w:rFonts w:ascii="Cambria" w:cs="Cambria" w:eastAsia="Cambria" w:hAnsi="Cambria"/>
          <w:b w:val="false"/>
          <w:bCs w:val="false"/>
          <w:sz w:val="20"/>
          <w:szCs w:val="20"/>
        </w:rPr>
        <w:t xml:space="preserve">6.5.2 Procedure for Temporal and Lifecycle Validation</w:t>
      </w:r>
      <w:r>
        <w:rPr>
          <w:rFonts w:ascii="Cambria" w:cs="Cambria" w:eastAsia="Cambria" w:hAnsi="Cambria"/>
          <w:sz w:val="20"/>
          <w:szCs w:val="20"/>
        </w:rPr>
        <w:t xml:space="preserve">	108</w:t>
      </w:r>
    </w:p>
    <w:p>
      <w:pPr>
        <w:tabs>
          <w:tab w:val="right" w:pos="9360" w:leader="dot"/>
        </w:tabs>
        <w:spacing w:after="60"/>
        <w:ind w:left="720"/>
      </w:pPr>
      <w:r>
        <w:rPr>
          <w:rFonts w:ascii="Cambria" w:cs="Cambria" w:eastAsia="Cambria" w:hAnsi="Cambria"/>
          <w:b w:val="false"/>
          <w:bCs w:val="false"/>
          <w:sz w:val="20"/>
          <w:szCs w:val="20"/>
        </w:rPr>
        <w:t xml:space="preserve">6.5.3 Algorithm 5: Temporal and Lifecycle Validation</w:t>
      </w:r>
      <w:r>
        <w:rPr>
          <w:rFonts w:ascii="Cambria" w:cs="Cambria" w:eastAsia="Cambria" w:hAnsi="Cambria"/>
          <w:sz w:val="20"/>
          <w:szCs w:val="20"/>
        </w:rPr>
        <w:t xml:space="preserve">	111</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112</w:t>
      </w:r>
    </w:p>
    <w:p>
      <w:pPr>
        <w:tabs>
          <w:tab w:val="right" w:pos="9360" w:leader="dot"/>
        </w:tabs>
        <w:spacing w:after="60"/>
        <w:ind w:left="720"/>
      </w:pPr>
      <w:r>
        <w:rPr>
          <w:rFonts w:ascii="Cambria" w:cs="Cambria" w:eastAsia="Cambria" w:hAnsi="Cambria"/>
          <w:b w:val="false"/>
          <w:bCs w:val="false"/>
          <w:sz w:val="20"/>
          <w:szCs w:val="20"/>
        </w:rPr>
        <w:t xml:space="preserve">6.6.1 RO6 Assurance and Validation Workflow</w:t>
      </w:r>
      <w:r>
        <w:rPr>
          <w:rFonts w:ascii="Cambria" w:cs="Cambria" w:eastAsia="Cambria" w:hAnsi="Cambria"/>
          <w:sz w:val="20"/>
          <w:szCs w:val="20"/>
        </w:rPr>
        <w:t xml:space="preserve">	113</w:t>
      </w:r>
    </w:p>
    <w:p>
      <w:pPr>
        <w:tabs>
          <w:tab w:val="right" w:pos="9360" w:leader="dot"/>
        </w:tabs>
        <w:spacing w:after="60"/>
        <w:ind w:left="720"/>
      </w:pPr>
      <w:r>
        <w:rPr>
          <w:rFonts w:ascii="Cambria" w:cs="Cambria" w:eastAsia="Cambria" w:hAnsi="Cambria"/>
          <w:b w:val="false"/>
          <w:bCs w:val="false"/>
          <w:sz w:val="20"/>
          <w:szCs w:val="20"/>
        </w:rPr>
        <w:t xml:space="preserve">6.6.2 Procedure for Formal and Empirical Authorisation Validation</w:t>
      </w:r>
      <w:r>
        <w:rPr>
          <w:rFonts w:ascii="Cambria" w:cs="Cambria" w:eastAsia="Cambria" w:hAnsi="Cambria"/>
          <w:sz w:val="20"/>
          <w:szCs w:val="20"/>
        </w:rPr>
        <w:t xml:space="preserve">	113</w:t>
      </w:r>
    </w:p>
    <w:p>
      <w:pPr>
        <w:tabs>
          <w:tab w:val="right" w:pos="9360" w:leader="dot"/>
        </w:tabs>
        <w:spacing w:after="60"/>
        <w:ind w:left="720"/>
      </w:pPr>
      <w:r>
        <w:rPr>
          <w:rFonts w:ascii="Cambria" w:cs="Cambria" w:eastAsia="Cambria" w:hAnsi="Cambria"/>
          <w:b w:val="false"/>
          <w:bCs w:val="false"/>
          <w:sz w:val="20"/>
          <w:szCs w:val="20"/>
        </w:rPr>
        <w:t xml:space="preserve">6.6.3 Algorithm 6: Formal and Empirical Authorisation Validation</w:t>
      </w:r>
      <w:r>
        <w:rPr>
          <w:rFonts w:ascii="Cambria" w:cs="Cambria" w:eastAsia="Cambria" w:hAnsi="Cambria"/>
          <w:sz w:val="20"/>
          <w:szCs w:val="20"/>
        </w:rPr>
        <w:t xml:space="preserve">	118</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119</w:t>
      </w:r>
    </w:p>
    <w:p>
      <w:pPr>
        <w:tabs>
          <w:tab w:val="right" w:pos="9360" w:leader="dot"/>
        </w:tabs>
        <w:spacing w:after="60"/>
        <w:ind w:left="360"/>
      </w:pPr>
      <w:r>
        <w:rPr>
          <w:rFonts w:ascii="Cambria" w:cs="Cambria" w:eastAsia="Cambria" w:hAnsi="Cambria"/>
          <w:b w:val="false"/>
          <w:bCs w:val="false"/>
          <w:color w:val="000000"/>
          <w:sz w:val="22"/>
          <w:szCs w:val="22"/>
        </w:rPr>
        <w:t xml:space="preserve">6.8 Implementation and Live Demonstration of the Proposed Solution</w:t>
      </w:r>
      <w:r>
        <w:rPr>
          <w:rFonts w:ascii="Cambria" w:cs="Cambria" w:eastAsia="Cambria" w:hAnsi="Cambria"/>
          <w:color w:val="000000"/>
          <w:sz w:val="22"/>
          <w:szCs w:val="22"/>
        </w:rPr>
        <w:t xml:space="preserve">	121</w:t>
      </w:r>
    </w:p>
    <w:p>
      <w:pPr>
        <w:tabs>
          <w:tab w:val="right" w:pos="9360" w:leader="dot"/>
        </w:tabs>
        <w:spacing w:after="60"/>
        <w:ind w:left="720"/>
      </w:pPr>
      <w:r>
        <w:rPr>
          <w:rFonts w:ascii="Cambria" w:cs="Cambria" w:eastAsia="Cambria" w:hAnsi="Cambria"/>
          <w:b w:val="false"/>
          <w:bCs w:val="false"/>
          <w:color w:val="000000"/>
          <w:sz w:val="20"/>
          <w:szCs w:val="20"/>
        </w:rPr>
        <w:t xml:space="preserve">6.8.1 The HALAH System</w:t>
      </w:r>
      <w:r>
        <w:rPr>
          <w:rFonts w:ascii="Cambria" w:cs="Cambria" w:eastAsia="Cambria" w:hAnsi="Cambria"/>
          <w:color w:val="000000"/>
          <w:sz w:val="20"/>
          <w:szCs w:val="20"/>
        </w:rPr>
        <w:t xml:space="preserve">	121</w:t>
      </w:r>
    </w:p>
    <w:p>
      <w:pPr>
        <w:tabs>
          <w:tab w:val="right" w:pos="9360" w:leader="dot"/>
        </w:tabs>
        <w:spacing w:after="60"/>
        <w:ind w:left="720"/>
      </w:pPr>
      <w:r>
        <w:rPr>
          <w:rFonts w:ascii="Cambria" w:cs="Cambria" w:eastAsia="Cambria" w:hAnsi="Cambria"/>
          <w:b w:val="false"/>
          <w:bCs w:val="false"/>
          <w:color w:val="000000"/>
          <w:sz w:val="20"/>
          <w:szCs w:val="20"/>
        </w:rPr>
        <w:t xml:space="preserve">6.8.2 Create Smart Consent Contract: Patient Subsystem</w:t>
      </w:r>
      <w:r>
        <w:rPr>
          <w:rFonts w:ascii="Cambria" w:cs="Cambria" w:eastAsia="Cambria" w:hAnsi="Cambria"/>
          <w:color w:val="000000"/>
          <w:sz w:val="20"/>
          <w:szCs w:val="20"/>
        </w:rPr>
        <w:t xml:space="preserve">	125</w:t>
      </w:r>
    </w:p>
    <w:p>
      <w:pPr>
        <w:tabs>
          <w:tab w:val="right" w:pos="9360" w:leader="dot"/>
        </w:tabs>
        <w:spacing w:after="60"/>
        <w:ind w:left="720"/>
      </w:pPr>
      <w:r>
        <w:rPr>
          <w:rFonts w:ascii="Cambria" w:cs="Cambria" w:eastAsia="Cambria" w:hAnsi="Cambria"/>
          <w:b w:val="false"/>
          <w:bCs w:val="false"/>
          <w:color w:val="000000"/>
          <w:sz w:val="20"/>
          <w:szCs w:val="20"/>
        </w:rPr>
        <w:t xml:space="preserve">6.8.3 Guardian Cryptographic Approval</w:t>
      </w:r>
      <w:r>
        <w:rPr>
          <w:rFonts w:ascii="Cambria" w:cs="Cambria" w:eastAsia="Cambria" w:hAnsi="Cambria"/>
          <w:color w:val="000000"/>
          <w:sz w:val="20"/>
          <w:szCs w:val="20"/>
        </w:rPr>
        <w:t xml:space="preserve">	127</w:t>
      </w:r>
    </w:p>
    <w:p>
      <w:pPr>
        <w:tabs>
          <w:tab w:val="right" w:pos="9360" w:leader="dot"/>
        </w:tabs>
        <w:spacing w:after="60"/>
        <w:ind w:left="720"/>
      </w:pPr>
      <w:r>
        <w:rPr>
          <w:rFonts w:ascii="Cambria" w:cs="Cambria" w:eastAsia="Cambria" w:hAnsi="Cambria"/>
          <w:b w:val="false"/>
          <w:bCs w:val="false"/>
          <w:color w:val="000000"/>
          <w:sz w:val="20"/>
          <w:szCs w:val="20"/>
        </w:rPr>
        <w:t xml:space="preserve">6.8.4 Secure Patient Data Access for the Doctor</w:t>
      </w:r>
      <w:r>
        <w:rPr>
          <w:rFonts w:ascii="Cambria" w:cs="Cambria" w:eastAsia="Cambria" w:hAnsi="Cambria"/>
          <w:color w:val="000000"/>
          <w:sz w:val="20"/>
          <w:szCs w:val="20"/>
        </w:rPr>
        <w:t xml:space="preserve">	131</w:t>
      </w:r>
    </w:p>
    <w:p>
      <w:pPr>
        <w:tabs>
          <w:tab w:val="right" w:pos="9360" w:leader="dot"/>
        </w:tabs>
        <w:spacing w:after="60"/>
        <w:ind w:left="720"/>
      </w:pPr>
      <w:r>
        <w:rPr>
          <w:rFonts w:ascii="Cambria" w:cs="Cambria" w:eastAsia="Cambria" w:hAnsi="Cambria"/>
          <w:b w:val="false"/>
          <w:bCs w:val="false"/>
          <w:color w:val="000000"/>
          <w:sz w:val="20"/>
          <w:szCs w:val="20"/>
        </w:rPr>
        <w:t xml:space="preserve">6.8.5 Negative Demonstration: Jurisdiction Violation</w:t>
      </w:r>
      <w:r>
        <w:rPr>
          <w:rFonts w:ascii="Cambria" w:cs="Cambria" w:eastAsia="Cambria" w:hAnsi="Cambria"/>
          <w:color w:val="000000"/>
          <w:sz w:val="20"/>
          <w:szCs w:val="20"/>
        </w:rPr>
        <w:t xml:space="preserve">	136</w:t>
      </w:r>
    </w:p>
    <w:p>
      <w:pPr>
        <w:tabs>
          <w:tab w:val="right" w:pos="9360" w:leader="dot"/>
        </w:tabs>
        <w:spacing w:after="60"/>
        <w:ind w:left="720"/>
      </w:pPr>
      <w:r>
        <w:rPr>
          <w:rFonts w:ascii="Cambria" w:cs="Cambria" w:eastAsia="Cambria" w:hAnsi="Cambria"/>
          <w:b w:val="false"/>
          <w:bCs w:val="false"/>
          <w:color w:val="000000"/>
          <w:sz w:val="20"/>
          <w:szCs w:val="20"/>
        </w:rPr>
        <w:t xml:space="preserve">6.8.6 Consent Revocation</w:t>
      </w:r>
      <w:r>
        <w:rPr>
          <w:rFonts w:ascii="Cambria" w:cs="Cambria" w:eastAsia="Cambria" w:hAnsi="Cambria"/>
          <w:color w:val="000000"/>
          <w:sz w:val="20"/>
          <w:szCs w:val="20"/>
        </w:rPr>
        <w:t xml:space="preserve">	137</w:t>
      </w:r>
    </w:p>
    <w:p>
      <w:pPr>
        <w:tabs>
          <w:tab w:val="right" w:pos="9360" w:leader="dot"/>
        </w:tabs>
        <w:spacing w:after="60"/>
        <w:ind w:left="720"/>
      </w:pPr>
      <w:r>
        <w:rPr>
          <w:rFonts w:ascii="Cambria" w:cs="Cambria" w:eastAsia="Cambria" w:hAnsi="Cambria"/>
          <w:b w:val="false"/>
          <w:bCs w:val="false"/>
          <w:color w:val="000000"/>
          <w:sz w:val="20"/>
          <w:szCs w:val="20"/>
        </w:rPr>
        <w:t xml:space="preserve">6.8.7 Blockchain Audit and Consent Lifecycle for the Auditor</w:t>
      </w:r>
      <w:r>
        <w:rPr>
          <w:rFonts w:ascii="Cambria" w:cs="Cambria" w:eastAsia="Cambria" w:hAnsi="Cambria"/>
          <w:color w:val="000000"/>
          <w:sz w:val="20"/>
          <w:szCs w:val="20"/>
        </w:rPr>
        <w:t xml:space="preserve">	140</w:t>
      </w:r>
    </w:p>
    <w:p>
      <w:pPr>
        <w:tabs>
          <w:tab w:val="right" w:pos="9360" w:leader="dot"/>
        </w:tabs>
        <w:spacing w:after="60"/>
        <w:ind w:left="720"/>
      </w:pPr>
      <w:r>
        <w:rPr>
          <w:rFonts w:ascii="Cambria" w:cs="Cambria" w:eastAsia="Cambria" w:hAnsi="Cambria"/>
          <w:b w:val="false"/>
          <w:bCs w:val="false"/>
          <w:color w:val="000000"/>
          <w:sz w:val="20"/>
          <w:szCs w:val="20"/>
        </w:rPr>
        <w:t xml:space="preserve">6.8.8 Detailed Audit Records</w:t>
      </w:r>
      <w:r>
        <w:rPr>
          <w:rFonts w:ascii="Cambria" w:cs="Cambria" w:eastAsia="Cambria" w:hAnsi="Cambria"/>
          <w:color w:val="000000"/>
          <w:sz w:val="20"/>
          <w:szCs w:val="20"/>
        </w:rPr>
        <w:t xml:space="preserve">	143</w:t>
      </w:r>
    </w:p>
    <w:p>
      <w:pPr>
        <w:tabs>
          <w:tab w:val="right" w:pos="9360" w:leader="dot"/>
        </w:tabs>
        <w:spacing w:after="60"/>
        <w:ind w:left="720"/>
      </w:pPr>
      <w:r>
        <w:rPr>
          <w:rFonts w:ascii="Cambria" w:cs="Cambria" w:eastAsia="Cambria" w:hAnsi="Cambria"/>
          <w:b w:val="false"/>
          <w:bCs w:val="false"/>
          <w:color w:val="000000"/>
          <w:sz w:val="20"/>
          <w:szCs w:val="20"/>
        </w:rPr>
        <w:t xml:space="preserve">6.8.9 Complete Audit Ledger and Independent Verification</w:t>
      </w:r>
      <w:r>
        <w:rPr>
          <w:rFonts w:ascii="Cambria" w:cs="Cambria" w:eastAsia="Cambria" w:hAnsi="Cambria"/>
          <w:color w:val="000000"/>
          <w:sz w:val="20"/>
          <w:szCs w:val="20"/>
        </w:rPr>
        <w:t xml:space="preserve">	143</w:t>
      </w:r>
    </w:p>
    <w:p>
      <w:pPr>
        <w:tabs>
          <w:tab w:val="right" w:pos="9360" w:leader="dot"/>
        </w:tabs>
        <w:spacing w:after="60"/>
        <w:ind w:left="720"/>
      </w:pPr>
      <w:r>
        <w:rPr>
          <w:rFonts w:ascii="Cambria" w:cs="Cambria" w:eastAsia="Cambria" w:hAnsi="Cambria"/>
          <w:b w:val="false"/>
          <w:bCs w:val="false"/>
          <w:color w:val="000000"/>
          <w:sz w:val="20"/>
          <w:szCs w:val="20"/>
        </w:rPr>
        <w:t xml:space="preserve">6.8.10 Correspondence Between the Subsystems and the Framework</w:t>
      </w:r>
      <w:r>
        <w:rPr>
          <w:rFonts w:ascii="Cambria" w:cs="Cambria" w:eastAsia="Cambria" w:hAnsi="Cambria"/>
          <w:color w:val="000000"/>
          <w:sz w:val="20"/>
          <w:szCs w:val="20"/>
        </w:rPr>
        <w:t xml:space="preserve">	144</w:t>
      </w:r>
    </w:p>
    <w:p>
      <w:pPr>
        <w:tabs>
          <w:tab w:val="right" w:pos="9360" w:leader="dot"/>
        </w:tabs>
        <w:spacing w:after="60"/>
        <w:ind w:left="720"/>
      </w:pPr>
      <w:r>
        <w:rPr>
          <w:rFonts w:ascii="Cambria" w:cs="Cambria" w:eastAsia="Cambria" w:hAnsi="Cambria"/>
          <w:b w:val="false"/>
          <w:bCs w:val="false"/>
          <w:color w:val="000000"/>
          <w:sz w:val="20"/>
          <w:szCs w:val="20"/>
        </w:rPr>
        <w:t xml:space="preserve">6.8.11 Overall System Demonstration</w:t>
      </w:r>
      <w:r>
        <w:rPr>
          <w:rFonts w:ascii="Cambria" w:cs="Cambria" w:eastAsia="Cambria" w:hAnsi="Cambria"/>
          <w:color w:val="000000"/>
          <w:sz w:val="20"/>
          <w:szCs w:val="20"/>
        </w:rPr>
        <w:t xml:space="preserve">	145</w:t>
      </w:r>
    </w:p>
    <w:p>
      <w:pPr>
        <w:tabs>
          <w:tab w:val="right" w:pos="9360" w:leader="dot"/>
        </w:tabs>
        <w:spacing w:after="60"/>
        <w:ind w:left="720"/>
      </w:pPr>
      <w:r>
        <w:rPr>
          <w:rFonts w:ascii="Cambria" w:cs="Cambria" w:eastAsia="Cambria" w:hAnsi="Cambria"/>
          <w:b w:val="false"/>
          <w:bCs w:val="false"/>
          <w:color w:val="000000"/>
          <w:sz w:val="20"/>
          <w:szCs w:val="20"/>
        </w:rPr>
        <w:t xml:space="preserve">6.8.12 Verification Links</w:t>
      </w:r>
      <w:r>
        <w:rPr>
          <w:rFonts w:ascii="Cambria" w:cs="Cambria" w:eastAsia="Cambria" w:hAnsi="Cambria"/>
          <w:color w:val="000000"/>
          <w:sz w:val="20"/>
          <w:szCs w:val="20"/>
        </w:rPr>
        <w:t xml:space="preserve">	146</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148</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148</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 Trust</w:t>
      </w:r>
      <w:r>
        <w:rPr>
          <w:rFonts w:ascii="Cambria" w:cs="Cambria" w:eastAsia="Cambria" w:hAnsi="Cambria"/>
          <w:sz w:val="22"/>
          <w:szCs w:val="22"/>
        </w:rPr>
        <w:t xml:space="preserve">	148</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149</w:t>
      </w:r>
    </w:p>
    <w:p>
      <w:pPr>
        <w:tabs>
          <w:tab w:val="right" w:pos="9360" w:leader="dot"/>
        </w:tabs>
        <w:spacing w:after="60"/>
        <w:ind w:left="360"/>
      </w:pPr>
      <w:r>
        <w:rPr>
          <w:rFonts w:ascii="Cambria" w:cs="Cambria" w:eastAsia="Cambria" w:hAnsi="Cambria"/>
          <w:b w:val="false"/>
          <w:bCs w:val="false"/>
          <w:sz w:val="22"/>
          <w:szCs w:val="22"/>
        </w:rPr>
        <w:t xml:space="preserve">7.4 Progress of RO4: Policy- and Context-Aware Access Control</w:t>
      </w:r>
      <w:r>
        <w:rPr>
          <w:rFonts w:ascii="Cambria" w:cs="Cambria" w:eastAsia="Cambria" w:hAnsi="Cambria"/>
          <w:sz w:val="22"/>
          <w:szCs w:val="22"/>
        </w:rPr>
        <w:t xml:space="preserve">	149</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150</w:t>
      </w:r>
    </w:p>
    <w:p>
      <w:pPr>
        <w:tabs>
          <w:tab w:val="right" w:pos="9360" w:leader="dot"/>
        </w:tabs>
        <w:spacing w:after="60"/>
        <w:ind w:left="360"/>
      </w:pPr>
      <w:r>
        <w:rPr>
          <w:rFonts w:ascii="Cambria" w:cs="Cambria" w:eastAsia="Cambria" w:hAnsi="Cambria"/>
          <w:b w:val="false"/>
          <w:bCs w:val="false"/>
          <w:sz w:val="22"/>
          <w:szCs w:val="22"/>
        </w:rPr>
        <w:t xml:space="preserve">7.6 Progress of RO6: Formal Security Assurance and Empirical Validation</w:t>
      </w:r>
      <w:r>
        <w:rPr>
          <w:rFonts w:ascii="Cambria" w:cs="Cambria" w:eastAsia="Cambria" w:hAnsi="Cambria"/>
          <w:sz w:val="22"/>
          <w:szCs w:val="22"/>
        </w:rPr>
        <w:t xml:space="preserve">	151</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152</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153</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153</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153</w:t>
      </w:r>
    </w:p>
    <w:p>
      <w:pPr>
        <w:tabs>
          <w:tab w:val="right" w:pos="9360" w:leader="dot"/>
        </w:tabs>
        <w:spacing w:after="60"/>
        <w:ind w:left="0"/>
      </w:pPr>
      <w:r>
        <w:rPr>
          <w:rFonts w:ascii="Cambria" w:cs="Cambria" w:eastAsia="Cambria" w:hAnsi="Cambria"/>
          <w:b/>
          <w:bCs/>
          <w:sz w:val="24"/>
          <w:szCs w:val="24"/>
        </w:rPr>
        <w:t xml:space="preserve">Appendix A — Traceability to the Implemented System</w:t>
      </w:r>
      <w:r>
        <w:rPr>
          <w:rFonts w:ascii="Cambria" w:cs="Cambria" w:eastAsia="Cambria" w:hAnsi="Cambria"/>
          <w:sz w:val="22"/>
          <w:szCs w:val="22"/>
        </w:rPr>
        <w:t xml:space="preserve">	157</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158</w:t>
      </w:r>
    </w:p>
    <w:p>
      <w:pPr>
        <w:pStyle w:val="Heading1"/>
        <w:pageBreakBefore/>
        <w:spacing w:after="160" w:before="400"/>
      </w:pPr>
      <w:r>
        <w:rPr>
          <w:rFonts w:ascii="Cambria" w:cs="Cambria" w:eastAsia="Cambria" w:hAnsi="Cambria"/>
          <w:sz w:val="24"/>
          <w:szCs w:val="24"/>
        </w:rPr>
        <w:t xml:space="preserve">1  Introduction</w:t>
      </w:r>
    </w:p>
    <w:p>
      <w:pPr>
        <w:pStyle w:val="Heading2"/>
        <w:spacing w:after="160" w:before="280"/>
      </w:pPr>
      <w:r>
        <w:rPr>
          <w:rFonts w:ascii="Cambria" w:cs="Cambria" w:eastAsia="Cambria" w:hAnsi="Cambria"/>
          <w:sz w:val="24"/>
          <w:szCs w:val="24"/>
        </w:rP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w:t>
      </w:r>
      <w:r>
        <w:rPr>
          <w:rFonts w:ascii="Cambria" w:cs="Cambria" w:eastAsia="Cambria" w:hAnsi="Cambria"/>
          <w:color w:val="E6007E"/>
          <w:sz w:val="24"/>
          <w:szCs w:val="24"/>
        </w:rPr>
        <w:t xml:space="preserve">how that information is used [6, 19, 26]</w:t>
      </w:r>
      <w:r>
        <w:rPr>
          <w:rFonts w:ascii="Cambria" w:cs="Cambria" w:eastAsia="Cambria" w:hAnsi="Cambria"/>
          <w:sz w:val="24"/>
          <w:szCs w:val="24"/>
        </w:rPr>
        <w:t xml:space="preserve">.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w:t>
      </w:r>
      <w:r>
        <w:rPr>
          <w:rFonts w:ascii="Cambria" w:cs="Cambria" w:eastAsia="Cambria" w:hAnsi="Cambria"/>
          <w:color w:val="E6007E"/>
          <w:sz w:val="24"/>
          <w:szCs w:val="24"/>
        </w:rPr>
        <w:t xml:space="preserve">to participate in data-sharing processes [31, 21]</w:t>
      </w:r>
      <w:r>
        <w:rPr>
          <w:rFonts w:ascii="Cambria" w:cs="Cambria" w:eastAsia="Cambria" w:hAnsi="Cambria"/>
          <w:sz w:val="24"/>
          <w:szCs w:val="24"/>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w:t>
      </w:r>
      <w:r>
        <w:rPr>
          <w:rFonts w:ascii="Cambria" w:cs="Cambria" w:eastAsia="Cambria" w:hAnsi="Cambria"/>
          <w:color w:val="E6007E"/>
          <w:sz w:val="24"/>
          <w:szCs w:val="24"/>
        </w:rPr>
        <w:t xml:space="preserve">control [24, 22, 12, 25]</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w:t>
      </w:r>
      <w:r>
        <w:rPr>
          <w:rFonts w:ascii="Cambria" w:cs="Cambria" w:eastAsia="Cambria" w:hAnsi="Cambria"/>
          <w:color w:val="E6007E"/>
          <w:sz w:val="24"/>
          <w:szCs w:val="24"/>
        </w:rPr>
        <w:t xml:space="preserve">permission-management mechanisms [28, 25]</w:t>
      </w:r>
      <w:r>
        <w:rPr>
          <w:rFonts w:ascii="Cambria" w:cs="Cambria" w:eastAsia="Cambria" w:hAnsi="Cambria"/>
          <w:sz w:val="24"/>
          <w:szCs w:val="24"/>
        </w:rPr>
        <w:t xml:space="preserve">.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w:t>
      </w:r>
      <w:r>
        <w:rPr>
          <w:rFonts w:ascii="Cambria" w:cs="Cambria" w:eastAsia="Cambria" w:hAnsi="Cambria"/>
          <w:color w:val="E6007E"/>
          <w:sz w:val="24"/>
          <w:szCs w:val="24"/>
        </w:rPr>
        <w:t xml:space="preserve">other authorised stakeholders [31, 9]</w:t>
      </w:r>
      <w:r>
        <w:rPr>
          <w:rFonts w:ascii="Cambria" w:cs="Cambria" w:eastAsia="Cambria" w:hAnsi="Cambria"/>
          <w:sz w:val="24"/>
          <w:szCs w:val="24"/>
        </w:rPr>
        <w:t xml:space="preserve">.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w:t>
      </w:r>
      <w:r>
        <w:rPr>
          <w:rFonts w:ascii="Cambria" w:cs="Cambria" w:eastAsia="Cambria" w:hAnsi="Cambria"/>
          <w:color w:val="E6007E"/>
          <w:sz w:val="24"/>
          <w:szCs w:val="24"/>
        </w:rPr>
        <w:t xml:space="preserve">resources [2, 7, 3, 20, 5]</w:t>
      </w:r>
      <w:r>
        <w:rPr>
          <w:rFonts w:ascii="Cambria" w:cs="Cambria" w:eastAsia="Cambria" w:hAnsi="Cambria"/>
          <w:sz w:val="24"/>
          <w:szCs w:val="24"/>
        </w:rPr>
        <w:t xml:space="preserve">. More broadly, blockchain-based approaches have demonstrated the potential to improve the integrity, transparency, and traceability of decentralised </w:t>
      </w:r>
      <w:r>
        <w:rPr>
          <w:rFonts w:ascii="Cambria" w:cs="Cambria" w:eastAsia="Cambria" w:hAnsi="Cambria"/>
          <w:color w:val="E6007E"/>
          <w:sz w:val="24"/>
          <w:szCs w:val="24"/>
        </w:rPr>
        <w:t xml:space="preserve">data-management processes [1, 26]</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w:t>
      </w:r>
      <w:r>
        <w:rPr>
          <w:rFonts w:ascii="Cambria" w:cs="Cambria" w:eastAsia="Cambria" w:hAnsi="Cambria"/>
          <w:color w:val="E6007E"/>
          <w:sz w:val="24"/>
          <w:szCs w:val="24"/>
        </w:rPr>
        <w:t xml:space="preserve">an active and evaluable component of a broader authorisation process, extending the dynamic consent perspective [13, 24].</w:t>
      </w:r>
    </w:p>
    <w:p>
      <w:pPr>
        <w:pStyle w:val="Heading2"/>
        <w:spacing w:after="160" w:before="280"/>
      </w:pPr>
      <w:r>
        <w:rPr>
          <w:rFonts w:ascii="Cambria" w:cs="Cambria" w:eastAsia="Cambria" w:hAnsi="Cambria"/>
          <w:sz w:val="24"/>
          <w:szCs w:val="24"/>
        </w:rP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sz w:val="24"/>
          <w:szCs w:val="24"/>
        </w:rP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w:t>
      </w:r>
      <w:r>
        <w:rPr>
          <w:rFonts w:ascii="Cambria" w:cs="Cambria" w:eastAsia="Cambria" w:hAnsi="Cambria"/>
          <w:color w:val="E6007E"/>
          <w:sz w:val="24"/>
          <w:szCs w:val="24"/>
        </w:rPr>
        <w:t xml:space="preserve">policy-based access control [20, 15, 28, 4, 25]</w:t>
      </w:r>
      <w:r>
        <w:rPr>
          <w:rFonts w:ascii="Cambria" w:cs="Cambria" w:eastAsia="Cambria" w:hAnsi="Cambria"/>
          <w:sz w:val="24"/>
          <w:szCs w:val="24"/>
        </w:rPr>
        <w:t xml:space="preserve">. However, these mechanisms are often investigated independently or integrated primarily at the implementation level </w:t>
      </w:r>
      <w:r>
        <w:rPr>
          <w:rFonts w:ascii="Cambria" w:cs="Cambria" w:eastAsia="Cambria" w:hAnsi="Cambria"/>
          <w:color w:val="E6007E"/>
          <w:sz w:val="24"/>
          <w:szCs w:val="24"/>
        </w:rPr>
        <w:t xml:space="preserve">without providing a unified trust model that explains how</w:t>
      </w:r>
      <w:r>
        <w:rPr>
          <w:rFonts w:ascii="Cambria" w:cs="Cambria" w:eastAsia="Cambria" w:hAnsi="Cambria"/>
          <w:sz w:val="24"/>
          <w:szCs w:val="24"/>
        </w:rPr>
        <w:t xml:space="preserve"> their combined operation establishes a trustworthy authorisation outcome.</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spacing w:after="140" w:line="300"/>
        <w:jc w:val="both"/>
      </w:pPr>
      <w:r>
        <w:rPr>
          <w:rFonts w:ascii="Cambria" w:cs="Cambria" w:eastAsia="Cambria" w:hAnsi="Cambria"/>
          <w:color w:val="0000CC"/>
          <w:sz w:val="24"/>
          <w:szCs w:val="24"/>
        </w:rPr>
        <w:t xml:space="preserve">In this context, the overarching research question is how a trust-oriented computing framework can establish and enforce trustworthy multi-party consent for decentralised healthcare data sharing under identity, authority, and policy constraints. This question is decomposed into six sub-research questions in Chapter 3 and mapped to the research objectives RO1 to RO6 in Chapter 4.</w:t>
      </w:r>
    </w:p>
    <w:p>
      <w:pPr>
        <w:pStyle w:val="Heading2"/>
        <w:spacing w:after="160" w:before="280"/>
      </w:pPr>
      <w:r>
        <w:rPr>
          <w:rFonts w:ascii="Cambria" w:cs="Cambria" w:eastAsia="Cambria" w:hAnsi="Cambria"/>
          <w:sz w:val="24"/>
          <w:szCs w:val="24"/>
        </w:rPr>
        <w:t xml:space="preserve">1.3  Research Motivation</w:t>
      </w:r>
    </w:p>
    <w:p>
      <w:pPr>
        <w:spacing w:after="140" w:line="300"/>
        <w:jc w:val="both"/>
      </w:pPr>
      <w:r>
        <w:rPr>
          <w:rFonts w:ascii="Cambria" w:cs="Cambria" w:eastAsia="Cambria" w:hAnsi="Cambria"/>
          <w:color w:val="E6007E"/>
          <w:sz w:val="24"/>
          <w:szCs w:val="24"/>
        </w:rPr>
        <w:t xml:space="preserve">It should be noted that the proposed framework has also been extended beyond its four foundational dimensions to incorporate temporal validity and lifecycle trust (RO5).</w:t>
      </w:r>
      <w:r>
        <w:rPr>
          <w:rFonts w:ascii="Cambria" w:cs="Cambria" w:eastAsia="Cambria" w:hAnsi="Cambria"/>
          <w:color w:val="000000"/>
          <w:sz w:val="24"/>
          <w:szCs w:val="24"/>
        </w:rPr>
        <w:t xml:space="preserve"> In particular, validity periods and expiration are enforced at the point of evaluation and mirrored on-chain, revocation is executed as a verifiable blockchain transaction, and consent progresses through controlled state transitions. This is important because trust cannot be regarded as permanently established at the moment a consent is created.</w:t>
      </w:r>
    </w:p>
    <w:p>
      <w:pPr>
        <w:spacing w:after="140" w:line="300"/>
        <w:jc w:val="both"/>
      </w:pPr>
      <w:r>
        <w:rPr>
          <w:rFonts w:ascii="Cambria" w:cs="Cambria" w:eastAsia="Cambria" w:hAnsi="Cambria"/>
          <w:color w:val="E6007E"/>
          <w:sz w:val="24"/>
          <w:szCs w:val="24"/>
        </w:rPr>
        <w:t xml:space="preserve">Adversarial and negative testing has been undertaken using the HALAH prototype (the Patient Consent Management Platform for History Access by Authorised Healthcare Providers described in Section 6.8), encompassing per-dimension denial scenarios, guardian signature-rejection tests, and tests of tampered and expired zero-knowledge proofs,</w:t>
      </w:r>
      <w:r>
        <w:rPr>
          <w:rFonts w:ascii="Cambria" w:cs="Cambria" w:eastAsia="Cambria" w:hAnsi="Cambria"/>
          <w:color w:val="000000"/>
          <w:sz w:val="24"/>
          <w:szCs w:val="24"/>
        </w:rPr>
        <w:t xml:space="preserve"> together with </w:t>
      </w:r>
      <w:r>
        <w:rPr>
          <w:rFonts w:ascii="Cambria" w:cs="Cambria" w:eastAsia="Cambria" w:hAnsi="Cambria"/>
          <w:color w:val="E6007E"/>
          <w:sz w:val="24"/>
          <w:szCs w:val="24"/>
        </w:rPr>
        <w:t xml:space="preserve">a live negative evaluation on the Ethereum Sepolia testnet</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Formal security analysis, by contrast, has not yet been undertaken and remains the subject of the next research stage.</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color w:val="0000CC"/>
          <w:sz w:val="24"/>
          <w:szCs w:val="24"/>
        </w:rPr>
        <w:t xml:space="preserve">The term Trust Computing is used in this report to denote the evaluation of trust as a computable outcome of explicitly verified conditions on identity, authority, collective approval, policy and lifecycle, and it should be distinguished from trusted computing in the hardware sense, such as trusted execution environments and attestation, which is reviewed in Section 2.4.6.</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color w:val="E6007E"/>
          <w:sz w:val="24"/>
          <w:szCs w:val="24"/>
        </w:rPr>
        <w:t xml:space="preserve">These four dimensions (RO1 to RO4) collectively define the foundational scope of the proposed framework, which is then extended by temporal and lifecycle trust (RO5) and by formal security assurance and empirical validation (RO6).</w:t>
      </w:r>
      <w:r>
        <w:rPr>
          <w:rFonts w:ascii="Cambria" w:cs="Cambria" w:eastAsia="Cambria" w:hAnsi="Cambria"/>
          <w:sz w:val="24"/>
          <w:szCs w:val="24"/>
        </w:rPr>
        <w:t xml:space="preserve">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color w:val="E6007E"/>
          <w:sz w:val="24"/>
          <w:szCs w:val="24"/>
        </w:rPr>
        <w:t xml:space="preserve">In addition, trust cannot be regarded as static over time. A consent that was valid when initially approved may subsequently become invalid due to expiration, revocation, or a change in its authorised lifecycle state, and this temporal dimension is addressed by RO5.</w:t>
      </w:r>
    </w:p>
    <w:p>
      <w:pPr>
        <w:spacing w:after="140" w:line="300"/>
        <w:jc w:val="both"/>
      </w:pPr>
      <w:r>
        <w:rPr>
          <w:rFonts w:ascii="Cambria" w:cs="Cambria" w:eastAsia="Cambria" w:hAnsi="Cambria"/>
          <w:sz w:val="24"/>
          <w:szCs w:val="24"/>
        </w:rPr>
        <w:t xml:space="preserve">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w:t>
      </w:r>
    </w:p>
    <w:p>
      <w:pPr>
        <w:spacing w:after="140" w:line="300"/>
        <w:jc w:val="both"/>
      </w:pPr>
      <w:r>
        <w:rPr>
          <w:rFonts w:ascii="Cambria" w:cs="Cambria" w:eastAsia="Cambria" w:hAnsi="Cambria"/>
          <w:sz w:val="24"/>
          <w:szCs w:val="24"/>
        </w:rPr>
        <w:t xml:space="preserve">This separation establishes a clear progression between the current and subsequent stages of the research.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color w:val="0000CC"/>
          <w:sz w:val="24"/>
          <w:szCs w:val="24"/>
        </w:rPr>
        <w:t xml:space="preserve">In this report, the current stage denotes the work delivered at the CA2 milestone, and the next stage, referred to as CA3, denotes the subsequent research stage in which the remaining objectives are completed.</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in which these independently verifiable conditions contribute collectively to a defensible and explainable decision about whether a particular healthcare data-access request should be permitted.</w:t>
      </w:r>
    </w:p>
    <w:p>
      <w:pPr>
        <w:spacing w:after="140" w:line="300"/>
        <w:jc w:val="both"/>
      </w:pPr>
      <w:r>
        <w:rPr>
          <w:rFonts w:ascii="Cambria" w:cs="Cambria" w:eastAsia="Cambria" w:hAnsi="Cambria"/>
          <w:color w:val="0000CC"/>
          <w:sz w:val="24"/>
          <w:szCs w:val="24"/>
        </w:rPr>
        <w:t xml:space="preserve">The remainder of this report is organised as follows. Chapter 2 presents the systematic literature review and derives six requirements for trustworthy multi-party consent authorisation, Chapter 3 formulates the research gap and research questions, Chapter 4 states the research objectives, Chapter 5 describes the MVC-based research architecture, Chapter 6 presents the proposed solution, its algorithms and the live HALAH demonstration, and Chapters 7 to 9 report the current progress, publications and the research plan for the next stage.</w:t>
      </w:r>
    </w:p>
    <w:p>
      <w:pPr>
        <w:spacing w:after="140" w:line="300"/>
        <w:jc w:val="both"/>
      </w:pPr>
      <w:r>
        <w:rPr>
          <w:rFonts w:ascii="Cambria" w:cs="Cambria" w:eastAsia="Cambria" w:hAnsi="Cambria"/>
          <w:color w:val="0000CC"/>
          <w:sz w:val="24"/>
          <w:szCs w:val="24"/>
        </w:rPr>
        <w:t xml:space="preserve">It should be noted that the scope of the current stage is bounded. The HALAH prototype is deployed on the Ethereum Sepolia testnet with synthetic healthcare records, the guardian approval rule is currently implemented as N-of-N over the guardian set G, and the security properties of the framework are demonstrated through scenario-based, negative and adversarial testing rather than through formal proof, which is deferred to the next stage.</w:t>
      </w:r>
    </w:p>
    <w:p>
      <w:pPr>
        <w:keepNext/>
        <w:spacing w:after="80" w:before="160"/>
        <w:jc w:val="center"/>
      </w:pPr>
      <w:r>
        <w:rPr>
          <w:rFonts w:ascii="Cambria" w:cs="Cambria" w:eastAsia="Cambria" w:hAnsi="Cambria"/>
          <w:b/>
          <w:bCs/>
          <w:color w:val="000000"/>
          <w:sz w:val="21"/>
          <w:szCs w:val="21"/>
        </w:rPr>
        <w:t xml:space="preserve">Table 1: </w:t>
      </w:r>
      <w:r>
        <w:rPr>
          <w:rFonts w:ascii="Cambria" w:cs="Cambria" w:eastAsia="Cambria" w:hAnsi="Cambria"/>
          <w:color w:val="000000"/>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RO1: Trust-Centric Consent Model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RO4: Policy- and Context-Aware Access Control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 (empirical) / Next (formal)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spacing w:after="140" w:line="300"/>
        <w:jc w:val="both"/>
      </w:pPr>
      <w:r>
        <w:rPr>
          <w:rFonts w:ascii="Cambria" w:cs="Cambria" w:eastAsia="Cambria" w:hAnsi="Cambria"/>
          <w:color w:val="000000"/>
          <w:sz w:val="24"/>
          <w:szCs w:val="24"/>
        </w:rPr>
        <w:t xml:space="preserve">Table 1 summarises the research dimensions, distinguishing those realised in the implemented HALAH prototype from the formal security assurance that remains for the subsequent research.</w:t>
      </w:r>
    </w:p>
    <w:p>
      <w:pPr>
        <w:pStyle w:val="Heading1"/>
        <w:pageBreakBefore/>
        <w:spacing w:after="160" w:before="400"/>
      </w:pPr>
      <w:r>
        <w:rPr>
          <w:rFonts w:ascii="Cambria" w:cs="Cambria" w:eastAsia="Cambria" w:hAnsi="Cambria"/>
          <w:sz w:val="24"/>
          <w:szCs w:val="24"/>
        </w:rPr>
        <w:t xml:space="preserve">2  Systematic Literature Review</w:t>
      </w:r>
    </w:p>
    <w:p>
      <w:pPr>
        <w:pStyle w:val="Heading2"/>
        <w:spacing w:after="160" w:before="280"/>
      </w:pPr>
      <w:r>
        <w:rPr>
          <w:rFonts w:ascii="Cambria" w:cs="Cambria" w:eastAsia="Cambria" w:hAnsi="Cambria"/>
          <w:sz w:val="24"/>
          <w:szCs w:val="24"/>
        </w:rPr>
        <w:t xml:space="preserve">2.1  Overview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w:t>
      </w:r>
      <w:r>
        <w:rPr>
          <w:rFonts w:ascii="Cambria" w:cs="Cambria" w:eastAsia="Cambria" w:hAnsi="Cambria"/>
          <w:color w:val="000000"/>
          <w:sz w:val="24"/>
          <w:szCs w:val="24"/>
        </w:rPr>
        <w:t xml:space="preserve">decentralised trust</w:t>
      </w:r>
      <w:r>
        <w:rPr>
          <w:rFonts w:ascii="Cambria" w:cs="Cambria" w:eastAsia="Cambria" w:hAnsi="Cambria"/>
          <w:sz w:val="24"/>
          <w:szCs w:val="24"/>
        </w:rPr>
        <w:t xml:space="preserve">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spacing w:after="140" w:line="300"/>
        <w:jc w:val="both"/>
      </w:pPr>
      <w:r>
        <w:rPr>
          <w:rFonts w:ascii="Cambria" w:cs="Cambria" w:eastAsia="Cambria" w:hAnsi="Cambria"/>
          <w:color w:val="000000"/>
          <w:sz w:val="24"/>
          <w:szCs w:val="24"/>
        </w:rPr>
        <w:t xml:space="preserve">The structure of this chapter is as follows. Section 2.2 presents the six key requirements that a trustworthy multi-party consent authorisation framework should satisfy, which serve as the basis of comparison throughout the review. Section 2.3 describes the process that was adopted to search, shortlist and categorise the studies, including the review questions, the databases, the search string, the eligibility criteria and the PRISMA-based selection. Section 2.4 reviews the shortlisted studies in six thematic streams and assesses each study against the six requirements. Section 2.5 synthesises the review and identifies the research gap from the requirement perspective, and Section 2.6 concludes the chapter.</w:t>
      </w:r>
    </w:p>
    <w:p>
      <w:pPr>
        <w:pStyle w:val="Heading2"/>
        <w:spacing w:after="160" w:before="280"/>
      </w:pPr>
      <w:r>
        <w:rPr>
          <w:rFonts w:ascii="Cambria" w:cs="Cambria" w:eastAsia="Cambria" w:hAnsi="Cambria"/>
          <w:color w:val="000000"/>
          <w:sz w:val="24"/>
          <w:szCs w:val="24"/>
        </w:rPr>
        <w:t xml:space="preserve">2.2  Key Requirements for Trustworthy Multi-Party Consent Authorisation</w:t>
      </w:r>
    </w:p>
    <w:p>
      <w:pPr>
        <w:spacing w:after="140" w:line="300"/>
        <w:jc w:val="both"/>
      </w:pPr>
      <w:r>
        <w:rPr>
          <w:rFonts w:ascii="Cambria" w:cs="Cambria" w:eastAsia="Cambria" w:hAnsi="Cambria"/>
          <w:color w:val="000000"/>
          <w:sz w:val="24"/>
          <w:szCs w:val="24"/>
        </w:rPr>
        <w:t xml:space="preserve">This section discusses the requirements that a trustworthy authorisation framework for multi-party patient consent should satisfy. These requirements form the basis on which the existing studies are compared in this SLR. They are derived from the research problem introduced in Chapter 1, and each of them corresponds to one of the six sub-research questions that are formulated in Chapter 3. A consent decision in healthcare is not a single event. It passes through three phases: the phase in which the consent is specified and approved, the phase in which it is enforced at the time of a data-access request, and the phase in which its validity is maintained or withdrawn over time. The six requirements below cover these three phases.</w:t>
      </w:r>
    </w:p>
    <w:p>
      <w:pPr>
        <w:pStyle w:val="Heading3"/>
        <w:spacing w:after="160" w:before="280"/>
      </w:pPr>
      <w:r>
        <w:rPr>
          <w:rFonts w:ascii="Cambria" w:cs="Cambria" w:eastAsia="Cambria" w:hAnsi="Cambria"/>
          <w:color w:val="000000"/>
          <w:sz w:val="24"/>
          <w:szCs w:val="24"/>
        </w:rPr>
        <w:t xml:space="preserve">2.2.1  Representation of consent as an evaluable authorisation object (Req: 1)</w:t>
      </w:r>
    </w:p>
    <w:p>
      <w:pPr>
        <w:spacing w:after="140" w:line="300"/>
        <w:jc w:val="both"/>
      </w:pPr>
      <w:r>
        <w:rPr>
          <w:rFonts w:ascii="Cambria" w:cs="Cambria" w:eastAsia="Cambria" w:hAnsi="Cambria"/>
          <w:color w:val="000000"/>
          <w:sz w:val="24"/>
          <w:szCs w:val="24"/>
        </w:rPr>
        <w:t xml:space="preserve">Patient consent is commonly stored as a permission record, a consent receipt, or a transaction on a ledger. Such a record establishes that a consent decision occurred, but it does not by itself state the conditions under which a later access request should be trusted. A trustworthy framework therefore requires that consent is represented as a structured object whose components, namely the participating identities, the authority requirements, the permitted purpose and data scope, the temporal validity, the jurisdiction and the supporting evidence, can be evaluated independently at the time of each request. This is important because the same consent may be valid for one request and invalid for another, depending on who is asking, for what purpose and at what time.</w:t>
      </w:r>
    </w:p>
    <w:p>
      <w:pPr>
        <w:pStyle w:val="Heading3"/>
        <w:spacing w:after="160" w:before="280"/>
      </w:pPr>
      <w:r>
        <w:rPr>
          <w:rFonts w:ascii="Cambria" w:cs="Cambria" w:eastAsia="Cambria" w:hAnsi="Cambria"/>
          <w:color w:val="000000"/>
          <w:sz w:val="24"/>
          <w:szCs w:val="24"/>
        </w:rPr>
        <w:t xml:space="preserve">2.2.2  Decentralised verification of identity and authority (Req: 2)</w:t>
      </w:r>
    </w:p>
    <w:p>
      <w:pPr>
        <w:spacing w:after="140" w:line="300"/>
        <w:jc w:val="both"/>
      </w:pPr>
      <w:r>
        <w:rPr>
          <w:rFonts w:ascii="Cambria" w:cs="Cambria" w:eastAsia="Cambria" w:hAnsi="Cambria"/>
          <w:color w:val="000000"/>
          <w:sz w:val="24"/>
          <w:szCs w:val="24"/>
        </w:rPr>
        <w:t xml:space="preserve">The participants in a consent decision, including the patient, the guardians, the healthcare professional and the institution, must be identifiable without relying on a single central identity provider. Decentralised identifiers and verifiable credentials provide this capability. A framework should, however, distinguish between establishing who a participant is and establishing what that participant is permitted to do. A verified identity does not imply authority over a patient's data. Consequently, a trustworthy framework requires that identity verification and authority verification are treated as separate conditions, each with its own evidence.</w:t>
      </w:r>
    </w:p>
    <w:p>
      <w:pPr>
        <w:pStyle w:val="Heading3"/>
        <w:spacing w:after="160" w:before="280"/>
      </w:pPr>
      <w:r>
        <w:rPr>
          <w:rFonts w:ascii="Cambria" w:cs="Cambria" w:eastAsia="Cambria" w:hAnsi="Cambria"/>
          <w:color w:val="000000"/>
          <w:sz w:val="24"/>
          <w:szCs w:val="24"/>
        </w:rPr>
        <w:t xml:space="preserve">2.2.3  Multi-party authorisation through a verifiable threshold (Req: 3)</w:t>
      </w:r>
    </w:p>
    <w:p>
      <w:pPr>
        <w:spacing w:after="140" w:line="300"/>
        <w:jc w:val="both"/>
      </w:pPr>
      <w:r>
        <w:rPr>
          <w:rFonts w:ascii="Cambria" w:cs="Cambria" w:eastAsia="Cambria" w:hAnsi="Cambria"/>
          <w:color w:val="000000"/>
          <w:sz w:val="24"/>
          <w:szCs w:val="24"/>
        </w:rPr>
        <w:t xml:space="preserve">In many healthcare situations, a single party cannot lawfully authorise access on its own. Access to the records of a minor, for example, may require the approval of more than one guardian. A framework should therefore support collective approval in which a predefined number of designated parties must each provide an independently verifiable approval before the consent becomes active. This requirement goes beyond a workflow in which several people click an approval button. The approval condition must be represented within the consent object and must be checkable by any party at a later time.</w:t>
      </w:r>
    </w:p>
    <w:p>
      <w:pPr>
        <w:pStyle w:val="Heading3"/>
        <w:spacing w:after="160" w:before="280"/>
      </w:pPr>
      <w:r>
        <w:rPr>
          <w:rFonts w:ascii="Cambria" w:cs="Cambria" w:eastAsia="Cambria" w:hAnsi="Cambria"/>
          <w:color w:val="000000"/>
          <w:sz w:val="24"/>
          <w:szCs w:val="24"/>
        </w:rPr>
        <w:t xml:space="preserve">2.2.4  Policy- and context-aware enforcement at the time of access (Req: 4)</w:t>
      </w:r>
    </w:p>
    <w:p>
      <w:pPr>
        <w:spacing w:after="140" w:line="300"/>
        <w:jc w:val="both"/>
      </w:pPr>
      <w:r>
        <w:rPr>
          <w:rFonts w:ascii="Cambria" w:cs="Cambria" w:eastAsia="Cambria" w:hAnsi="Cambria"/>
          <w:color w:val="000000"/>
          <w:sz w:val="24"/>
          <w:szCs w:val="24"/>
        </w:rPr>
        <w:t xml:space="preserve">Even when the identities are valid and the required approvals have been obtained, an access request should be granted only if it conforms to the purpose and the data scope that the patient authorised, and to the contextual constraints that apply to the request, such as the jurisdiction in which the data may be used. A framework should evaluate every request against these constraints rather than relying on the existence of a valid consent record. This is important because most unauthorised disclosures in practice are not caused by unknown requesters but by legitimate requesters who exceed the scope of what was permitted.</w:t>
      </w:r>
    </w:p>
    <w:p>
      <w:pPr>
        <w:pStyle w:val="Heading3"/>
        <w:spacing w:after="160" w:before="280"/>
      </w:pPr>
      <w:r>
        <w:rPr>
          <w:rFonts w:ascii="Cambria" w:cs="Cambria" w:eastAsia="Cambria" w:hAnsi="Cambria"/>
          <w:color w:val="000000"/>
          <w:sz w:val="24"/>
          <w:szCs w:val="24"/>
        </w:rPr>
        <w:t xml:space="preserve">2.2.5  Temporal validity and lifecycle control of consent (Req: 5)</w:t>
      </w:r>
    </w:p>
    <w:p>
      <w:pPr>
        <w:spacing w:after="140" w:line="300"/>
        <w:jc w:val="both"/>
      </w:pPr>
      <w:r>
        <w:rPr>
          <w:rFonts w:ascii="Cambria" w:cs="Cambria" w:eastAsia="Cambria" w:hAnsi="Cambria"/>
          <w:color w:val="000000"/>
          <w:sz w:val="24"/>
          <w:szCs w:val="24"/>
        </w:rPr>
        <w:t xml:space="preserve">Trust in a consent decision is not permanent. A consent may expire, may be revoked by the patient, or may pass through intermediate states before it becomes active. A framework should enforce the validity interval of a consent at every request, should make revocation effective immediately and verifiably, and should permit only controlled transitions between lifecycle states. Without this requirement, a consent that was valid when it was granted continues to authorise access long after the patient has withdrawn it.</w:t>
      </w:r>
    </w:p>
    <w:p>
      <w:pPr>
        <w:pStyle w:val="Heading3"/>
        <w:spacing w:after="160" w:before="280"/>
      </w:pPr>
      <w:r>
        <w:rPr>
          <w:rFonts w:ascii="Cambria" w:cs="Cambria" w:eastAsia="Cambria" w:hAnsi="Cambria"/>
          <w:color w:val="000000"/>
          <w:sz w:val="24"/>
          <w:szCs w:val="24"/>
        </w:rPr>
        <w:t xml:space="preserve">2.2.6  Verifiable auditability and security assurance (Req: 6)</w:t>
      </w:r>
    </w:p>
    <w:p>
      <w:pPr>
        <w:spacing w:after="140" w:line="300"/>
        <w:jc w:val="both"/>
      </w:pPr>
      <w:r>
        <w:rPr>
          <w:rFonts w:ascii="Cambria" w:cs="Cambria" w:eastAsia="Cambria" w:hAnsi="Cambria"/>
          <w:color w:val="000000"/>
          <w:sz w:val="24"/>
          <w:szCs w:val="24"/>
        </w:rPr>
        <w:t xml:space="preserve">Finally, every consent decision and every access decision should leave evidence that can be verified independently of the application that produced it. A tamper-evident ledger provides such evidence for the events themselves. In addition, the security properties of the framework, such as the impossibility of access after revocation or without sufficient approvals, should be validated, either formally or through systematic adversarial testing. A framework that only demonstrates the successful cases does not establish that the unsuccessful cases are correctly refused.</w:t>
      </w:r>
    </w:p>
    <w:p>
      <w:pPr>
        <w:spacing w:after="140" w:line="300"/>
        <w:jc w:val="both"/>
      </w:pPr>
      <w:r>
        <w:rPr>
          <w:rFonts w:ascii="Cambria" w:cs="Cambria" w:eastAsia="Cambria" w:hAnsi="Cambria"/>
          <w:color w:val="000000"/>
          <w:sz w:val="24"/>
          <w:szCs w:val="24"/>
        </w:rPr>
        <w:t xml:space="preserve">These six requirements form the basis of the investigation into the existing approaches in the literature. Therefore, the question of whether each reviewed study assists in addressing these requirements is answered in the study tables of Section 2.4 and in the gap analysis of Section 2.5. The next section details the process that was adopted to identify and shortlist the studies reviewed in this SLR.</w:t>
      </w:r>
    </w:p>
    <w:p>
      <w:pPr>
        <w:pStyle w:val="Heading2"/>
        <w:spacing w:after="160" w:before="280"/>
      </w:pPr>
      <w:r>
        <w:rPr>
          <w:rFonts w:ascii="Cambria" w:cs="Cambria" w:eastAsia="Cambria" w:hAnsi="Cambria"/>
          <w:sz w:val="24"/>
          <w:szCs w:val="24"/>
        </w:rPr>
        <w:t xml:space="preserve">2.3  Systematic Literature Review Methodology</w:t>
      </w:r>
    </w:p>
    <w:p>
      <w:pPr>
        <w:spacing w:after="140" w:line="300"/>
        <w:jc w:val="both"/>
      </w:pPr>
      <w:r>
        <w:rPr>
          <w:rFonts w:ascii="Cambria" w:cs="Cambria" w:eastAsia="Cambria" w:hAnsi="Cambria"/>
          <w:b w:val="false"/>
          <w:bCs w:val="false"/>
          <w:sz w:val="24"/>
          <w:szCs w:val="24"/>
        </w:rPr>
        <w:t xml:space="preserve">The review corpus comprises the 33 studies identified through the search and screening process described in the remainder of this section. </w:t>
      </w:r>
      <w:r>
        <w:rPr>
          <w:rFonts w:ascii="Cambria" w:cs="Cambria" w:eastAsia="Cambria" w:hAnsi="Cambria"/>
          <w:b w:val="false"/>
          <w:bCs w:val="false"/>
          <w:color w:val="000000"/>
          <w:sz w:val="24"/>
          <w:szCs w:val="24"/>
        </w:rPr>
        <w:t xml:space="preserve">Thirty-two of the 33 included studies were published between 2022 and 2026; one earlier foundational study [31] was retained under the eligibility provision for necessary foundational contributions. The corpus concentrates</w:t>
      </w:r>
      <w:r>
        <w:rPr>
          <w:rFonts w:ascii="Cambria" w:cs="Cambria" w:eastAsia="Cambria" w:hAnsi="Cambria"/>
          <w:b w:val="false"/>
          <w:bCs w:val="false"/>
          <w:sz w:val="24"/>
          <w:szCs w:val="24"/>
        </w:rPr>
        <w:t xml:space="preserve"> on blockchain-based data governance, decentralised identity, verifiable credentials, healthcare access control, and consent management.</w:t>
      </w:r>
    </w:p>
    <w:p>
      <w:pPr>
        <w:spacing w:after="140" w:line="300"/>
        <w:jc w:val="both"/>
      </w:pPr>
      <w:r>
        <w:rPr>
          <w:rFonts w:ascii="Cambria" w:cs="Cambria" w:eastAsia="Cambria" w:hAnsi="Cambria"/>
          <w:b w:val="false"/>
          <w:bCs w:val="false"/>
          <w:sz w:val="24"/>
          <w:szCs w:val="24"/>
        </w:rPr>
        <w:t xml:space="preserve">Within this corpus, references </w:t>
      </w:r>
      <w:r>
        <w:rPr>
          <w:rFonts w:ascii="Cambria" w:cs="Cambria" w:eastAsia="Cambria" w:hAnsi="Cambria"/>
          <w:b w:val="false"/>
          <w:bCs w:val="false"/>
          <w:color w:val="000000"/>
          <w:sz w:val="24"/>
          <w:szCs w:val="24"/>
        </w:rPr>
        <w:t xml:space="preserve">[1, 2, 3, 7, 9, 10, 11, 12, 13, 14, 21, 22, 24, 25, 28, 31, 32]</w:t>
      </w:r>
      <w:r>
        <w:rPr>
          <w:rFonts w:ascii="Cambria" w:cs="Cambria" w:eastAsia="Cambria" w:hAnsi="Cambria"/>
          <w:b w:val="false"/>
          <w:bCs w:val="false"/>
          <w:sz w:val="24"/>
          <w:szCs w:val="24"/>
        </w:rPr>
        <w:t xml:space="preserve"> address the healthcare data sharing, consent, and access-control dimensions of the review, while references </w:t>
      </w:r>
      <w:r>
        <w:rPr>
          <w:rFonts w:ascii="Cambria" w:cs="Cambria" w:eastAsia="Cambria" w:hAnsi="Cambria"/>
          <w:b w:val="false"/>
          <w:bCs w:val="false"/>
          <w:color w:val="000000"/>
          <w:sz w:val="24"/>
          <w:szCs w:val="24"/>
        </w:rPr>
        <w:t xml:space="preserve">[4, 5, 15, 16, 20, 27, 33]</w:t>
      </w:r>
      <w:r>
        <w:rPr>
          <w:rFonts w:ascii="Cambria" w:cs="Cambria" w:eastAsia="Cambria" w:hAnsi="Cambria"/>
          <w:b w:val="false"/>
          <w:bCs w:val="false"/>
          <w:sz w:val="24"/>
          <w:szCs w:val="24"/>
        </w:rPr>
        <w:t xml:space="preserve"> address the decentralised identifier, verifiable credential, and trust-architecture dimensions; the remaining studies contribute to multi-party governance and security assurance.</w:t>
      </w:r>
    </w:p>
    <w:p>
      <w:pPr>
        <w:pStyle w:val="Heading3"/>
        <w:spacing w:after="160" w:before="280"/>
      </w:pPr>
      <w:r>
        <w:rPr>
          <w:rFonts w:ascii="Cambria" w:cs="Cambria" w:eastAsia="Cambria" w:hAnsi="Cambria"/>
          <w:sz w:val="24"/>
          <w:szCs w:val="24"/>
        </w:rPr>
        <w:t xml:space="preserve">2.3.1  Review Design and Reporting Framework</w:t>
      </w:r>
    </w:p>
    <w:p>
      <w:pPr>
        <w:spacing w:after="140" w:line="300"/>
        <w:jc w:val="both"/>
      </w:pPr>
      <w:r>
        <w:rPr>
          <w:rFonts w:ascii="Cambria" w:cs="Cambria" w:eastAsia="Cambria" w:hAnsi="Cambria"/>
          <w:sz w:val="24"/>
          <w:szCs w:val="24"/>
        </w:rPr>
        <w:t xml:space="preserve">A systematic literature review (SLR) was conducted to identify, classify, and critically evaluate existing research on multi-party healthcare data sharing, patient consent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privacy-preserving access control, and auditability. The review was designed to establish the conceptual and technical foundations of the research and thus </w:t>
      </w:r>
      <w:r>
        <w:rPr>
          <w:rFonts w:ascii="Cambria" w:cs="Cambria" w:eastAsia="Cambria" w:hAnsi="Cambria"/>
          <w:color w:val="000000"/>
          <w:sz w:val="24"/>
          <w:szCs w:val="24"/>
        </w:rPr>
        <w:t xml:space="preserve">of the</w:t>
      </w:r>
      <w:r>
        <w:rPr>
          <w:rFonts w:ascii="Cambria" w:cs="Cambria" w:eastAsia="Cambria" w:hAnsi="Cambria"/>
          <w:sz w:val="24"/>
          <w:szCs w:val="24"/>
        </w:rPr>
        <w:t xml:space="preserv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enforcement, privacy preservation, and auditable data access.</w:t>
      </w:r>
    </w:p>
    <w:p>
      <w:pPr>
        <w:spacing w:after="140" w:line="300"/>
        <w:jc w:val="both"/>
      </w:pPr>
      <w:r>
        <w:rPr>
          <w:rFonts w:ascii="Cambria" w:cs="Cambria" w:eastAsia="Cambria" w:hAnsi="Cambria"/>
          <w:sz w:val="24"/>
          <w:szCs w:val="24"/>
        </w:rPr>
        <w:t xml:space="preserve">The review process was structured according to the Preferred Reporting Items for Systematic Reviews and Meta-Analyses (PRISMA) framework </w:t>
      </w:r>
      <w:r>
        <w:rPr>
          <w:rFonts w:ascii="Cambria" w:cs="Cambria" w:eastAsia="Cambria" w:hAnsi="Cambria"/>
          <w:color w:val="000000"/>
          <w:sz w:val="24"/>
          <w:szCs w:val="24"/>
        </w:rPr>
        <w:t xml:space="preserve">[34]</w:t>
      </w:r>
      <w:r>
        <w:rPr>
          <w:rFonts w:ascii="Cambria" w:cs="Cambria" w:eastAsia="Cambria" w:hAnsi="Cambria"/>
          <w:sz w:val="24"/>
          <w:szCs w:val="24"/>
        </w:rPr>
        <w:t xml:space="preserve">.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w:t>
      </w:r>
    </w:p>
    <w:p>
      <w:pPr>
        <w:pStyle w:val="Heading3"/>
        <w:spacing w:after="160" w:before="280"/>
      </w:pPr>
      <w:r>
        <w:rPr>
          <w:rFonts w:ascii="Cambria" w:cs="Cambria" w:eastAsia="Cambria" w:hAnsi="Cambria"/>
          <w:sz w:val="24"/>
          <w:szCs w:val="24"/>
        </w:rPr>
        <w:t xml:space="preserve">2.3.2  Questions for Review</w:t>
      </w:r>
    </w:p>
    <w:p>
      <w:pPr>
        <w:spacing w:after="140" w:line="300"/>
        <w:jc w:val="both"/>
      </w:pPr>
      <w:r>
        <w:rPr>
          <w:rFonts w:ascii="Cambria" w:cs="Cambria" w:eastAsia="Cambria" w:hAnsi="Cambria"/>
          <w:sz w:val="24"/>
          <w:szCs w:val="24"/>
        </w:rPr>
        <w:t xml:space="preserve">This systematic literature review is guided by the following questions</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What multi-party trust approaches have been proposed for healthcare data sharing and patient consent management?</w:t>
      </w:r>
    </w:p>
    <w:p>
      <w:pPr>
        <w:spacing w:after="140" w:line="300"/>
        <w:jc w:val="both"/>
      </w:pPr>
      <w:r>
        <w:rPr>
          <w:rFonts w:ascii="Cambria" w:cs="Cambria" w:eastAsia="Cambria" w:hAnsi="Cambria"/>
          <w:sz w:val="24"/>
          <w:szCs w:val="24"/>
        </w:rPr>
        <w:t xml:space="preserve">2. How do existing approaches represent, verify, and enforce patient consent and data access permissions?</w:t>
      </w:r>
    </w:p>
    <w:p>
      <w:pPr>
        <w:spacing w:after="140" w:line="300"/>
        <w:jc w:val="both"/>
      </w:pPr>
      <w:r>
        <w:rPr>
          <w:rFonts w:ascii="Cambria" w:cs="Cambria" w:eastAsia="Cambria" w:hAnsi="Cambria"/>
          <w:sz w:val="24"/>
          <w:szCs w:val="24"/>
        </w:rPr>
        <w:t xml:space="preserve">3. What mechanisms are used to support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verifiable credentials, and authentication in healthcare data ecosystems?</w:t>
      </w:r>
    </w:p>
    <w:p>
      <w:pPr>
        <w:spacing w:after="140" w:line="300"/>
        <w:jc w:val="both"/>
      </w:pPr>
      <w:r>
        <w:rPr>
          <w:rFonts w:ascii="Cambria" w:cs="Cambria" w:eastAsia="Cambria" w:hAnsi="Cambria"/>
          <w:sz w:val="24"/>
          <w:szCs w:val="24"/>
        </w:rPr>
        <w:t xml:space="preserve">4. How do existing systems address privacy preservation, selective disclosure, interoperability, and auditability?</w:t>
      </w:r>
    </w:p>
    <w:p>
      <w:pPr>
        <w:spacing w:after="140" w:line="300"/>
        <w:jc w:val="both"/>
      </w:pPr>
      <w:r>
        <w:rPr>
          <w:rFonts w:ascii="Cambria" w:cs="Cambria" w:eastAsia="Cambria" w:hAnsi="Cambria"/>
          <w:sz w:val="24"/>
          <w:szCs w:val="24"/>
        </w:rPr>
        <w:t xml:space="preserve">5. What limitations remain regarding the integration of consent management, identity verification, access control, and auditable healthcare data sharing?</w:t>
      </w:r>
    </w:p>
    <w:p>
      <w:pPr>
        <w:spacing w:after="140" w:line="300"/>
        <w:jc w:val="both"/>
      </w:pPr>
      <w:r>
        <w:rPr>
          <w:rFonts w:ascii="Cambria" w:cs="Cambria" w:eastAsia="Cambria" w:hAnsi="Cambria"/>
          <w:color w:val="000000"/>
          <w:sz w:val="24"/>
          <w:szCs w:val="24"/>
        </w:rPr>
        <w:t xml:space="preserve">6. How do existing systems manage the temporal validity and lifecycle of consent, including expiration, revocation, and state transitions, after consent has been granted?</w:t>
      </w:r>
    </w:p>
    <w:p>
      <w:pPr>
        <w:spacing w:after="140" w:line="300"/>
        <w:jc w:val="both"/>
      </w:pPr>
      <w:r>
        <w:rPr>
          <w:rFonts w:ascii="Cambria" w:cs="Cambria" w:eastAsia="Cambria" w:hAnsi="Cambria"/>
          <w:color w:val="000000"/>
          <w:sz w:val="24"/>
          <w:szCs w:val="24"/>
        </w:rPr>
        <w:t xml:space="preserve">7. How are the security properties of existing consent and access-control systems evaluated, and to what extent is formal security analysis employed alongside empirical prototyping?</w:t>
      </w:r>
    </w:p>
    <w:p>
      <w:pPr>
        <w:spacing w:after="140" w:line="300"/>
        <w:jc w:val="both"/>
      </w:pPr>
      <w:r>
        <w:rPr>
          <w:rFonts w:ascii="Cambria" w:cs="Cambria" w:eastAsia="Cambria" w:hAnsi="Cambria"/>
          <w:sz w:val="24"/>
          <w:szCs w:val="24"/>
        </w:rP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p>
      <w:pPr>
        <w:pStyle w:val="Heading3"/>
        <w:spacing w:after="160" w:before="280"/>
      </w:pPr>
      <w:r>
        <w:rPr>
          <w:rFonts w:ascii="Cambria" w:cs="Cambria" w:eastAsia="Cambria" w:hAnsi="Cambria"/>
          <w:sz w:val="24"/>
          <w:szCs w:val="24"/>
        </w:rPr>
        <w:t xml:space="preserve">2.3.3  Search Databases and Search Strategy</w:t>
      </w:r>
    </w:p>
    <w:p>
      <w:pPr>
        <w:spacing w:after="140" w:line="300"/>
        <w:jc w:val="both"/>
      </w:pPr>
      <w:r>
        <w:rPr>
          <w:rFonts w:ascii="Cambria" w:cs="Cambria" w:eastAsia="Cambria" w:hAnsi="Cambria"/>
          <w:sz w:val="24"/>
          <w:szCs w:val="24"/>
        </w:rPr>
        <w:t xml:space="preserve">The literature search was conducted using the following academic databases</w:t>
      </w:r>
      <w:r>
        <w:rPr>
          <w:rFonts w:ascii="Cambria" w:cs="Cambria" w:eastAsia="Cambria" w:hAnsi="Cambria"/>
          <w:color w:val="000000"/>
          <w:sz w:val="24"/>
          <w:szCs w:val="24"/>
        </w:rPr>
        <w:t xml:space="preserve">: 1) IEEE Xplore, 2) ACM Digital Library, 3) ScienceDirect, 4) SpringerLink, 5) PubMed, 6) Scopus, and 7) Web of Science</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spacing w:after="140" w:line="300"/>
        <w:jc w:val="both"/>
      </w:pPr>
      <w:r>
        <w:rPr>
          <w:rFonts w:ascii="Cambria" w:cs="Cambria" w:eastAsia="Cambria" w:hAnsi="Cambria"/>
          <w:sz w:val="24"/>
          <w:szCs w:val="24"/>
        </w:rP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w:t>
      </w:r>
      <w:r>
        <w:rPr>
          <w:rFonts w:ascii="Cambria" w:cs="Cambria" w:eastAsia="Cambria" w:hAnsi="Cambria"/>
          <w:color w:val="000000"/>
          <w:sz w:val="24"/>
          <w:szCs w:val="24"/>
        </w:rPr>
        <w:t xml:space="preserve">blockchain and distributed-ledger technology,</w:t>
      </w:r>
      <w:r>
        <w:rPr>
          <w:rFonts w:ascii="Cambria" w:cs="Cambria" w:eastAsia="Cambria" w:hAnsi="Cambria"/>
          <w:sz w:val="24"/>
          <w:szCs w:val="24"/>
        </w:rPr>
        <w:t xml:space="preserve"> healthcare data, patient consent,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access control, privacy, and auditability. The general search string was defined as shown in Figure 1.</w:t>
      </w:r>
    </w:p>
    <w:p>
      <w:pPr>
        <w:spacing w:after="140" w:line="300"/>
        <w:jc w:val="both"/>
      </w:pPr>
      <w:r>
        <w:rPr>
          <w:rFonts w:ascii="Cambria" w:cs="Cambria" w:eastAsia="Cambria" w:hAnsi="Cambria"/>
          <w:b w:val="false"/>
          <w:bCs w:val="false"/>
          <w:sz w:val="24"/>
          <w:szCs w:val="24"/>
        </w:rPr>
        <w:t xml:space="preserve">The supporting-requirements block of the search string additionally captured trusted-execution terminology (trusted computing, trusted execution environment, attestation), which yielded the secure-execution studies reviewed in Section 2.4.6.</w:t>
      </w:r>
    </w:p>
    <w:p>
      <w:pPr>
        <w:keepNext/>
        <w:spacing w:after="60" w:before="140"/>
        <w:jc w:val="center"/>
      </w:pPr>
      <w:r>
        <w:drawing>
          <wp:inline distT="0" distB="0" distL="0" distR="0">
            <wp:extent cx="5715000" cy="4010025"/>
            <wp:effectExtent t="0" r="0" b="0" l="0"/>
            <wp:docPr id="1" name="gfig1f.png" descr="Figure 1: SLR Search String Definition" title="Figure 1: SLR Search String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10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w:t>
      </w:r>
    </w:p>
    <w:p>
      <w:pPr>
        <w:jc w:val="center"/>
      </w:pPr>
      <w:r>
        <w:rPr>
          <w:rFonts w:ascii="Cambria" w:cs="Cambria" w:eastAsia="Cambria" w:hAnsi="Cambria"/>
          <w:i/>
          <w:iCs/>
          <w:sz w:val="20"/>
          <w:szCs w:val="20"/>
        </w:rPr>
        <w:t xml:space="preserve">[Figure 1: SLR Search String Definition (updated: blockchain and distributed-ledger terminology added to the Multi-Party Trust block, and trusted computing, trusted execution environment, and attestation added to the Supporting Requirements block, in line with Section 2.2.3)]</w:t>
      </w:r>
    </w:p>
    <w:p>
      <w:pPr>
        <w:pStyle w:val="Heading3"/>
        <w:spacing w:after="160" w:before="280"/>
      </w:pPr>
      <w:r>
        <w:rPr>
          <w:rFonts w:ascii="Cambria" w:cs="Cambria" w:eastAsia="Cambria" w:hAnsi="Cambria"/>
          <w:sz w:val="24"/>
          <w:szCs w:val="24"/>
        </w:rPr>
        <w:t xml:space="preserve">2.3.4  Search Period and Search Execution</w:t>
      </w:r>
    </w:p>
    <w:p>
      <w:pPr>
        <w:spacing w:after="140" w:line="300"/>
        <w:jc w:val="both"/>
      </w:pPr>
      <w:r>
        <w:rPr>
          <w:rFonts w:ascii="Cambria" w:cs="Cambria" w:eastAsia="Cambria" w:hAnsi="Cambria"/>
          <w:sz w:val="24"/>
          <w:szCs w:val="24"/>
        </w:rPr>
        <w:t xml:space="preserve">The search was restricted to studies published between </w:t>
      </w:r>
      <w:r>
        <w:rPr>
          <w:rFonts w:ascii="Cambria" w:cs="Cambria" w:eastAsia="Cambria" w:hAnsi="Cambria"/>
          <w:color w:val="000000"/>
          <w:sz w:val="24"/>
          <w:szCs w:val="24"/>
        </w:rPr>
        <w:t xml:space="preserve">January 2022 and the search date, and was performed in August 2026</w:t>
      </w:r>
      <w:r>
        <w:rPr>
          <w:rFonts w:ascii="Cambria" w:cs="Cambria" w:eastAsia="Cambria" w:hAnsi="Cambria"/>
          <w:sz w:val="24"/>
          <w:szCs w:val="24"/>
        </w:rPr>
        <w:t xml:space="preserve">. The search period was selected to capture the rapid development of multi-party trust healthcare data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consent-aware access control while maintaining a sufficiently contemporary evidence base. Earlier foundational studies were retained when they provided critical contributions to the technical or conceptual development of the reviewed approaches.</w:t>
      </w:r>
    </w:p>
    <w:p>
      <w:pPr>
        <w:spacing w:after="140" w:line="300"/>
        <w:jc w:val="both"/>
      </w:pPr>
      <w:r>
        <w:rPr>
          <w:rFonts w:ascii="Cambria" w:cs="Cambria" w:eastAsia="Cambria" w:hAnsi="Cambria"/>
          <w:sz w:val="24"/>
          <w:szCs w:val="24"/>
        </w:rP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Heading3"/>
        <w:spacing w:after="160" w:before="280"/>
      </w:pPr>
      <w:r>
        <w:rPr>
          <w:rFonts w:ascii="Cambria" w:cs="Cambria" w:eastAsia="Cambria" w:hAnsi="Cambria"/>
          <w:sz w:val="24"/>
          <w:szCs w:val="24"/>
        </w:rPr>
        <w:t xml:space="preserve">2.3.5  Eligibility Criteria</w:t>
      </w:r>
    </w:p>
    <w:p>
      <w:pPr>
        <w:spacing w:after="140" w:line="300"/>
        <w:jc w:val="both"/>
      </w:pPr>
      <w:r>
        <w:rPr>
          <w:rFonts w:ascii="Cambria" w:cs="Cambria" w:eastAsia="Cambria" w:hAnsi="Cambria"/>
          <w:sz w:val="24"/>
          <w:szCs w:val="24"/>
        </w:rPr>
        <w:t xml:space="preserve">The eligibility criteria were defined before the screening process to ensure consistency in the selection of studies. The criteria were designed to identify research that was directly relevant to the objectives of the SLR.</w:t>
      </w:r>
    </w:p>
    <w:p>
      <w:pPr>
        <w:spacing w:after="140" w:line="300"/>
        <w:jc w:val="both"/>
      </w:pPr>
      <w:r>
        <w:rPr>
          <w:rFonts w:ascii="Cambria" w:cs="Cambria" w:eastAsia="Cambria" w:hAnsi="Cambria"/>
          <w:sz w:val="24"/>
          <w:szCs w:val="24"/>
        </w:rPr>
        <w:t xml:space="preserve">A study was included if it satisfied the following criteria</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The study was published as a peer-reviewed journal article, conference paper, or systematic review relevant to the research questions.</w:t>
      </w:r>
    </w:p>
    <w:p>
      <w:pPr>
        <w:spacing w:after="140" w:line="300"/>
        <w:jc w:val="both"/>
      </w:pPr>
      <w:r>
        <w:rPr>
          <w:rFonts w:ascii="Cambria" w:cs="Cambria" w:eastAsia="Cambria" w:hAnsi="Cambria"/>
          <w:sz w:val="24"/>
          <w:szCs w:val="24"/>
        </w:rPr>
        <w:t xml:space="preserve">2. The study addressed healthcare data sharing, electronic health records, patient consent, healthcare access control,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privacy preservation, or a closely related topic.</w:t>
      </w:r>
    </w:p>
    <w:p>
      <w:pPr>
        <w:spacing w:after="140" w:line="300"/>
        <w:jc w:val="both"/>
      </w:pPr>
      <w:r>
        <w:rPr>
          <w:rFonts w:ascii="Cambria" w:cs="Cambria" w:eastAsia="Cambria" w:hAnsi="Cambria"/>
          <w:sz w:val="24"/>
          <w:szCs w:val="24"/>
        </w:rPr>
        <w:t xml:space="preserve">3. The study proposed, implemented, evaluated, or critically reviewed a technical, architectural, conceptual, or governance-oriented approach relevant to the research questions.</w:t>
      </w:r>
    </w:p>
    <w:p>
      <w:pPr>
        <w:spacing w:after="140" w:line="300"/>
        <w:jc w:val="both"/>
      </w:pPr>
      <w:r>
        <w:rPr>
          <w:rFonts w:ascii="Cambria" w:cs="Cambria" w:eastAsia="Cambria" w:hAnsi="Cambria"/>
          <w:sz w:val="24"/>
          <w:szCs w:val="24"/>
        </w:rPr>
        <w:t xml:space="preserve">4. The study provided sufficient methodological or conceptual information to support the extraction of relevant findings.</w:t>
      </w:r>
    </w:p>
    <w:p>
      <w:pPr>
        <w:spacing w:after="140" w:line="300"/>
        <w:jc w:val="both"/>
      </w:pPr>
      <w:r>
        <w:rPr>
          <w:rFonts w:ascii="Cambria" w:cs="Cambria" w:eastAsia="Cambria" w:hAnsi="Cambria"/>
          <w:sz w:val="24"/>
          <w:szCs w:val="24"/>
        </w:rPr>
        <w:t xml:space="preserve">5. The full text was available for inspection.</w:t>
      </w:r>
    </w:p>
    <w:p>
      <w:pPr>
        <w:spacing w:after="140" w:line="300"/>
        <w:jc w:val="both"/>
      </w:pPr>
      <w:r>
        <w:rPr>
          <w:rFonts w:ascii="Cambria" w:cs="Cambria" w:eastAsia="Cambria" w:hAnsi="Cambria"/>
          <w:sz w:val="24"/>
          <w:szCs w:val="24"/>
        </w:rPr>
        <w:t xml:space="preserve">6. The publication language was English.</w:t>
      </w:r>
    </w:p>
    <w:p>
      <w:pPr>
        <w:spacing w:after="140" w:line="300"/>
        <w:jc w:val="both"/>
      </w:pPr>
      <w:r>
        <w:rPr>
          <w:rFonts w:ascii="Cambria" w:cs="Cambria" w:eastAsia="Cambria" w:hAnsi="Cambria"/>
          <w:sz w:val="24"/>
          <w:szCs w:val="24"/>
        </w:rPr>
        <w:t xml:space="preserve">Studies were excluded if they satisfied one or more of the following conditions</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1. The study was unrelated to healthcare data sharing, patient consent, identity management, access control, privacy, or auditability.</w:t>
      </w:r>
    </w:p>
    <w:p>
      <w:pPr>
        <w:spacing w:after="140" w:line="300"/>
        <w:jc w:val="both"/>
      </w:pPr>
      <w:r>
        <w:rPr>
          <w:rFonts w:ascii="Cambria" w:cs="Cambria" w:eastAsia="Cambria" w:hAnsi="Cambria"/>
          <w:sz w:val="24"/>
          <w:szCs w:val="24"/>
        </w:rPr>
        <w:t xml:space="preserve">2. The study was a duplicate of another retrieved record.</w:t>
      </w:r>
    </w:p>
    <w:p>
      <w:pPr>
        <w:spacing w:after="140" w:line="300"/>
        <w:jc w:val="both"/>
      </w:pPr>
      <w:r>
        <w:rPr>
          <w:rFonts w:ascii="Cambria" w:cs="Cambria" w:eastAsia="Cambria" w:hAnsi="Cambria"/>
          <w:sz w:val="24"/>
          <w:szCs w:val="24"/>
        </w:rPr>
        <w:t xml:space="preserve">3. The study was a short abstract, editorial, opinion article, thesis, book chapter, or non-peer-reviewed publication without sufficient methodological detail, unless it provided a necessary foundational contribution.</w:t>
      </w:r>
    </w:p>
    <w:p>
      <w:pPr>
        <w:spacing w:after="140" w:line="300"/>
        <w:jc w:val="both"/>
      </w:pPr>
      <w:r>
        <w:rPr>
          <w:rFonts w:ascii="Cambria" w:cs="Cambria" w:eastAsia="Cambria" w:hAnsi="Cambria"/>
          <w:sz w:val="24"/>
          <w:szCs w:val="24"/>
        </w:rPr>
        <w:t xml:space="preserve">4. The study did not provide sufficient information to evaluate its contribution to the research questions.</w:t>
      </w:r>
    </w:p>
    <w:p>
      <w:pPr>
        <w:spacing w:after="140" w:line="300"/>
        <w:jc w:val="both"/>
      </w:pPr>
      <w:r>
        <w:rPr>
          <w:rFonts w:ascii="Cambria" w:cs="Cambria" w:eastAsia="Cambria" w:hAnsi="Cambria"/>
          <w:sz w:val="24"/>
          <w:szCs w:val="24"/>
        </w:rPr>
        <w:t xml:space="preserve">5. The full text was unavailable.</w:t>
      </w:r>
    </w:p>
    <w:p>
      <w:pPr>
        <w:spacing w:after="140" w:line="300"/>
        <w:jc w:val="both"/>
      </w:pPr>
      <w:r>
        <w:rPr>
          <w:rFonts w:ascii="Cambria" w:cs="Cambria" w:eastAsia="Cambria" w:hAnsi="Cambria"/>
          <w:sz w:val="24"/>
          <w:szCs w:val="24"/>
        </w:rPr>
        <w:t xml:space="preserve">6. The study focused exclusively on a technical problem that was outside the scope of healthcare data management and did not provide transferable insights relevant to the review.</w:t>
      </w:r>
    </w:p>
    <w:p>
      <w:pPr>
        <w:spacing w:after="140" w:line="300"/>
        <w:jc w:val="both"/>
      </w:pPr>
      <w:r>
        <w:rPr>
          <w:rFonts w:ascii="Cambria" w:cs="Cambria" w:eastAsia="Cambria" w:hAnsi="Cambria"/>
          <w:sz w:val="24"/>
          <w:szCs w:val="24"/>
        </w:rP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spacing w:after="140" w:line="300"/>
        <w:jc w:val="both"/>
      </w:pPr>
      <w:r>
        <w:rPr>
          <w:rFonts w:ascii="Cambria" w:cs="Cambria" w:eastAsia="Cambria" w:hAnsi="Cambria"/>
          <w:color w:val="000000"/>
          <w:sz w:val="24"/>
          <w:szCs w:val="24"/>
        </w:rPr>
        <w:t xml:space="preserve">A small number of included studies address domains other than healthcare, such as cross-organisational livestock data sharing, archival record-keeping, smart agriculture, electric-vehicle charging, and smart-city data governance [6, 8, 17, 27, 30]. These studies were retained under criterion 6 because they provide transferable insights on decentralised trust, verifiable credentials, and auditable data governance that bear directly on the review questions.</w:t>
      </w:r>
      <w:r>
        <w:rPr>
          <w:rFonts w:ascii="Cambria" w:cs="Cambria" w:eastAsia="Cambria" w:hAnsi="Cambria"/>
          <w:sz w:val="24"/>
          <w:szCs w:val="24"/>
        </w:rPr>
        <w:t xml:space="preserve"> </w:t>
      </w:r>
      <w:r>
        <w:rPr>
          <w:rFonts w:ascii="Cambria" w:cs="Cambria" w:eastAsia="Cambria" w:hAnsi="Cambria"/>
          <w:color w:val="000000"/>
          <w:sz w:val="24"/>
          <w:szCs w:val="24"/>
        </w:rPr>
        <w:t xml:space="preserve">Similarly, the healthcare studies [9, 14, 31] contribute contextual evidence on patient attitudes, confidentiality and guardianship rather than technical mechanisms, and they are assessed on that basis in the study tables of Section 2.4.</w:t>
      </w:r>
    </w:p>
    <w:p>
      <w:pPr>
        <w:pStyle w:val="Heading3"/>
        <w:spacing w:after="160" w:before="280"/>
      </w:pPr>
      <w:r>
        <w:rPr>
          <w:rFonts w:ascii="Cambria" w:cs="Cambria" w:eastAsia="Cambria" w:hAnsi="Cambria"/>
          <w:sz w:val="24"/>
          <w:szCs w:val="24"/>
        </w:rPr>
        <w:t xml:space="preserve">2.3.6  Screening and Study Selection</w:t>
      </w:r>
    </w:p>
    <w:p>
      <w:pPr>
        <w:spacing w:after="140" w:line="300"/>
        <w:jc w:val="both"/>
      </w:pPr>
      <w:r>
        <w:rPr>
          <w:rFonts w:ascii="Cambria" w:cs="Cambria" w:eastAsia="Cambria" w:hAnsi="Cambria"/>
          <w:sz w:val="24"/>
          <w:szCs w:val="24"/>
        </w:rPr>
        <w:t xml:space="preserve">The screening process consisted of three sequential stages: title and abstract screening, full-text eligibility assessment, and final inclusion.</w:t>
      </w:r>
    </w:p>
    <w:p>
      <w:pPr>
        <w:spacing w:after="140" w:line="300"/>
        <w:jc w:val="both"/>
      </w:pPr>
      <w:r>
        <w:rPr>
          <w:rFonts w:ascii="Cambria" w:cs="Cambria" w:eastAsia="Cambria" w:hAnsi="Cambria"/>
          <w:sz w:val="24"/>
          <w:szCs w:val="24"/>
        </w:rP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privacy, and healthcare data sharing.</w:t>
      </w:r>
    </w:p>
    <w:p>
      <w:pPr>
        <w:spacing w:after="140" w:line="300"/>
        <w:jc w:val="both"/>
      </w:pPr>
      <w:r>
        <w:rPr>
          <w:rFonts w:ascii="Cambria" w:cs="Cambria" w:eastAsia="Cambria" w:hAnsi="Cambria"/>
          <w:sz w:val="24"/>
          <w:szCs w:val="24"/>
        </w:rP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keepNext/>
        <w:spacing w:after="60" w:before="140"/>
        <w:jc w:val="center"/>
      </w:pPr>
      <w:r>
        <w:drawing>
          <wp:inline distT="0" distB="0" distL="0" distR="0">
            <wp:extent cx="5715000" cy="3981450"/>
            <wp:effectExtent t="0" r="0" b="0" l="0"/>
            <wp:docPr id="1" name="gfig2.png" descr="Figure 2: PRISMA Study Selection Summary" title="Figure 2: PRISMA Study Selec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81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Study Selection Summary</w:t>
      </w:r>
    </w:p>
    <w:p>
      <w:pPr>
        <w:jc w:val="center"/>
      </w:pPr>
      <w:r>
        <w:rPr>
          <w:rFonts w:ascii="Cambria" w:cs="Cambria" w:eastAsia="Cambria" w:hAnsi="Cambria"/>
          <w:i/>
          <w:iCs/>
          <w:sz w:val="20"/>
          <w:szCs w:val="20"/>
        </w:rPr>
        <w:t xml:space="preserve">[Figure 2: PRISMA Study Selection Summary]</w:t>
      </w:r>
    </w:p>
    <w:p>
      <w:pPr>
        <w:spacing w:after="140" w:line="300"/>
        <w:jc w:val="both"/>
      </w:pPr>
      <w:r>
        <w:rPr>
          <w:rFonts w:ascii="Cambria" w:cs="Cambria" w:eastAsia="Cambria" w:hAnsi="Cambria"/>
          <w:sz w:val="24"/>
          <w:szCs w:val="24"/>
        </w:rPr>
        <w:t xml:space="preserve">Figure 2 presents the PRISMA flow diagram for this review</w:t>
      </w:r>
      <w:r>
        <w:rPr>
          <w:rFonts w:ascii="Cambria" w:cs="Cambria" w:eastAsia="Cambria" w:hAnsi="Cambria"/>
          <w:color w:val="000000"/>
          <w:sz w:val="24"/>
          <w:szCs w:val="24"/>
        </w:rPr>
        <w:t xml:space="preserve">, which summarises</w:t>
      </w:r>
      <w:r>
        <w:rPr>
          <w:rFonts w:ascii="Cambria" w:cs="Cambria" w:eastAsia="Cambria" w:hAnsi="Cambria"/>
          <w:sz w:val="24"/>
          <w:szCs w:val="24"/>
        </w:rPr>
        <w:t xml:space="preserve"> the identification, screening, eligibility, and inclusion stages of the SLR. The final number of included studies was derived after completing the screening and eligibility assessment across the identified literature base.</w:t>
      </w:r>
    </w:p>
    <w:p>
      <w:pPr>
        <w:spacing w:after="140" w:line="300"/>
        <w:jc w:val="both"/>
      </w:pPr>
      <w:r>
        <w:rPr>
          <w:rFonts w:ascii="Cambria" w:cs="Cambria" w:eastAsia="Cambria" w:hAnsi="Cambria"/>
          <w:b w:val="false"/>
          <w:bCs w:val="false"/>
          <w:sz w:val="24"/>
          <w:szCs w:val="24"/>
        </w:rPr>
        <w:t xml:space="preserve">Seven of the removed records were flagged as ineligible during automated pre-screening (non-English sources and non-peer-reviewed material) and were excluded before the manual title and abstract screening.</w:t>
      </w:r>
    </w:p>
    <w:p>
      <w:pPr>
        <w:spacing w:after="140" w:line="300"/>
        <w:jc w:val="both"/>
      </w:pPr>
      <w:r>
        <w:rPr>
          <w:rFonts w:ascii="Cambria" w:cs="Cambria" w:eastAsia="Cambria" w:hAnsi="Cambria"/>
          <w:color w:val="000000"/>
          <w:sz w:val="24"/>
          <w:szCs w:val="24"/>
        </w:rPr>
        <w:t xml:space="preserve">In numerical terms, the database searches returned 125 records. Before screening, 35 duplicate records and the seven records flagged during automated pre-screening were removed, leaving 83 records for title and abstract screening. Of these, 40 records were excluded as unrelated to the review scope and 43 reports were sought for retrieval; three full texts were inaccessible, so 40 reports were assessed for eligibility. Seven reports were excluded at this stage, three for insufficient technical or architectural detail and four for scope mismatch with the consent and decentralised-identity focus of the review, and 33 studies were included in the final qualitative synthesis, exactly as reported in Figure 2.</w:t>
      </w:r>
    </w:p>
    <w:p>
      <w:pPr>
        <w:pStyle w:val="Heading3"/>
        <w:spacing w:after="160" w:before="280"/>
      </w:pPr>
      <w:r>
        <w:rPr>
          <w:rFonts w:ascii="Cambria" w:cs="Cambria" w:eastAsia="Cambria" w:hAnsi="Cambria"/>
          <w:sz w:val="24"/>
          <w:szCs w:val="24"/>
        </w:rPr>
        <w:t xml:space="preserve">2.3.7  Data Extraction and Synthesis</w:t>
      </w:r>
    </w:p>
    <w:p>
      <w:pPr>
        <w:spacing w:after="140" w:line="300"/>
        <w:jc w:val="both"/>
      </w:pPr>
      <w:r>
        <w:rPr>
          <w:rFonts w:ascii="Cambria" w:cs="Cambria" w:eastAsia="Cambria" w:hAnsi="Cambria"/>
          <w:sz w:val="24"/>
          <w:szCs w:val="24"/>
        </w:rP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spacing w:after="140" w:line="300"/>
        <w:jc w:val="both"/>
      </w:pPr>
      <w:r>
        <w:rPr>
          <w:rFonts w:ascii="Cambria" w:cs="Cambria" w:eastAsia="Cambria" w:hAnsi="Cambria"/>
          <w:sz w:val="24"/>
          <w:szCs w:val="24"/>
        </w:rPr>
        <w:t xml:space="preserve">The extracted data were </w:t>
      </w:r>
      <w:r>
        <w:rPr>
          <w:rFonts w:ascii="Cambria" w:cs="Cambria" w:eastAsia="Cambria" w:hAnsi="Cambria"/>
          <w:color w:val="000000"/>
          <w:sz w:val="24"/>
          <w:szCs w:val="24"/>
        </w:rPr>
        <w:t xml:space="preserve">organised</w:t>
      </w:r>
      <w:r>
        <w:rPr>
          <w:rFonts w:ascii="Cambria" w:cs="Cambria" w:eastAsia="Cambria" w:hAnsi="Cambria"/>
          <w:sz w:val="24"/>
          <w:szCs w:val="24"/>
        </w:rPr>
        <w:t xml:space="preserve"> into thematic categories corresponding to the research questions. These categories included consent specification and management,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credential verification,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access control, privacy preservation, interoperability, auditability, and system evaluation.</w:t>
      </w:r>
    </w:p>
    <w:p>
      <w:pPr>
        <w:spacing w:after="140" w:line="300"/>
        <w:jc w:val="both"/>
      </w:pPr>
      <w:r>
        <w:rPr>
          <w:rFonts w:ascii="Cambria" w:cs="Cambria" w:eastAsia="Cambria" w:hAnsi="Cambria"/>
          <w:sz w:val="24"/>
          <w:szCs w:val="24"/>
        </w:rP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auditable access records, and mechanisms for preserving patient autonomy.</w:t>
      </w:r>
    </w:p>
    <w:p>
      <w:pPr>
        <w:spacing w:after="140" w:line="300"/>
        <w:jc w:val="both"/>
      </w:pPr>
      <w:r>
        <w:rPr>
          <w:rFonts w:ascii="Cambria" w:cs="Cambria" w:eastAsia="Cambria" w:hAnsi="Cambria"/>
          <w:color w:val="000000"/>
          <w:sz w:val="24"/>
          <w:szCs w:val="24"/>
        </w:rPr>
        <w:t xml:space="preserve">Each study assessed at the full-text stage was additionally evaluated against four predefined quality criteria: clarity of the research objective, adequacy of the methodological description, rigour of the reported evaluation or validation, and relevance of the evidence to the review questions. Studies that failed more than one criterion were excluded during the full-text assessment, so the quality assessment operated as part of the eligibility decision rather than as a separate scoring exercise.</w:t>
      </w:r>
    </w:p>
    <w:p>
      <w:pPr>
        <w:spacing w:after="140" w:line="300"/>
        <w:jc w:val="both"/>
      </w:pPr>
      <w:r>
        <w:rPr>
          <w:rFonts w:ascii="Cambria" w:cs="Cambria" w:eastAsia="Cambria" w:hAnsi="Cambria"/>
          <w:sz w:val="24"/>
          <w:szCs w:val="24"/>
        </w:rP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pStyle w:val="Heading3"/>
        <w:spacing w:after="160" w:before="280"/>
      </w:pPr>
      <w:r>
        <w:rPr>
          <w:rFonts w:ascii="Cambria" w:cs="Cambria" w:eastAsia="Cambria" w:hAnsi="Cambria"/>
          <w:color w:val="000000"/>
          <w:sz w:val="24"/>
          <w:szCs w:val="24"/>
        </w:rPr>
        <w:t xml:space="preserve">2.3.8  Shortlisted Studies and Their Categorisation</w:t>
      </w:r>
    </w:p>
    <w:p>
      <w:pPr>
        <w:spacing w:after="140" w:line="300"/>
        <w:jc w:val="both"/>
      </w:pPr>
      <w:r>
        <w:rPr>
          <w:rFonts w:ascii="Cambria" w:cs="Cambria" w:eastAsia="Cambria" w:hAnsi="Cambria"/>
          <w:color w:val="000000"/>
          <w:sz w:val="24"/>
          <w:szCs w:val="24"/>
        </w:rPr>
        <w:t xml:space="preserve">Each of the 33 shortlisted studies was analysed according to its scope, topic, authors, year of publication and its contribution to the review questions. Based on this analysis, each study was assigned to one of six thematic categories: healthcare consent and data governance; blockchain-based data governance; decentralised identity and verifiable credentials; multi-party authorisation and collaborative governance; policy- and context-aware access control; and trusted computing and security assurance. The studies are listed in Table 2. In the remainder of this chapter, each study is referred to by the label Sn, where n is its number in the reference list, so that the reader can move between the tables, the text and the references without ambiguity. The studies in each category are reviewed in the next section, and their issues and limitations with respect to the key requirements defined in Section 2.2 are discussed.</w:t>
      </w:r>
    </w:p>
    <w:p>
      <w:pPr>
        <w:keepNext/>
        <w:spacing w:after="80" w:before="160"/>
        <w:jc w:val="center"/>
      </w:pPr>
      <w:r>
        <w:rPr>
          <w:rFonts w:ascii="Cambria" w:cs="Cambria" w:eastAsia="Cambria" w:hAnsi="Cambria"/>
          <w:b/>
          <w:bCs/>
          <w:color w:val="000000"/>
          <w:sz w:val="21"/>
          <w:szCs w:val="21"/>
        </w:rPr>
        <w:t xml:space="preserve">Table 2: </w:t>
      </w:r>
      <w:r>
        <w:rPr>
          <w:rFonts w:ascii="Cambria" w:cs="Cambria" w:eastAsia="Cambria" w:hAnsi="Cambria"/>
          <w:color w:val="000000"/>
          <w:sz w:val="21"/>
          <w:szCs w:val="21"/>
        </w:rPr>
        <w:t xml:space="preserve">Listing of the studies identified after the shortlisting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40"/>
        <w:gridCol w:w="3520"/>
        <w:gridCol w:w="220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1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Author</w:t>
            </w:r>
          </w:p>
        </w:tc>
        <w:tc>
          <w:tcPr>
            <w:tcW w:type="dxa" w:w="6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Date</w:t>
            </w:r>
          </w:p>
        </w:tc>
        <w:tc>
          <w:tcPr>
            <w:tcW w:type="dxa" w:w="35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Topic</w:t>
            </w:r>
          </w:p>
        </w:tc>
        <w:tc>
          <w:tcPr>
            <w:tcW w:type="dxa" w:w="22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Category</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Abdullah Al Mamun, Sami Azam, and Clementine Gritti [1]</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2022</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Blockchain-based electronic health records management: a comprehensive review and future research direction</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Blockchain-Based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J Andrew, Deva Priya Isravel, K Martin Sagayam, Bharat Bhushan, Yuichi Sei, and Jennifer Eunice [2]</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2023</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Blockchain for healthcare systems: Architecture, security challenges, trends and future directions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Blockchain-Based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Mohammad Salar Arbabi, Chhagan Lal, Narasimha Raghavan Veeraragavan, Dusica Marijan, Jan F Nygård, and Roman Vitenberg [3]</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2023</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 survey on blockchain for healthcare: Challenges, benefits, and future directions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Blockchain-Based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Haotian Deng, Jinwen Liang, Chuan Zhang, Ximeng Liu, Liehuang Zhu, and Song Guo [4]</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2024</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FutureDID: A fully decentralized identity system with multi-party verification</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Decentralised Identity and Verifiable Credentials</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Andrea Flamini, Giada Sciarretta, Mario Scuro, Amir Sharif, Alessandro Tomasi, and Silvio Ranise [5]</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2024</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On cryptographic mechanisms for the selective disclosure of verifiable credentials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Decentralised Identity and Verifiable Credentials</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Abdul Ghafoor, Iraklis Symeonidis, Anna Rydberg, Cecilia Lindahl, and Abdul Qadus Abbasi [6]</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2025</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Towards empowering stakeholders through decentralized trust and secure livestock data sharing</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Multi-Party Authorisation and Collaborative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Pranto Kumar Ghosh, Arindom Chakraborty, Mehedi Hasan, Khalid Rashid, and Abdul Hasib Siddique [7]</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2023</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Blockchain application in healthcare systems: a review</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Blockchain-Based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Remy Hellstern, Daniel C Park, Victoria Lemieux, and Guldana Salimjan [8]</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2022</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Leveraging blockchain-based archival solutions for sensitive documentation: A Xinjiang case study</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Blockchain-Based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Ateya Megahed Ibrahim, Hassanat Ramadan Abdel-Aziz, Heba Ali Hamed Mohamed, Donia Elsaid Fathi Zaghamir, Nadia Mohamed Ibrahim Wahba, Ghada A Hassan, Mostafa Shaban, Mohammad El-Nablaway, Ohoud Naif Aldughmi, and Taghreed Hussien Aboelola [9]</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2024</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Balancing confidentiality and care coordination: challenges in patient privacy</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Healthcare Consent and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Vitor Jesus and Harshvardhan J Pandit [10]</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2022</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Consent receipts for a usable and auditable web of personal data</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Healthcare Consent and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Rong Jiang, Xue Chen, Yimin Yu, Ying Zhang, and Weiping Ding [11]</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2023</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Risk and UCON-based access control model for healthcare big data</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Policy- and Context-Aware Access Control</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Katya Kaplow, Max Downey, Darren Stewart, Allan B Massie, Jennifer D Motter, Lauren Taylor, John Massarelli, Taylor Matalon, Carolyn Sidoti, Macey L Levan, et al [12]</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2024</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Data professionals’ attitudes on data privacy, sharing, and consent in healthcare and research</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Healthcare Consent and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Muhammad Irfan Khalid, Mansoor Ahmed, Markus Helfert, and Jungsuk Kim [13]</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2023</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Privacy-first paradigm for dynamic consent management systems: empowering data subjects through decentralized data controllers and privacy-preserving techniques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Healthcare Consent and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Alexander Kharlamov, Roland Hohmann, and Glenn Parry [14]</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2023</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Data sharing decisions: perceptions and intentions in healthcare</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Healthcare Consent and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Behnam Khayer, Siamak Mirzaei, Hooman Alavizadeh, and Ahmad Salehi Shahraki [15]</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2025</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Blockchain for secure IoT: A review of identity management, access control, and trust mechanisms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Decentralised Identity and Verifiable Credentials</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Chalima Dimitra Nassar Kyriakidou, Athanasia Maria Papathanasiou, and George C Polyzos [16]</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2023</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Decentralized identity with applications to security and privacy for the internet of things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Decentralised Identity and Verifiable Credentials</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Lanlan Li, Charles Z Liu, Kejia Huang, Ruiyi Deng, Majed Abdullah Alrowaily, Mansoor Alghamdi, Ibrahim S Alkhazi, and Malek Alrashidi [17]</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2026</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Trust-aware environmental state consensus for smart agriculture with TEE-enabled sensing and Byzantine-resilient blockchain coordination</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Trusted Computing and Security Assurance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Lanlan Li, Charles Z Liu, and Sanjeeb Shrestha [18]</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2026</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Analytical entropy approach for measuring blockchain immutability and tamper-resilient trust</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Trusted Computing and Security Assurance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Richard K Lomotey, Sandra Kumi, and Ralph Deters [19]</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2022</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Data trusts as a service: Providing a platform for multi-party data sharing</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Multi-Party Authorisation and Collaborative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Carlo Mazzocca, Abbas Acar, Selcuk Uluagac, Rebecca Montanari, Paolo Bellavista, and Mauro Conti [20]</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2025</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 survey on decentralized identifiers and verifiable credentials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Decentralised Identity and Verifiable Credentials</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Cindy Welzel, Max Ostermann, Hannah Louise Smith, Timo Minssen, Toralf Kirsten, and Stephen Gilbert [21]</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2025</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Enabling secure and self determined health data sharing and consent management</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Healthcare Consent and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Roy McClelland and Colin M Harper [22]</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2023</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Information privacy in healthcare—the vital role of informed consent</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Healthcare Consent and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Jämes Ménétrey, Christian Göttel, Anum Khurshid, Marcelo Pasin, Pascal Felber, Valerio Schiavoni, and Shahid Raza [23]</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2022</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Attestation mechanisms for trusted execution environments demystified</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Trusted Computing and Security Assurance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Minal R Narkhede, Nilesh I Wankhede, and Akanksha M Kamble [24]</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2025</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Enhancing patient autonomy in data ownership: privacy models and consent frameworks for healthcare</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Healthcare Consent and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Aleena Nazir, Mubashir Husain Rehmani, Bernard Butler, and Donna O’Shea [25]</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2026</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Access control in healthcare IoT: A comprehensive survey</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Policy- and Context-Aware Access Control</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S26</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Thanh Linh Nguyen, Lam Nguyen, Thong Hoang, Dilum Bandara, Qin Wang, Qinghua Lu, Xiwei Xu, Liming Zhu, and Shiping Chen [26]</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2025</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Blockchain-empowered trustworthy data sharing: Fundamentals, applications, and challenges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Blockchain-Based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Rohini Poolat Parameswarath, Prosanta Gope, and Biplab Sikdar [27]</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2022</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User-empowered privacy-preserving authentication protocol for electric vehicle charging based on decentralized identity and verifiable credential</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Decentralised Identity and Verifiable Credentials</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S28</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Ahmed M Tawfik, Ayman Al-Ahwal, Adly S Tag Eldien, and Hala H Zayed [28]</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2025</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Blockchain-based access control and privacy preservation in healthcare: a comprehensive survey</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Policy- and Context-Aware Access Control</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Leonidas Theodorakopoulos, Alexandra Theodoropoulou, and Constantinos Halkiopoulos [29]</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2024</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Enhancing decentralized decision-making with big data and blockchain technology: A comprehensive review</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Multi-Party Authorisation and Collaborative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Mohammad Nawab Turan, Irshad Ahmed Hashimzai, and Mohammad Qaseem Qiam [30]</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2025</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 blockchain-based framework for secure and transparent environmental data sharing in smart cities: Enhancing trust, integrity, and interoperability in urban sustainability systems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Blockchain-Based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S31</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Emily C Webber, David Brick, James P Scibilia, Peter Dehnel, Council on Clinical Information Technology, et al [31]</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2019</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Electronic communication of the health record and information with pediatric patients and their guardians</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Healthcare Consent and Data Governance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S32</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Hongjian Yin, Yiming Zhao, Lei Zhang, Baojun Qiao, Wenbo Chen, and Huaqing Wang [32]</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2024</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Attribute-based searchable encryption with decentralized key management for healthcare data sharing</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Policy- and Context-Aware Access Control</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w:t>
            </w:r>
          </w:p>
        </w:tc>
        <w:tc>
          <w:tcPr>
            <w:tcW w:type="dxa" w:w="21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Jie Yin, Yang Xiao, Qian Chen, Xuefeng Liu, Qingqi Pei, Jianying Zhou, et al [33]</w:t>
            </w:r>
          </w:p>
        </w:tc>
        <w:tc>
          <w:tcPr>
            <w:tcW w:type="dxa" w:w="6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2025</w:t>
            </w:r>
          </w:p>
        </w:tc>
        <w:tc>
          <w:tcPr>
            <w:tcW w:type="dxa" w:w="35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DP-DID: A dynamic and proactive decentralized identity system</w:t>
            </w:r>
          </w:p>
        </w:tc>
        <w:tc>
          <w:tcPr>
            <w:tcW w:type="dxa" w:w="2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Decentralised Identity and Verifiable Credentials</w:t>
            </w:r>
          </w:p>
        </w:tc>
      </w:tr>
    </w:tbl>
    <w:p>
      <w:pPr>
        <w:spacing w:after="180"/>
      </w:pPr>
    </w:p>
    <w:p>
      <w:pPr>
        <w:keepNext/>
        <w:spacing w:after="60" w:before="140"/>
        <w:jc w:val="center"/>
      </w:pPr>
      <w:r>
        <w:drawing>
          <wp:inline distT="0" distB="0" distL="0" distR="0">
            <wp:extent cx="5715000" cy="2114550"/>
            <wp:effectExtent t="0" r="0" b="0" l="0"/>
            <wp:docPr id="1" name="gfig2a.png" descr="Figure 3: Profile of the 33 included studies: distribution by publication year and by review stream. The single 2019 study is the foundational source [31] retained outside the systematic search window; a study may contribute to more than one stream." title="Figure 3: Profile of the 33 included studies: distribution by publication year and by review stream. The single 2019 study is the foundational source [31] retained outside the systematic search window; a study may contribute to more than one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14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 Profile of the 33 included studies: distribution by publication year and by review stream. The single 2019 study is the foundational source [31] retained outside the systematic search window; a study may contribute to more than one stream.</w:t>
      </w:r>
    </w:p>
    <w:p>
      <w:pPr>
        <w:pStyle w:val="Heading2"/>
        <w:spacing w:after="160" w:before="280"/>
      </w:pPr>
      <w:r>
        <w:rPr>
          <w:rFonts w:ascii="Cambria" w:cs="Cambria" w:eastAsia="Cambria" w:hAnsi="Cambria"/>
          <w:sz w:val="24"/>
          <w:szCs w:val="24"/>
        </w:rPr>
        <w:t xml:space="preserve">2.4  Review</w:t>
      </w:r>
    </w:p>
    <w:p>
      <w:pPr>
        <w:spacing w:after="140" w:line="300"/>
        <w:jc w:val="both"/>
      </w:pPr>
      <w:r>
        <w:rPr>
          <w:rFonts w:ascii="Cambria" w:cs="Cambria" w:eastAsia="Cambria" w:hAnsi="Cambria"/>
          <w:color w:val="000000"/>
          <w:sz w:val="24"/>
          <w:szCs w:val="24"/>
        </w:rPr>
        <w:t xml:space="preserve">The thematic sections that follow (Sections 2.4.1–2.4.6), together with the comparative analysis in Section 2.4.7, address the review questions as follows. Review question 1 is addressed principally in Sections 2.4.2 and 2.4.4; review question 2 in Sections 2.4.1 and 2.4.5; review question 3 in Section 2.4.3; review question 4 in Sections 2.4.2 and 2.4.5, with its selective-disclosure dimension addressed in Section 2.4.3; and review question 5 is synthesised in Sections 2.4.7 and 2.5, where it motivates the research gap. The lifecycle and evaluation questions 6 and 7 are addressed in Sections 2.4.1 and 2.4.6 respectively.</w:t>
      </w:r>
      <w:r>
        <w:rPr>
          <w:rFonts w:ascii="Cambria" w:cs="Cambria" w:eastAsia="Cambria" w:hAnsi="Cambria"/>
          <w:sz w:val="24"/>
          <w:szCs w:val="24"/>
        </w:rPr>
        <w:t xml:space="preserve"> </w:t>
      </w:r>
      <w:r>
        <w:rPr>
          <w:rFonts w:ascii="Cambria" w:cs="Cambria" w:eastAsia="Cambria" w:hAnsi="Cambria"/>
          <w:color w:val="000000"/>
          <w:sz w:val="24"/>
          <w:szCs w:val="24"/>
        </w:rPr>
        <w:t xml:space="preserve">At the end of each stream, a table summarises the reviewed studies, their issues and limitations, and their commitment to the six key requirements defined in Section 2.2 (Tables 3 to 8).</w:t>
      </w:r>
    </w:p>
    <w:p>
      <w:pPr>
        <w:spacing w:after="140" w:line="300"/>
        <w:jc w:val="both"/>
      </w:pPr>
      <w:r>
        <w:rPr>
          <w:rFonts w:ascii="Cambria" w:cs="Cambria" w:eastAsia="Cambria" w:hAnsi="Cambria"/>
          <w:color w:val="000000"/>
          <w:sz w:val="24"/>
          <w:szCs w:val="24"/>
        </w:rPr>
        <w:t xml:space="preserve">Consistent with the scope established in Section 2.1, the following subsections examine each research stream in turn: healthcare consent governance, blockchain-based data governance, decentralised identity and verifiable credentials, multi-party authorisation, policy-based and context-aware access control, and Trusted Computing. Each subsection evaluates how the reviewed approaches contribute to the conditions required for a trustworthy authorisation decision and identifies the limitations that motivate the proposed framework.</w:t>
      </w:r>
    </w:p>
    <w:p>
      <w:pPr>
        <w:keepNext/>
        <w:spacing w:after="60" w:before="140"/>
        <w:jc w:val="center"/>
      </w:pPr>
      <w:r>
        <w:drawing>
          <wp:inline distT="0" distB="0" distL="0" distR="0">
            <wp:extent cx="5334000" cy="4276725"/>
            <wp:effectExtent t="0" r="0" b="0" l="0"/>
            <wp:docPr id="1" name="gfig2b.png" descr="Figure 4: Correspondence between the seven review questions of Section 2.3.2 and the sections of the review in which they are addressed, ending in the research gap carried into Chapter 3." title="Figure 4: Correspondence between the seven review questions of Section 2.3.2 and the sections of the review in which they are addressed, ending in the research gap carried into Chapt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76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 Correspondence between the seven review questions of Section 2.3.2 and the sections of the review in which they are addressed, ending in the research gap carried into Chapter 3.</w:t>
      </w:r>
    </w:p>
    <w:p>
      <w:pPr>
        <w:pStyle w:val="Heading3"/>
        <w:spacing w:after="160" w:before="280"/>
      </w:pPr>
      <w:r>
        <w:rPr>
          <w:rFonts w:ascii="Cambria" w:cs="Cambria" w:eastAsia="Cambria" w:hAnsi="Cambria"/>
          <w:sz w:val="24"/>
          <w:szCs w:val="24"/>
        </w:rPr>
        <w:t xml:space="preserve">2.4.1  Healthcare Consent and Decentralised Data Governance</w:t>
      </w:r>
    </w:p>
    <w:p>
      <w:pPr>
        <w:spacing w:after="140" w:line="300"/>
        <w:jc w:val="both"/>
      </w:pPr>
      <w:r>
        <w:rPr>
          <w:rFonts w:ascii="Cambria" w:cs="Cambria" w:eastAsia="Cambria" w:hAnsi="Cambria"/>
          <w:sz w:val="24"/>
          <w:szCs w:val="24"/>
        </w:rPr>
        <w:t xml:space="preserve">Healthcare data sharing is fundamentally different from conventional information exchange because the data involved </w:t>
      </w:r>
      <w:r>
        <w:rPr>
          <w:rFonts w:ascii="Cambria" w:cs="Cambria" w:eastAsia="Cambria" w:hAnsi="Cambria"/>
          <w:color w:val="000000"/>
          <w:sz w:val="24"/>
          <w:szCs w:val="24"/>
        </w:rPr>
        <w:t xml:space="preserve">are</w:t>
      </w:r>
      <w:r>
        <w:rPr>
          <w:rFonts w:ascii="Cambria" w:cs="Cambria" w:eastAsia="Cambria" w:hAnsi="Cambria"/>
          <w:sz w:val="24"/>
          <w:szCs w:val="24"/>
        </w:rPr>
        <w:t xml:space="preserve">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[31, 22, 14, 12].</w:t>
      </w:r>
    </w:p>
    <w:p>
      <w:pPr>
        <w:spacing w:after="140" w:line="300"/>
        <w:jc w:val="both"/>
      </w:pPr>
      <w:r>
        <w:rPr>
          <w:rFonts w:ascii="Cambria" w:cs="Cambria" w:eastAsia="Cambria" w:hAnsi="Cambria"/>
          <w:sz w:val="24"/>
          <w:szCs w:val="24"/>
        </w:rP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[21, 9]. These competing requirements make healthcare consent a governance problem rather than simply a binary access-control decision.</w:t>
      </w:r>
    </w:p>
    <w:p>
      <w:pPr>
        <w:spacing w:after="140" w:line="300"/>
        <w:jc w:val="both"/>
      </w:pPr>
      <w:r>
        <w:rPr>
          <w:rFonts w:ascii="Cambria" w:cs="Cambria" w:eastAsia="Cambria" w:hAnsi="Cambria"/>
          <w:sz w:val="24"/>
          <w:szCs w:val="24"/>
        </w:rPr>
        <w:t xml:space="preserve">Traditional consent-management approaches frequently represent consent as a permission indicating whether a particular party is allowed to perform a specified operation</w:t>
      </w:r>
      <w:r>
        <w:rPr>
          <w:rFonts w:ascii="Cambria" w:cs="Cambria" w:eastAsia="Cambria" w:hAnsi="Cambria"/>
          <w:color w:val="000000"/>
          <w:sz w:val="24"/>
          <w:szCs w:val="24"/>
        </w:rPr>
        <w:t xml:space="preserve"> </w:t>
      </w:r>
      <w:r>
        <w:rPr>
          <w:rFonts w:ascii="Cambria" w:cs="Cambria" w:eastAsia="Cambria" w:hAnsi="Cambria"/>
          <w:color w:val="000000"/>
          <w:sz w:val="24"/>
          <w:szCs w:val="24"/>
        </w:rPr>
        <w:t xml:space="preserve">[13]</w:t>
      </w:r>
      <w:r>
        <w:rPr>
          <w:rFonts w:ascii="Cambria" w:cs="Cambria" w:eastAsia="Cambria" w:hAnsi="Cambria"/>
          <w:sz w:val="24"/>
          <w:szCs w:val="24"/>
        </w:rPr>
        <w:t xml:space="preserve">.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spacing w:after="140" w:line="300"/>
        <w:jc w:val="both"/>
      </w:pPr>
      <w:r>
        <w:rPr>
          <w:rFonts w:ascii="Cambria" w:cs="Cambria" w:eastAsia="Cambria" w:hAnsi="Cambria"/>
          <w:sz w:val="24"/>
          <w:szCs w:val="24"/>
        </w:rP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spacing w:after="140" w:line="300"/>
        <w:jc w:val="both"/>
      </w:pPr>
      <w:r>
        <w:rPr>
          <w:rFonts w:ascii="Cambria" w:cs="Cambria" w:eastAsia="Cambria" w:hAnsi="Cambria"/>
          <w:sz w:val="24"/>
          <w:szCs w:val="24"/>
        </w:rP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spacing w:after="140" w:line="300"/>
        <w:jc w:val="both"/>
      </w:pPr>
      <w:r>
        <w:rPr>
          <w:rFonts w:ascii="Cambria" w:cs="Cambria" w:eastAsia="Cambria" w:hAnsi="Cambria"/>
          <w:color w:val="000000"/>
          <w:sz w:val="24"/>
          <w:szCs w:val="24"/>
        </w:rPr>
        <w:t xml:space="preserve">Within this stream, </w:t>
      </w:r>
      <w:r>
        <w:rPr>
          <w:rFonts w:ascii="Cambria" w:cs="Cambria" w:eastAsia="Cambria" w:hAnsi="Cambria"/>
          <w:color w:val="000000"/>
          <w:sz w:val="24"/>
          <w:szCs w:val="24"/>
        </w:rPr>
        <w:t xml:space="preserve">dynamic-consent research [13] recognises that a patient's preferences change over time, and consent receipts [10] provide evidence of how consent was obtained</w:t>
      </w:r>
      <w:r>
        <w:rPr>
          <w:rFonts w:ascii="Cambria" w:cs="Cambria" w:eastAsia="Cambria" w:hAnsi="Cambria"/>
          <w:color w:val="000000"/>
          <w:sz w:val="24"/>
          <w:szCs w:val="24"/>
        </w:rPr>
        <w:t xml:space="preserve">; however, the reviewed systems provide limited support for treating expiration, revocation, and consent state transitions as first-class and independently verifiable authorisation conditions after consent has been granted. This limitation motivates the lifecycle dimension examined by review question 6.</w:t>
      </w:r>
    </w:p>
    <w:p>
      <w:pPr>
        <w:spacing w:after="140" w:line="300"/>
        <w:jc w:val="both"/>
      </w:pPr>
      <w:r>
        <w:rPr>
          <w:rFonts w:ascii="Cambria" w:cs="Cambria" w:eastAsia="Cambria" w:hAnsi="Cambria"/>
          <w:color w:val="000000"/>
          <w:sz w:val="24"/>
          <w:szCs w:val="24"/>
        </w:rPr>
        <w:t xml:space="preserve">Table 3 presents a summary of the studies that fall under the healthcare consent and data governance category and their commitment to the key requirements defined in Section 2.2.</w:t>
      </w:r>
    </w:p>
    <w:p>
      <w:pPr>
        <w:keepNext/>
        <w:spacing w:after="80" w:before="160"/>
        <w:jc w:val="center"/>
      </w:pPr>
      <w:r>
        <w:rPr>
          <w:rFonts w:ascii="Cambria" w:cs="Cambria" w:eastAsia="Cambria" w:hAnsi="Cambria"/>
          <w:b/>
          <w:bCs/>
          <w:color w:val="000000"/>
          <w:sz w:val="21"/>
          <w:szCs w:val="21"/>
        </w:rPr>
        <w:t xml:space="preserve">Table 3: </w:t>
      </w:r>
      <w:r>
        <w:rPr>
          <w:rFonts w:ascii="Cambria" w:cs="Cambria" w:eastAsia="Cambria" w:hAnsi="Cambria"/>
          <w:color w:val="000000"/>
          <w:sz w:val="21"/>
          <w:szCs w:val="21"/>
        </w:rPr>
        <w:t xml:space="preserve">Descriptions, issues and limitations of existing studies on healthcare consent and data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 of the Study</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cross-sectional study surveys 150 nurses in an Egyptian general hospital, using HIPAA, privacy-impact, data-sharing-agreement and EHR security instruments, to identify challenges and strategies in balancing patient confidentiality with care coordination.</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study is an empirical nursing survey without a technical mechanism; it does not address consent representation, identity verification, multi-party authorisation, access-control policy or verifiable audit.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authors propose consent receipts, records of consent interactions that individuals and organisations retain and later use as proof, to support legal compliance, usability, transparency and accountability in online consent for personal data.</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Consent is captured as a receipt or record of interaction rather than as an evaluable authorisation object, and the approach is web-focused, without decentralised identity, multi-party approval or access-time policy enforcement.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authors report a 43-item online survey of United States professionals who work with health data, examining their trust in different sectors and their views on consent, control and privacy standards for health data use.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study is descriptive and attitudinal; it proposes no consent model, identity mechanism or access-control design, so none of the technical requirements is addressed, although respondents' preference for use-specific consent motivates purpose-bound authorisation.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study examines existing blockchain-based dynamic consent management systems, identifies the privacy risk of storing consent in plaintext on-chain, and proposes a model with a decentralised data controller and encrypted consent handled through privacy-preserving techniques.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Consent is treated as encrypted data to be protected rather than as an evaluable authorisation object; the model does not provide decentralised identity, multi-party approval or purpose-aware policy evaluation, and remains largely conceptual.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authors develop and apply a measurement scale to explain individuals' intention to share healthcare data in the UK National Health Service context, using survey data from 129 respondents.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study models behavioural intention (perceived information risk and societal benefit) and offers no technical mechanism for consent representation, identity, authorisation or auditability; its small survey measures intention rather than actual behaviour.</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authors present an early-stage conceptual framework that reviews blockchain, self-sovereign identity with decentralised identifiers, and de-identified tokens for integration into a consent management system that tracks consent and the use of personally generated health data.</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framework is conceptual and unevaluated; it tracks consent and data use but does not model consent as an evaluable authorisation object, support multi-party approval, or specify enforcement of validity and revocation.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authors analyse the legal and ethical bases for using and disclosing patient information in Europe, contrasting the GDPR's explicit consent with implied consent under common law and professional ethics for direct care, other healthcare purposes and uses outside healthcare.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study is a legal-ethical analysis with no technical design; it clarifies purpose-dependent consent requirements but does not provide mechanisms for representing, enforcing or auditing consent.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review examines the ethical, legal and technological aspects of patient data ownership, comparing private, public and hybrid privacy models and dynamic and granular consent frameworks, with reference to My Health Record and Estonia's e-Health system.</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study is a narrative review that discusses dynamic consent conceptually but proposes no formal consent model, decentralised identity mechanism, multi-party approval or verifiable audit design.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American Academy of Pediatrics policy statement examines electronic access to health records by paediatric and adolescent patients and their guardians, identifying inconsistent age thresholds, limited proxy and filtering support in EHRs, and conflicting laws.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statement offers policy recommendations, not a technical mechanism. It identifies the need to filter proxy access and to balance adolescent and guardian rights but proposes no system for doing so.</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bl>
    <w:p>
      <w:pPr>
        <w:spacing w:after="180"/>
      </w:pPr>
    </w:p>
    <w:p>
      <w:pPr>
        <w:pStyle w:val="Heading3"/>
        <w:spacing w:after="160" w:before="280"/>
      </w:pPr>
      <w:r>
        <w:rPr>
          <w:rFonts w:ascii="Cambria" w:cs="Cambria" w:eastAsia="Cambria" w:hAnsi="Cambria"/>
          <w:sz w:val="24"/>
          <w:szCs w:val="24"/>
        </w:rPr>
        <w:t xml:space="preserve">2.4.2  Blockchain-Based Consent and Data Governance</w:t>
      </w:r>
    </w:p>
    <w:p>
      <w:pPr>
        <w:spacing w:after="140" w:line="300"/>
        <w:jc w:val="both"/>
      </w:pPr>
      <w:r>
        <w:rPr>
          <w:rFonts w:ascii="Cambria" w:cs="Cambria" w:eastAsia="Cambria" w:hAnsi="Cambria"/>
          <w:sz w:val="24"/>
          <w:szCs w:val="24"/>
        </w:rP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7, 3]. More generally, blockchain has been studied as an infrastructure for trustworthy data sharing and decentralised decision-making across organisational boundaries [29, 30, 26].</w:t>
      </w:r>
    </w:p>
    <w:p>
      <w:pPr>
        <w:spacing w:after="140" w:line="300"/>
        <w:jc w:val="both"/>
      </w:pPr>
      <w:r>
        <w:rPr>
          <w:rFonts w:ascii="Cambria" w:cs="Cambria" w:eastAsia="Cambria" w:hAnsi="Cambria"/>
          <w:sz w:val="24"/>
          <w:szCs w:val="24"/>
        </w:rPr>
        <w:t xml:space="preserve">A major contribution of blockchain is its ability to preserve tamper-resistant evidence of transactions and state changes. 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p>
    <w:p>
      <w:pPr>
        <w:spacing w:after="140" w:line="300"/>
        <w:jc w:val="both"/>
      </w:pPr>
      <w:r>
        <w:rPr>
          <w:rFonts w:ascii="Cambria" w:cs="Cambria" w:eastAsia="Cambria" w:hAnsi="Cambria"/>
          <w:sz w:val="24"/>
          <w:szCs w:val="24"/>
        </w:rP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7, 3, 28].</w:t>
      </w:r>
    </w:p>
    <w:p>
      <w:pPr>
        <w:spacing w:after="140" w:line="300"/>
        <w:jc w:val="both"/>
      </w:pPr>
      <w:r>
        <w:rPr>
          <w:rFonts w:ascii="Cambria" w:cs="Cambria" w:eastAsia="Cambria" w:hAnsi="Cambria"/>
          <w:sz w:val="24"/>
          <w:szCs w:val="24"/>
        </w:rP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spacing w:after="140" w:line="300"/>
        <w:jc w:val="both"/>
      </w:pPr>
      <w:r>
        <w:rPr>
          <w:rFonts w:ascii="Cambria" w:cs="Cambria" w:eastAsia="Cambria" w:hAnsi="Cambria"/>
          <w:sz w:val="24"/>
          <w:szCs w:val="24"/>
        </w:rP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spacing w:after="140" w:line="300"/>
        <w:jc w:val="both"/>
      </w:pPr>
      <w:r>
        <w:rPr>
          <w:rFonts w:ascii="Cambria" w:cs="Cambria" w:eastAsia="Cambria" w:hAnsi="Cambria"/>
          <w:sz w:val="24"/>
          <w:szCs w:val="24"/>
        </w:rP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spacing w:after="140" w:line="300"/>
        <w:jc w:val="both"/>
      </w:pPr>
      <w:r>
        <w:rPr>
          <w:rFonts w:ascii="Cambria" w:cs="Cambria" w:eastAsia="Cambria" w:hAnsi="Cambria"/>
          <w:color w:val="000000"/>
          <w:sz w:val="24"/>
          <w:szCs w:val="24"/>
        </w:rPr>
        <w:t xml:space="preserve">Table 4 presents a summary of the studies that come under the blockchain category and their commitment to the key requirements.</w:t>
      </w:r>
    </w:p>
    <w:p>
      <w:pPr>
        <w:keepNext/>
        <w:spacing w:after="80" w:before="160"/>
        <w:jc w:val="center"/>
      </w:pPr>
      <w:r>
        <w:rPr>
          <w:rFonts w:ascii="Cambria" w:cs="Cambria" w:eastAsia="Cambria" w:hAnsi="Cambria"/>
          <w:b/>
          <w:bCs/>
          <w:color w:val="000000"/>
          <w:sz w:val="21"/>
          <w:szCs w:val="21"/>
        </w:rPr>
        <w:t xml:space="preserve">Table 4: </w:t>
      </w:r>
      <w:r>
        <w:rPr>
          <w:rFonts w:ascii="Cambria" w:cs="Cambria" w:eastAsia="Cambria" w:hAnsi="Cambria"/>
          <w:color w:val="000000"/>
          <w:sz w:val="21"/>
          <w:szCs w:val="21"/>
        </w:rPr>
        <w:t xml:space="preserve">Descriptions, issues and limitations of existing studies on blockchain-based consent and data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 of the Study</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systematic review examines blockchain-based electronic health record management, comparing prior studies on privacy, security, scalability, accessibility, cost, consensus algorithms and blockchain type, and outlines directions for future EHR systems.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As a review centred on EHR storage and platform choice, it does not model consent as an evaluable authorisation object, nor address decentralised identity, multi-party approval, purpose-bound access or consent lifecycle.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authors survey blockchain technology for healthcare from application and technical perspectives, discussing architecture, regulatory constraints such as HIPAA, authentication, interoperability and record-sharing requirements, and open challenges in scalability, security and privacy.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survey treats blockchain as a general integrity and trust layer; it does not define structured consent, threshold approval, consent-bound policy evaluation or post-grant revocation mechanisms.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survey reviews blockchain-based healthcare solutions and proposes a classification framework covering interactions between healthcare entities, functional components of health data storage systems, domain challenges that blockchain can address, and benefits derived from its features.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work classifies existing systems rather than proposing a mechanism; consent representation, credential-based authority, multi-party authorisation and consent lifecycle enforcement are not examined as distinct requirements.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authors review 144 articles on blockchain applications in healthcare, discussing the potential and limits of the technology for electronic health record systems and healthcare operations, and identifying difficulties and areas for future research.</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review offers a broad overview of blockchain uses and challenges but does not examine consent structure, decentralised identity, multi-party authorisation, purpose-aware access control or consent lifecycle.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exploratory study surveys literature on decentralised storage and archival science and examines how NGOs and academic groups use distributed ledger tools, such as Starling Lab, to preserve sensitive human-rights documentation relating to Xinjiang.</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study concerns archival integrity for human-rights records; it does not address consent, identity, access authorisation or healthcare data, and offers no security evaluation of the systems discussed.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survey examines blockchain-based data-sharing architectures, discusses provenance, privacy and consent-management issues in existing platforms, proposes a reference architecture, and reviews applications in healthcare, smart grid, transportation and decarbonisation.</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survey is domain-general and architectural. Consent management is named as an open issue rather than modelled, and multi-party threshold approval and identity-authority separation are not addressed.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systematic literature review analyses 23 papers published between 2019 and 2025 on how blockchain frameworks support secure, transparent and interoperable sharing of environmental data in smart cities.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study concerns urban environmental data rather than personal health data, and considers blockchain integrity and transparency only; consent, identity, multi-party authorisation and access policy are outside its scope.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bl>
    <w:p>
      <w:pPr>
        <w:spacing w:after="180"/>
      </w:pPr>
    </w:p>
    <w:p>
      <w:pPr>
        <w:pStyle w:val="Heading3"/>
        <w:spacing w:after="160" w:before="280"/>
      </w:pPr>
      <w:r>
        <w:rPr>
          <w:rFonts w:ascii="Cambria" w:cs="Cambria" w:eastAsia="Cambria" w:hAnsi="Cambria"/>
          <w:sz w:val="24"/>
          <w:szCs w:val="24"/>
        </w:rPr>
        <w:t xml:space="preserve">2.4.3  Decentralised Identity and Verifiable Credentials</w:t>
      </w:r>
    </w:p>
    <w:p>
      <w:pPr>
        <w:spacing w:after="140" w:line="300"/>
        <w:jc w:val="both"/>
      </w:pPr>
      <w:r>
        <w:rPr>
          <w:rFonts w:ascii="Cambria" w:cs="Cambria" w:eastAsia="Cambria" w:hAnsi="Cambria"/>
          <w:color w:val="000000"/>
          <w:sz w:val="24"/>
          <w:szCs w:val="24"/>
        </w:rPr>
        <w:t xml:space="preserve">Decentralised Identifiers (DIDs)</w:t>
      </w:r>
      <w:r>
        <w:rPr>
          <w:rFonts w:ascii="Cambria" w:cs="Cambria" w:eastAsia="Cambria" w:hAnsi="Cambria"/>
          <w:sz w:val="24"/>
          <w:szCs w:val="24"/>
        </w:rPr>
        <w:t xml:space="preserve">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[20, 33, 4, 16].</w:t>
      </w:r>
    </w:p>
    <w:p>
      <w:pPr>
        <w:spacing w:after="140" w:line="300"/>
        <w:jc w:val="both"/>
      </w:pPr>
      <w:r>
        <w:rPr>
          <w:rFonts w:ascii="Cambria" w:cs="Cambria" w:eastAsia="Cambria" w:hAnsi="Cambria"/>
          <w:sz w:val="24"/>
          <w:szCs w:val="24"/>
        </w:rP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[33, 4]. Other studies have examined privacy-preserving authentication and selective disclosure, allowing participants to prove selected attributes without unnecessarily revealing additional information </w:t>
      </w:r>
      <w:r>
        <w:rPr>
          <w:rFonts w:ascii="Cambria" w:cs="Cambria" w:eastAsia="Cambria" w:hAnsi="Cambria"/>
          <w:color w:val="000000"/>
          <w:sz w:val="24"/>
          <w:szCs w:val="24"/>
        </w:rPr>
        <w:t xml:space="preserve">[5]</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These mechanisms are particularly relevant to healthcare and other sensitive data-sharing environments because they can reduce dependence on a single identity provider and provide stronger control over the disclosure of participant attributes. However, the literature also reveals an important conceptual distinction between identity and authority.</w:t>
      </w:r>
    </w:p>
    <w:p>
      <w:pPr>
        <w:spacing w:after="140" w:line="300"/>
        <w:jc w:val="both"/>
      </w:pPr>
      <w:r>
        <w:rPr>
          <w:rFonts w:ascii="Cambria" w:cs="Cambria" w:eastAsia="Cambria" w:hAnsi="Cambria"/>
          <w:sz w:val="24"/>
          <w:szCs w:val="24"/>
        </w:rP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spacing w:after="140" w:line="300"/>
        <w:jc w:val="both"/>
      </w:pPr>
      <w:r>
        <w:rPr>
          <w:rFonts w:ascii="Cambria" w:cs="Cambria" w:eastAsia="Cambria" w:hAnsi="Cambria"/>
          <w:sz w:val="24"/>
          <w:szCs w:val="24"/>
        </w:rPr>
        <w:t xml:space="preserve">The proposed research therefore extends the role of DID and VC technologies from identity representation and credential verification towards their use as trusted inputs to a broader authorisation process. Under this approach,</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(1)</w:t>
      </w:r>
    </w:p>
    <w:p>
      <w:pPr>
        <w:spacing w:after="140" w:line="300"/>
        <w:jc w:val="both"/>
      </w:pPr>
      <w:r>
        <w:rPr>
          <w:rFonts w:ascii="Cambria" w:cs="Cambria" w:eastAsia="Cambria" w:hAnsi="Cambria"/>
          <w:sz w:val="24"/>
          <w:szCs w:val="24"/>
        </w:rP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spacing w:after="140" w:line="300"/>
        <w:jc w:val="both"/>
      </w:pPr>
      <w:r>
        <w:rPr>
          <w:rFonts w:ascii="Cambria" w:cs="Cambria" w:eastAsia="Cambria" w:hAnsi="Cambria"/>
          <w:sz w:val="24"/>
          <w:szCs w:val="24"/>
        </w:rP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spacing w:after="140" w:line="300"/>
        <w:jc w:val="both"/>
      </w:pPr>
      <w:r>
        <w:rPr>
          <w:rFonts w:ascii="Cambria" w:cs="Cambria" w:eastAsia="Cambria" w:hAnsi="Cambria"/>
          <w:b w:val="false"/>
          <w:bCs w:val="false"/>
          <w:sz w:val="24"/>
          <w:szCs w:val="24"/>
        </w:rPr>
        <w:t xml:space="preserve">Recent reviews of blockchain-based identity management further consolidate this stream, surveying identity management, access control and trust mechanisms for connected environments and </w:t>
      </w:r>
      <w:r>
        <w:rPr>
          <w:rFonts w:ascii="Cambria" w:cs="Cambria" w:eastAsia="Cambria" w:hAnsi="Cambria"/>
          <w:b w:val="false"/>
          <w:bCs w:val="false"/>
          <w:color w:val="000000"/>
          <w:sz w:val="24"/>
          <w:szCs w:val="24"/>
        </w:rPr>
        <w:t xml:space="preserve">identifying the open challenges that remain for DID- and VC-based designs</w:t>
      </w:r>
      <w:r>
        <w:rPr>
          <w:rFonts w:ascii="Cambria" w:cs="Cambria" w:eastAsia="Cambria" w:hAnsi="Cambria"/>
          <w:b w:val="false"/>
          <w:bCs w:val="false"/>
          <w:sz w:val="24"/>
          <w:szCs w:val="24"/>
        </w:rPr>
        <w:t xml:space="preserve"> [15].</w:t>
      </w:r>
    </w:p>
    <w:p>
      <w:pPr>
        <w:spacing w:after="140" w:line="300"/>
        <w:jc w:val="both"/>
      </w:pPr>
      <w:r>
        <w:rPr>
          <w:rFonts w:ascii="Cambria" w:cs="Cambria" w:eastAsia="Cambria" w:hAnsi="Cambria"/>
          <w:color w:val="000000"/>
          <w:sz w:val="24"/>
          <w:szCs w:val="24"/>
        </w:rPr>
        <w:t xml:space="preserve">Table 5 presents a summary of the decentralised identity and verifiable credential studies and their commitment to the key requirements.</w:t>
      </w:r>
    </w:p>
    <w:p>
      <w:pPr>
        <w:keepNext/>
        <w:spacing w:after="80" w:before="160"/>
        <w:jc w:val="center"/>
      </w:pPr>
      <w:r>
        <w:rPr>
          <w:rFonts w:ascii="Cambria" w:cs="Cambria" w:eastAsia="Cambria" w:hAnsi="Cambria"/>
          <w:b/>
          <w:bCs/>
          <w:color w:val="000000"/>
          <w:sz w:val="21"/>
          <w:szCs w:val="21"/>
        </w:rPr>
        <w:t xml:space="preserve">Table 5: </w:t>
      </w:r>
      <w:r>
        <w:rPr>
          <w:rFonts w:ascii="Cambria" w:cs="Cambria" w:eastAsia="Cambria" w:hAnsi="Cambria"/>
          <w:color w:val="000000"/>
          <w:sz w:val="21"/>
          <w:szCs w:val="21"/>
        </w:rPr>
        <w:t xml:space="preserve">Descriptions, issues and limitations of existing studies on decentralised identity and verifiable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 of the Study</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study proposes FutureDID, a decentralised identity system in which committees jointly issue credentials using distributed key generation, removing single points of failure, and which supports efficient revocation of DID identities.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Multi-party verification applies to credential issuance rather than to authorising data access, and the system does not represent consent, evaluate purpose or data scope, or target healthcare settings.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authors compare cryptographic mechanisms for selective disclosure of verifiable credential attributes, grouping them into hash-commitment and zero-knowledge-proof approaches, and assess standardisation maturity, cryptographic agility, quantum safety, and credential size and performance.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study concentrates on privacy-preserving credential presentation; it does not link credentials to consent, access policy, multi-party approval or healthcare authorisation decisions.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narrative review surveys blockchain-based decentralised identity management, smart-contract access control, trust and reputation mechanisms, and privacy-preserving cryptographic tools for large-scale Internet of Things deployments, and outlines open challenges.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review is oriented to device-level IoT identity and trust rather than patient consent; it does not address consent representation, multi-party approval or consent lifecycle, and reports unresolved scalability, regulatory and interoperability issues.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authors examine self-sovereign identity, decentralised identifiers and verifiable credentials, review systems that apply these components to authentication, authorisation and access control in IoT environments, and discuss the associated benefits and challenges.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work addresses identity and credential management for IoT devices and users; it does not model consent, collective approval or context-aware policy evaluation, and lifecycle concerns are limited to credential revocation.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survey provides background on W3C decentralised identifiers and verifiable credentials, analyses available implementations, reviews their use across application domains beyond self-sovereign identity, and discusses regulations, adoption challenges and research directions.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As a general survey of identity technologies, it does not address how identity and credentials combine with consent semantics, collective authorisation or purpose-aware policy enforcement in healthcare.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study proposes a privacy-aware authenticated key exchange protocol for electric vehicle charging in which users hold DIDs and present verifiable credentials, allowing charging providers to authenticate legitimate users while the users remain anonymous.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protocol serves a single-user, single-verifier charging setting outside healthcare. It does not model consent, collective authorisation, purpose-bound policy evaluation or revocation of granted permissions.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study proposes DP-DID, a decentralised identity system based on blockchain, DIDs and verifiable credentials that uses dynamic, proactively refreshed threshold committees for identity services so that it resists mobile adversaries who gradually compromise nodes.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threshold committees protect identity infrastructure such as key management and credential issuance, not authorisation of data access. Consent, purpose-bound access policy and healthcare stakeholders are not considered.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bl>
    <w:p>
      <w:pPr>
        <w:spacing w:after="180"/>
      </w:pPr>
    </w:p>
    <w:p>
      <w:pPr>
        <w:pStyle w:val="Heading3"/>
        <w:spacing w:after="160" w:before="280"/>
      </w:pPr>
      <w:r>
        <w:rPr>
          <w:rFonts w:ascii="Cambria" w:cs="Cambria" w:eastAsia="Cambria" w:hAnsi="Cambria"/>
          <w:sz w:val="24"/>
          <w:szCs w:val="24"/>
        </w:rPr>
        <w:t xml:space="preserve">2.4.4  Multi-Party Authorisation and Collaborative Consent</w:t>
      </w:r>
    </w:p>
    <w:p>
      <w:pPr>
        <w:spacing w:after="140" w:line="300"/>
        <w:jc w:val="both"/>
      </w:pPr>
      <w:r>
        <w:rPr>
          <w:rFonts w:ascii="Cambria" w:cs="Cambria" w:eastAsia="Cambria" w:hAnsi="Cambria"/>
          <w:sz w:val="24"/>
          <w:szCs w:val="24"/>
        </w:rP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w:t>
      </w:r>
      <w:r>
        <w:rPr>
          <w:rFonts w:ascii="Cambria" w:cs="Cambria" w:eastAsia="Cambria" w:hAnsi="Cambria"/>
          <w:color w:val="000000"/>
          <w:sz w:val="24"/>
          <w:szCs w:val="24"/>
        </w:rPr>
        <w:t xml:space="preserve">[21, 31]</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 Decentralised decision-making has also been investigated in combination with blockchain and large-scale data systems [29]. FutureDID further demonstrates that multi-party verification can be incorporated into decentralised identity processes [4].</w:t>
      </w:r>
    </w:p>
    <w:p>
      <w:pPr>
        <w:spacing w:after="140" w:line="300"/>
        <w:jc w:val="both"/>
      </w:pPr>
      <w:r>
        <w:rPr>
          <w:rFonts w:ascii="Cambria" w:cs="Cambria" w:eastAsia="Cambria" w:hAnsi="Cambria"/>
          <w:sz w:val="24"/>
          <w:szCs w:val="24"/>
        </w:rP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40" w:line="300"/>
        <w:jc w:val="both"/>
      </w:pPr>
      <w:r>
        <w:rPr>
          <w:rFonts w:ascii="Cambria" w:cs="Cambria" w:eastAsia="Cambria" w:hAnsi="Cambria"/>
          <w:sz w:val="24"/>
          <w:szCs w:val="24"/>
        </w:rP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spacing w:after="140" w:line="300"/>
        <w:jc w:val="both"/>
      </w:pPr>
      <w:r>
        <w:rPr>
          <w:rFonts w:ascii="Cambria" w:cs="Cambria" w:eastAsia="Cambria" w:hAnsi="Cambria"/>
          <w:b w:val="false"/>
          <w:bCs w:val="false"/>
          <w:sz w:val="24"/>
          <w:szCs w:val="24"/>
        </w:rPr>
        <w:t xml:space="preserve">Beyond healthcare, decentralised trust mechanisms have also been applied to empower independent stakeholders in cross-organisational data sharing, </w:t>
      </w:r>
      <w:r>
        <w:rPr>
          <w:rFonts w:ascii="Cambria" w:cs="Cambria" w:eastAsia="Cambria" w:hAnsi="Cambria"/>
          <w:b w:val="false"/>
          <w:bCs w:val="false"/>
          <w:color w:val="000000"/>
          <w:sz w:val="24"/>
          <w:szCs w:val="24"/>
        </w:rPr>
        <w:t xml:space="preserve">illustrating that decentralised trust mechanisms for multi-stakeholder data sharing are not specific to healthcare</w:t>
      </w:r>
      <w:r>
        <w:rPr>
          <w:rFonts w:ascii="Cambria" w:cs="Cambria" w:eastAsia="Cambria" w:hAnsi="Cambria"/>
          <w:b w:val="false"/>
          <w:bCs w:val="false"/>
          <w:sz w:val="24"/>
          <w:szCs w:val="24"/>
        </w:rPr>
        <w:t xml:space="preserve"> [6].</w:t>
      </w:r>
    </w:p>
    <w:p>
      <w:pPr>
        <w:spacing w:after="140" w:line="300"/>
        <w:jc w:val="both"/>
      </w:pPr>
      <w:r>
        <w:rPr>
          <w:rFonts w:ascii="Cambria" w:cs="Cambria" w:eastAsia="Cambria" w:hAnsi="Cambria"/>
          <w:color w:val="000000"/>
          <w:sz w:val="24"/>
          <w:szCs w:val="24"/>
        </w:rPr>
        <w:t xml:space="preserve">Where the reviewed systems support multiple approvers, approval is typically </w:t>
      </w:r>
      <w:r>
        <w:rPr>
          <w:rFonts w:ascii="Cambria" w:cs="Cambria" w:eastAsia="Cambria" w:hAnsi="Cambria"/>
          <w:color w:val="000000"/>
          <w:sz w:val="24"/>
          <w:szCs w:val="24"/>
        </w:rPr>
        <w:t xml:space="preserve">realised through platform governance or data-subject policies [19]</w:t>
      </w:r>
      <w:r>
        <w:rPr>
          <w:rFonts w:ascii="Cambria" w:cs="Cambria" w:eastAsia="Cambria" w:hAnsi="Cambria"/>
          <w:color w:val="000000"/>
          <w:sz w:val="24"/>
          <w:szCs w:val="24"/>
        </w:rPr>
        <w:t xml:space="preserve"> rather than represented as a verifiable threshold condition bound to the consent object itself. It is this representational absence, rather than the absence of multi-party mechanisms as such, that the proposed framework addresses.</w:t>
      </w:r>
    </w:p>
    <w:p>
      <w:pPr>
        <w:spacing w:after="140" w:line="300"/>
        <w:jc w:val="both"/>
      </w:pPr>
      <w:r>
        <w:rPr>
          <w:rFonts w:ascii="Cambria" w:cs="Cambria" w:eastAsia="Cambria" w:hAnsi="Cambria"/>
          <w:color w:val="000000"/>
          <w:sz w:val="24"/>
          <w:szCs w:val="24"/>
        </w:rPr>
        <w:t xml:space="preserve">Table 6 presents a summary of the studies on multi-party authorisation and collaborative governance and their commitment to the key requirements.</w:t>
      </w:r>
    </w:p>
    <w:p>
      <w:pPr>
        <w:keepNext/>
        <w:spacing w:after="80" w:before="160"/>
        <w:jc w:val="center"/>
      </w:pPr>
      <w:r>
        <w:rPr>
          <w:rFonts w:ascii="Cambria" w:cs="Cambria" w:eastAsia="Cambria" w:hAnsi="Cambria"/>
          <w:b/>
          <w:bCs/>
          <w:color w:val="000000"/>
          <w:sz w:val="21"/>
          <w:szCs w:val="21"/>
        </w:rPr>
        <w:t xml:space="preserve">Table 6: </w:t>
      </w:r>
      <w:r>
        <w:rPr>
          <w:rFonts w:ascii="Cambria" w:cs="Cambria" w:eastAsia="Cambria" w:hAnsi="Cambria"/>
          <w:color w:val="000000"/>
          <w:sz w:val="21"/>
          <w:szCs w:val="21"/>
        </w:rPr>
        <w:t xml:space="preserve">Descriptions, issues and limitations of existing studies on multi-party authorisation and collaborative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 of the Study</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study presents FLEX, a framework for secure data exchange among livestock supply-chain stakeholders that combines distributed ledger protocols, cryptographic protection and a web-based digital wallet supporting data sovereignty and consent management.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framework serves agricultural supply chains; although it involves several stakeholders and consent management, it does not define threshold-based approval, purpose-bound policy evaluation or consent revocation for sensitive health data.</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study proposes Data Trusts as a Service, a cloud platform for multi-partner data sharing in which data subjects track where their data are and control who may access them and for what use through policies, with blockchain recording provenance.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Control rests with the data subject and custodians under policies or contracts; the platform does not provide threshold or collective approval, decentralised identity, or consent expiry and revocation, and relies on a cloud service.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review examines how big data, blockchain and distributed systems together support decentralised decision-making across industries, discussing security, transparency and real-time analysis through case studies including Estonia's healthcare system, IBM Food Trust and the Brooklyn Microgrid.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review addresses organisational decision-making in general. It does not describe multi-party approval of access requests, threshold authorisation, consent representation or healthcare access policy.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bl>
    <w:p>
      <w:pPr>
        <w:spacing w:after="180"/>
      </w:pPr>
    </w:p>
    <w:p>
      <w:pPr>
        <w:pStyle w:val="Heading3"/>
        <w:spacing w:after="160" w:before="280"/>
      </w:pPr>
      <w:r>
        <w:rPr>
          <w:rFonts w:ascii="Cambria" w:cs="Cambria" w:eastAsia="Cambria" w:hAnsi="Cambria"/>
          <w:sz w:val="24"/>
          <w:szCs w:val="24"/>
        </w:rPr>
        <w:t xml:space="preserve">2.4.5  Policy-Based and Context-Aware Access Control</w:t>
      </w:r>
    </w:p>
    <w:p>
      <w:pPr>
        <w:spacing w:after="140" w:line="300"/>
        <w:jc w:val="both"/>
      </w:pPr>
      <w:r>
        <w:rPr>
          <w:rFonts w:ascii="Cambria" w:cs="Cambria" w:eastAsia="Cambria" w:hAnsi="Cambria"/>
          <w:sz w:val="24"/>
          <w:szCs w:val="24"/>
        </w:rP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spacing w:after="140" w:line="300"/>
        <w:jc w:val="both"/>
      </w:pPr>
      <w:r>
        <w:rPr>
          <w:rFonts w:ascii="Cambria" w:cs="Cambria" w:eastAsia="Cambria" w:hAnsi="Cambria"/>
          <w:sz w:val="24"/>
          <w:szCs w:val="24"/>
        </w:rP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spacing w:after="140" w:line="300"/>
        <w:jc w:val="both"/>
      </w:pPr>
      <w:r>
        <w:rPr>
          <w:rFonts w:ascii="Cambria" w:cs="Cambria" w:eastAsia="Cambria" w:hAnsi="Cambria"/>
          <w:sz w:val="24"/>
          <w:szCs w:val="24"/>
        </w:rP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spacing w:after="140" w:line="300"/>
        <w:jc w:val="both"/>
      </w:pPr>
      <w:r>
        <w:rPr>
          <w:rFonts w:ascii="Cambria" w:cs="Cambria" w:eastAsia="Cambria" w:hAnsi="Cambria"/>
          <w:sz w:val="24"/>
          <w:szCs w:val="24"/>
        </w:rPr>
        <w:t xml:space="preserve">The proposed framework consequently treats policy compliance as an explicit authorisation condition. Let C represent the consent object and R represent a requested operation. Policy validity can be represented conceptually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(2)</w:t>
      </w:r>
    </w:p>
    <w:p>
      <w:pPr>
        <w:spacing w:after="140" w:line="300"/>
        <w:jc w:val="both"/>
      </w:pPr>
      <w:r>
        <w:rPr>
          <w:rFonts w:ascii="Cambria" w:cs="Cambria" w:eastAsia="Cambria" w:hAnsi="Cambria"/>
          <w:sz w:val="24"/>
          <w:szCs w:val="24"/>
        </w:rPr>
        <w:t xml:space="preserve">For example, if a consent authorises access to observations and medications,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(3)</w:t>
      </w:r>
    </w:p>
    <w:p>
      <w:pPr>
        <w:spacing w:after="140" w:line="300"/>
        <w:jc w:val="both"/>
      </w:pPr>
      <w:r>
        <w:rPr>
          <w:rFonts w:ascii="Cambria" w:cs="Cambria" w:eastAsia="Cambria" w:hAnsi="Cambria"/>
          <w:sz w:val="24"/>
          <w:szCs w:val="24"/>
        </w:rPr>
        <w:t xml:space="preserve">then a request for observations, medications, and procedures,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w:t>
      </w:r>
    </w:p>
    <w:p>
      <w:pPr>
        <w:spacing w:after="140" w:line="300"/>
        <w:jc w:val="both"/>
      </w:pPr>
      <w:r>
        <w:rPr>
          <w:rFonts w:ascii="Cambria" w:cs="Cambria" w:eastAsia="Cambria" w:hAnsi="Cambria"/>
          <w:sz w:val="24"/>
          <w:szCs w:val="24"/>
        </w:rPr>
        <w:t xml:space="preserve">should be rejected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w:t>
      </w:r>
    </w:p>
    <w:p>
      <w:pPr>
        <w:spacing w:after="140" w:line="300"/>
        <w:jc w:val="both"/>
      </w:pPr>
      <w:r>
        <w:rPr>
          <w:rFonts w:ascii="Cambria" w:cs="Cambria" w:eastAsia="Cambria" w:hAnsi="Cambria"/>
          <w:sz w:val="24"/>
          <w:szCs w:val="24"/>
        </w:rP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spacing w:after="140" w:line="300"/>
        <w:jc w:val="both"/>
      </w:pPr>
      <w:r>
        <w:rPr>
          <w:rFonts w:ascii="Cambria" w:cs="Cambria" w:eastAsia="Cambria" w:hAnsi="Cambria"/>
          <w:color w:val="000000"/>
          <w:sz w:val="24"/>
          <w:szCs w:val="24"/>
        </w:rPr>
        <w:t xml:space="preserve">Across the reviewed access-control approaches </w:t>
      </w:r>
      <w:r>
        <w:rPr>
          <w:rFonts w:ascii="Cambria" w:cs="Cambria" w:eastAsia="Cambria" w:hAnsi="Cambria"/>
          <w:color w:val="000000"/>
          <w:sz w:val="24"/>
          <w:szCs w:val="24"/>
        </w:rPr>
        <w:t xml:space="preserve">[32, 11, 28], policy evaluation</w:t>
      </w:r>
      <w:r>
        <w:rPr>
          <w:rFonts w:ascii="Cambria" w:cs="Cambria" w:eastAsia="Cambria" w:hAnsi="Cambria"/>
          <w:color w:val="000000"/>
          <w:sz w:val="24"/>
          <w:szCs w:val="24"/>
        </w:rPr>
        <w:t xml:space="preserve"> is bound primarily to the requester's roles, attributes, or risk context rather than to the purpose and data scope authorised by the patient's consent. It is this missing relationship between the evaluated policy and the consent object itself that the proposed framework formalises.</w:t>
      </w:r>
    </w:p>
    <w:p>
      <w:pPr>
        <w:spacing w:after="140" w:line="300"/>
        <w:jc w:val="both"/>
      </w:pPr>
      <w:r>
        <w:rPr>
          <w:rFonts w:ascii="Cambria" w:cs="Cambria" w:eastAsia="Cambria" w:hAnsi="Cambria"/>
          <w:color w:val="000000"/>
          <w:sz w:val="24"/>
          <w:szCs w:val="24"/>
        </w:rPr>
        <w:t xml:space="preserve">Table 7 presents a summary of the access-control studies and their commitment to the key requirements.</w:t>
      </w:r>
    </w:p>
    <w:p>
      <w:pPr>
        <w:keepNext/>
        <w:spacing w:after="80" w:before="160"/>
        <w:jc w:val="center"/>
      </w:pPr>
      <w:r>
        <w:rPr>
          <w:rFonts w:ascii="Cambria" w:cs="Cambria" w:eastAsia="Cambria" w:hAnsi="Cambria"/>
          <w:b/>
          <w:bCs/>
          <w:color w:val="000000"/>
          <w:sz w:val="21"/>
          <w:szCs w:val="21"/>
        </w:rPr>
        <w:t xml:space="preserve">Table 7: </w:t>
      </w:r>
      <w:r>
        <w:rPr>
          <w:rFonts w:ascii="Cambria" w:cs="Cambria" w:eastAsia="Cambria" w:hAnsi="Cambria"/>
          <w:color w:val="000000"/>
          <w:sz w:val="21"/>
          <w:szCs w:val="21"/>
        </w:rPr>
        <w:t xml:space="preserve">Descriptions, issues and limitations of existing studies on policy-based and context-aware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 of the Study</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study proposes RQ-UCON, a usage-control model for healthcare big data that adds risk quantification based on physicians' access history and uses hierarchical clustering to derive risk intervals applied as access conditions.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Access decisions depend on the requester's risk profile rather than on patient-authorised purpose and data scope, and the model does not include consent, decentralised identity, multi-party approval or verifiable audit evidence.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authors survey access control in healthcare IoT, analysing RBAC, ABAC, capability-based and context-aware models, emergency access and privacy compliance, and discussing blockchain, artificial intelligence, Zero Trust and edge computing for decentralised enforcement.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survey treats access decisions in terms of roles, attributes, capabilities and context; patient consent as an evaluable object, guardian co-approval and decentralised identity verification are not central to its analysis.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authors survey blockchain-based access control frameworks for electronic health records, classifying them as permissioned or permissionless and examining how smart contracts and privacy-preserving techniques support authentication, access control, integrity and availability.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survey centres on access control and privacy of EHRs; consent is not treated as a structured object, and guardian co-approval, decentralised identity and consent lifecycle management receive little attention.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study proposes a decentralised ciphertext-policy attribute-based searchable encryption scheme for cloud-stored healthcare data, in which the master key is jointly managed by attribute nodes on a blockchain to avoid a single authority.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Access is governed by cryptographic attribute policies over encrypted data; patient consent, purpose limitation, guardian approval and consent revocation are not modelled, and joint key management is not collective access approval.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bl>
    <w:p>
      <w:pPr>
        <w:spacing w:after="180"/>
      </w:pPr>
    </w:p>
    <w:p>
      <w:pPr>
        <w:pStyle w:val="Heading3"/>
        <w:spacing w:after="160" w:before="280"/>
      </w:pPr>
      <w:r>
        <w:rPr>
          <w:rFonts w:ascii="Cambria" w:cs="Cambria" w:eastAsia="Cambria" w:hAnsi="Cambria"/>
          <w:sz w:val="24"/>
          <w:szCs w:val="24"/>
        </w:rPr>
        <w:t xml:space="preserve">2.4.6  Trusted Computing, Secure Execution, and Security Assurance</w:t>
      </w:r>
    </w:p>
    <w:p>
      <w:pPr>
        <w:spacing w:after="140" w:line="300"/>
        <w:jc w:val="both"/>
      </w:pPr>
      <w:r>
        <w:rPr>
          <w:rFonts w:ascii="Cambria" w:cs="Cambria" w:eastAsia="Cambria" w:hAnsi="Cambria"/>
          <w:sz w:val="24"/>
          <w:szCs w:val="24"/>
        </w:rP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r>
        <w:rPr>
          <w:rFonts w:ascii="Cambria" w:cs="Cambria" w:eastAsia="Cambria" w:hAnsi="Cambria"/>
          <w:color w:val="000000"/>
          <w:sz w:val="24"/>
          <w:szCs w:val="24"/>
        </w:rPr>
        <w:t xml:space="preserve"> [23]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Recent research has explored the integration of trusted execution and distributed trust mechanisms in different application domains. Trust-aware sensing and consensus mechanisms have demonstrated how TEE-supported sensing can contribute to resilient decision-making in conjunction with blockchain coordination [17]. These studies illustrate the potential of Trusted Computing to provide an additional assurance layer beyond conventional software-based access-control mechanisms.</w:t>
      </w:r>
    </w:p>
    <w:p>
      <w:pPr>
        <w:spacing w:after="140" w:line="300"/>
        <w:jc w:val="both"/>
      </w:pPr>
      <w:r>
        <w:rPr>
          <w:rFonts w:ascii="Cambria" w:cs="Cambria" w:eastAsia="Cambria" w:hAnsi="Cambria"/>
          <w:sz w:val="24"/>
          <w:szCs w:val="24"/>
        </w:rP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spacing w:after="140" w:line="300"/>
        <w:jc w:val="both"/>
      </w:pPr>
      <w:r>
        <w:rPr>
          <w:rFonts w:ascii="Cambria" w:cs="Cambria" w:eastAsia="Cambria" w:hAnsi="Cambria"/>
          <w:sz w:val="24"/>
          <w:szCs w:val="24"/>
        </w:rPr>
        <w:t xml:space="preserve">The reviewed literature therefore suggests an important opportunity for integration. A trust-oriented authorisation framework can define the conditions under which access should be permitted, while Trusted Computing mechanisms can provide stronger assurance that the relevant security-sensitive evaluation is performed within an integrity-protected environment.</w:t>
      </w:r>
    </w:p>
    <w:p>
      <w:pPr>
        <w:spacing w:after="140" w:line="300"/>
        <w:jc w:val="both"/>
      </w:pPr>
      <w:r>
        <w:rPr>
          <w:rFonts w:ascii="Cambria" w:cs="Cambria" w:eastAsia="Cambria" w:hAnsi="Cambria"/>
          <w:color w:val="000000"/>
          <w:sz w:val="24"/>
          <w:szCs w:val="24"/>
        </w:rPr>
        <w:t xml:space="preserve">This research establishes the conceptual foundation for such integration and, moreover, demonstrates it through an implemented and empirically evaluated prototype. Future work can therefore investigate how trusted execution and remote attestation can strengthen the enforcement and verification of decentralised consent decisions.</w:t>
      </w:r>
    </w:p>
    <w:p>
      <w:pPr>
        <w:spacing w:after="140" w:line="300"/>
        <w:jc w:val="both"/>
      </w:pPr>
      <w:r>
        <w:rPr>
          <w:rFonts w:ascii="Cambria" w:cs="Cambria" w:eastAsia="Cambria" w:hAnsi="Cambria"/>
          <w:sz w:val="24"/>
          <w:szCs w:val="24"/>
        </w:rP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w:t>
      </w:r>
    </w:p>
    <w:p>
      <w:pPr>
        <w:spacing w:after="140" w:line="300"/>
        <w:jc w:val="both"/>
      </w:pPr>
      <w:r>
        <w:rPr>
          <w:rFonts w:ascii="Cambria" w:cs="Cambria" w:eastAsia="Cambria" w:hAnsi="Cambria"/>
          <w:color w:val="000000"/>
          <w:sz w:val="24"/>
          <w:szCs w:val="24"/>
        </w:rPr>
        <w:t xml:space="preserve">The present prototype addresses this concern empirically through adversarial and negative testing across each verification dimension. Nevertheless, formal analysis remains necessary in order to demonstrate that these properties hold under defined assumptions.</w:t>
      </w:r>
    </w:p>
    <w:p>
      <w:pPr>
        <w:spacing w:after="140" w:line="300"/>
        <w:jc w:val="both"/>
      </w:pPr>
      <w:r>
        <w:rPr>
          <w:rFonts w:ascii="Cambria" w:cs="Cambria" w:eastAsia="Cambria" w:hAnsi="Cambria"/>
          <w:b w:val="false"/>
          <w:bCs w:val="false"/>
          <w:sz w:val="24"/>
          <w:szCs w:val="24"/>
        </w:rPr>
        <w:t xml:space="preserve">Complementary work in this stream applies entropy-based measurement to quantify blockchain immutability and tamper-resilient trust, providing an analytical basis for treating the ledger itself as part of the trusted computing base [18].</w:t>
      </w:r>
    </w:p>
    <w:p>
      <w:pPr>
        <w:spacing w:after="140" w:line="300"/>
        <w:jc w:val="both"/>
      </w:pPr>
      <w:r>
        <w:rPr>
          <w:rFonts w:ascii="Cambria" w:cs="Cambria" w:eastAsia="Cambria" w:hAnsi="Cambria"/>
          <w:color w:val="000000"/>
          <w:sz w:val="24"/>
          <w:szCs w:val="24"/>
        </w:rPr>
        <w:t xml:space="preserve">Formal security analysis nevertheless remains rare across the reviewed corpus: security arguments are predominantly architectural or empirical, and </w:t>
      </w:r>
      <w:r>
        <w:rPr>
          <w:rFonts w:ascii="Cambria" w:cs="Cambria" w:eastAsia="Cambria" w:hAnsi="Cambria"/>
          <w:color w:val="000000"/>
          <w:sz w:val="24"/>
          <w:szCs w:val="24"/>
        </w:rPr>
        <w:t xml:space="preserve">analytical or simulation-based reasoning about security properties is found only in a minority of studies [18]</w:t>
      </w:r>
      <w:r>
        <w:rPr>
          <w:rFonts w:ascii="Cambria" w:cs="Cambria" w:eastAsia="Cambria" w:hAnsi="Cambria"/>
          <w:color w:val="000000"/>
          <w:sz w:val="24"/>
          <w:szCs w:val="24"/>
        </w:rPr>
        <w:t xml:space="preserve">. This observation grounds review question 7 and motivates the formal-assurance direction of the research. While Trusted Computing mechanisms could further harden the execution of the proposed authorisation evaluation, hardware-supported execution is treated as an orthogonal assurance layer and lies outside the scope of the present research questions.</w:t>
      </w:r>
    </w:p>
    <w:p>
      <w:pPr>
        <w:spacing w:after="140" w:line="300"/>
        <w:jc w:val="both"/>
      </w:pPr>
      <w:r>
        <w:rPr>
          <w:rFonts w:ascii="Cambria" w:cs="Cambria" w:eastAsia="Cambria" w:hAnsi="Cambria"/>
          <w:color w:val="000000"/>
          <w:sz w:val="24"/>
          <w:szCs w:val="24"/>
        </w:rPr>
        <w:t xml:space="preserve">Table 8 presents a summary of the trusted computing and security assurance studies and their commitment to the key requirements.</w:t>
      </w:r>
    </w:p>
    <w:p>
      <w:pPr>
        <w:keepNext/>
        <w:spacing w:after="80" w:before="160"/>
        <w:jc w:val="center"/>
      </w:pPr>
      <w:r>
        <w:rPr>
          <w:rFonts w:ascii="Cambria" w:cs="Cambria" w:eastAsia="Cambria" w:hAnsi="Cambria"/>
          <w:b/>
          <w:bCs/>
          <w:color w:val="000000"/>
          <w:sz w:val="21"/>
          <w:szCs w:val="21"/>
        </w:rPr>
        <w:t xml:space="preserve">Table 8: </w:t>
      </w:r>
      <w:r>
        <w:rPr>
          <w:rFonts w:ascii="Cambria" w:cs="Cambria" w:eastAsia="Cambria" w:hAnsi="Cambria"/>
          <w:color w:val="000000"/>
          <w:sz w:val="21"/>
          <w:szCs w:val="21"/>
        </w:rPr>
        <w:t xml:space="preserve">Descriptions, issues and limitations of existing studies on trusted computing, secure execution and security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 of the Study</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study proposes a smart-agriculture framework in which TEE-enabled sensors provide authenticated readings, Byzantine-resilient aggregation estimates a consistent environmental state, and a lightweight permissioned blockchain commits validated states, evaluated on a greenhouse IoT platform.</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work concerns sensor-data integrity in agriculture; it does not involve consent, identity credentials, authorisation or access policies, and its security evidence is experimental rather than formal.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authors develop an entropy-based framework that models blockchain states as probability distributions to quantify on-chain immutability, off-chain data integrity and computation in blockchain virtual machines, supported by simulations under varying adversarial fractions.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study provides a general analytical measure of ledger immutability and tamper evidence but does not address consent, identity, authorisation or access policy, nor healthcare data.</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This study reviews the principles of remote attestation and explains how Intel SGX, Arm TrustZone, AMD SEV and emerging RISC-V trusted execution environments apply these mechanisms to establish trust in the code they execute.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The work concerns hardware-level execution integrity only. It does not consider consent, identity, multi-party authorisation or access policy, and it is not situated in healthcare data sharing.</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7"/>
                <w:szCs w:val="17"/>
              </w:rPr>
              <w:t xml:space="preserve">√</w:t>
            </w:r>
          </w:p>
        </w:tc>
      </w:tr>
    </w:tbl>
    <w:p>
      <w:pPr>
        <w:spacing w:after="180"/>
      </w:pPr>
    </w:p>
    <w:p>
      <w:pPr>
        <w:pStyle w:val="Heading3"/>
        <w:spacing w:after="160" w:before="280"/>
      </w:pPr>
      <w:r>
        <w:rPr>
          <w:rFonts w:ascii="Cambria" w:cs="Cambria" w:eastAsia="Cambria" w:hAnsi="Cambria"/>
          <w:sz w:val="24"/>
          <w:szCs w:val="24"/>
        </w:rPr>
        <w:t xml:space="preserve">2.4.7  Comparative Analysis of Existing Approaches</w:t>
      </w:r>
    </w:p>
    <w:p>
      <w:pPr>
        <w:spacing w:after="140" w:line="300"/>
        <w:jc w:val="both"/>
      </w:pPr>
      <w:r>
        <w:rPr>
          <w:rFonts w:ascii="Cambria" w:cs="Cambria" w:eastAsia="Cambria" w:hAnsi="Cambria"/>
          <w:sz w:val="24"/>
          <w:szCs w:val="24"/>
        </w:rPr>
        <w:t xml:space="preserve">The reviewed literature demonstrates that existing approaches provide strong solutions for individual dimensions of trustworthy data sharing. Blockchain-based systems provide tamper-resistant recording and auditability</w:t>
      </w:r>
      <w:r>
        <w:rPr>
          <w:rFonts w:ascii="Cambria" w:cs="Cambria" w:eastAsia="Cambria" w:hAnsi="Cambria"/>
          <w:color w:val="000000"/>
          <w:sz w:val="24"/>
          <w:szCs w:val="24"/>
        </w:rPr>
        <w:t xml:space="preserve"> [2, 7, 28]</w:t>
      </w:r>
      <w:r>
        <w:rPr>
          <w:rFonts w:ascii="Cambria" w:cs="Cambria" w:eastAsia="Cambria" w:hAnsi="Cambria"/>
          <w:sz w:val="24"/>
          <w:szCs w:val="24"/>
        </w:rPr>
        <w:t xml:space="preserve">; DID and VC mechanisms provide decentralised identity and verifiable attributes</w:t>
      </w:r>
      <w:r>
        <w:rPr>
          <w:rFonts w:ascii="Cambria" w:cs="Cambria" w:eastAsia="Cambria" w:hAnsi="Cambria"/>
          <w:color w:val="000000"/>
          <w:sz w:val="24"/>
          <w:szCs w:val="24"/>
        </w:rPr>
        <w:t xml:space="preserve"> [20, 4, 5]</w:t>
      </w:r>
      <w:r>
        <w:rPr>
          <w:rFonts w:ascii="Cambria" w:cs="Cambria" w:eastAsia="Cambria" w:hAnsi="Cambria"/>
          <w:sz w:val="24"/>
          <w:szCs w:val="24"/>
        </w:rPr>
        <w:t xml:space="preserve">; policy-based and cryptographic access-control mechanisms provide fine-grained data protection</w:t>
      </w:r>
      <w:r>
        <w:rPr>
          <w:rFonts w:ascii="Cambria" w:cs="Cambria" w:eastAsia="Cambria" w:hAnsi="Cambria"/>
          <w:color w:val="000000"/>
          <w:sz w:val="24"/>
          <w:szCs w:val="24"/>
        </w:rPr>
        <w:t xml:space="preserve"> [32, 11, 25]</w:t>
      </w:r>
      <w:r>
        <w:rPr>
          <w:rFonts w:ascii="Cambria" w:cs="Cambria" w:eastAsia="Cambria" w:hAnsi="Cambria"/>
          <w:sz w:val="24"/>
          <w:szCs w:val="24"/>
        </w:rPr>
        <w:t xml:space="preserve">; collaborative governance mechanisms support distributed participation</w:t>
      </w:r>
      <w:r>
        <w:rPr>
          <w:rFonts w:ascii="Cambria" w:cs="Cambria" w:eastAsia="Cambria" w:hAnsi="Cambria"/>
          <w:color w:val="000000"/>
          <w:sz w:val="24"/>
          <w:szCs w:val="24"/>
        </w:rPr>
        <w:t xml:space="preserve"> [19, 29, 6]</w:t>
      </w:r>
      <w:r>
        <w:rPr>
          <w:rFonts w:ascii="Cambria" w:cs="Cambria" w:eastAsia="Cambria" w:hAnsi="Cambria"/>
          <w:sz w:val="24"/>
          <w:szCs w:val="24"/>
        </w:rPr>
        <w:t xml:space="preserve">; and Trusted Computing provides secure execution and attestation capabilities</w:t>
      </w:r>
      <w:r>
        <w:rPr>
          <w:rFonts w:ascii="Cambria" w:cs="Cambria" w:eastAsia="Cambria" w:hAnsi="Cambria"/>
          <w:color w:val="000000"/>
          <w:sz w:val="24"/>
          <w:szCs w:val="24"/>
        </w:rPr>
        <w:t xml:space="preserve"> [23, 17]</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spacing w:after="140" w:line="300"/>
        <w:jc w:val="both"/>
      </w:pPr>
      <w:r>
        <w:rPr>
          <w:rFonts w:ascii="Cambria" w:cs="Cambria" w:eastAsia="Cambria" w:hAnsi="Cambria"/>
          <w:sz w:val="24"/>
          <w:szCs w:val="24"/>
        </w:rPr>
        <w:t xml:space="preserve">Table 9 summarises the principal focus and limitations of the major research streams and positions the proposed framework relative to the existing literature.</w:t>
      </w:r>
    </w:p>
    <w:p>
      <w:pPr>
        <w:keepNext/>
        <w:spacing w:after="80" w:before="160"/>
        <w:jc w:val="center"/>
      </w:pPr>
      <w:r>
        <w:rPr>
          <w:rFonts w:ascii="Cambria" w:cs="Cambria" w:eastAsia="Cambria" w:hAnsi="Cambria"/>
          <w:b/>
          <w:bCs/>
          <w:color w:val="000000"/>
          <w:sz w:val="21"/>
          <w:szCs w:val="21"/>
        </w:rPr>
        <w:t xml:space="preserve">Table 9: </w:t>
      </w:r>
      <w:r>
        <w:rPr>
          <w:rFonts w:ascii="Cambria" w:cs="Cambria" w:eastAsia="Cambria" w:hAnsi="Cambria"/>
          <w:color w:val="000000"/>
          <w:sz w:val="21"/>
          <w:szCs w:val="21"/>
        </w:rPr>
        <w:t xml:space="preserve">Comparison of Existing Research Approaches and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Stream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Contribution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Main Limitation for Authorisation</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Representative References</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Healthcare consent and privacy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Patient autonomy, informed consent, and controlled data sharing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Consent is treated as permission rather than an evaluable authorisation object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[31, 22, 14, 24, 12, 13, 10]</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Blockchain-based data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Tamper-resistant records, distributed auditability, and transparency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Immutable records do not establish participant legitimacy, authority, or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 2, 7, 3, 30, 26, 8, 29]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Decentralised identity and verifiable credentials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Self-controlled identity, verifiable attributes, and authentication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 and credential validity do not independently determine if access is authorised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[20, 33, 4, 16, 27, 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and decentralised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Collaborative participation and distributed verification or governance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Limited integration between collective approval thresholds, consent, and access decisions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[19, 4, 21, 9]</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Policy-based and healthcare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Fine-grained restriction based on attributes, risk, context, and constraints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enforcement is separated from decentralised identity and multi-party consent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[32, 11, 28, 25]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Trusted Computing and secure execution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Hardware-supported isolation, execution integrity, and attestation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Secure execution does not determine whether underlying authorisation conditions are sufficient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[23, 17, 18]</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Proposed Framework</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evaluation of consent, identity, authority, multi-party approval, and policy compliance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Lifecycle trust and empirical validation realised in the implemented prototype; formal security assurance requires further extension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This research</w:t>
            </w:r>
          </w:p>
        </w:tc>
      </w:tr>
    </w:tbl>
    <w:p>
      <w:pPr>
        <w:spacing w:after="180"/>
      </w:pPr>
    </w:p>
    <w:p>
      <w:pPr>
        <w:spacing w:after="140" w:line="300"/>
        <w:jc w:val="both"/>
      </w:pPr>
      <w:r>
        <w:rPr>
          <w:rFonts w:ascii="Cambria" w:cs="Cambria" w:eastAsia="Cambria" w:hAnsi="Cambria"/>
          <w:sz w:val="24"/>
          <w:szCs w:val="24"/>
        </w:rP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p>
      <w:pPr>
        <w:pStyle w:val="Heading2"/>
        <w:spacing w:after="160" w:before="280"/>
      </w:pPr>
      <w:r>
        <w:rPr>
          <w:rFonts w:ascii="Cambria" w:cs="Cambria" w:eastAsia="Cambria" w:hAnsi="Cambria"/>
          <w:sz w:val="24"/>
          <w:szCs w:val="24"/>
        </w:rPr>
        <w:t xml:space="preserve">2.5  Synthesis and Research Gap</w:t>
      </w:r>
    </w:p>
    <w:p>
      <w:pPr>
        <w:spacing w:after="140" w:line="300"/>
        <w:jc w:val="both"/>
      </w:pPr>
      <w:r>
        <w:rPr>
          <w:rFonts w:ascii="Cambria" w:cs="Cambria" w:eastAsia="Cambria" w:hAnsi="Cambria"/>
          <w:sz w:val="24"/>
          <w:szCs w:val="24"/>
        </w:rPr>
        <w:t xml:space="preserve">The literature review identifies a consistent pattern of fragmentation across existing research. Blockchain-based approaches primarily address the integrity and traceability of recorded events</w:t>
      </w:r>
      <w:r>
        <w:rPr>
          <w:rFonts w:ascii="Cambria" w:cs="Cambria" w:eastAsia="Cambria" w:hAnsi="Cambria"/>
          <w:color w:val="000000"/>
          <w:sz w:val="24"/>
          <w:szCs w:val="24"/>
        </w:rPr>
        <w:t xml:space="preserve"> [2, 7, 28]</w:t>
      </w:r>
      <w:r>
        <w:rPr>
          <w:rFonts w:ascii="Cambria" w:cs="Cambria" w:eastAsia="Cambria" w:hAnsi="Cambria"/>
          <w:sz w:val="24"/>
          <w:szCs w:val="24"/>
        </w:rPr>
        <w:t xml:space="preserve">. Decentralised identity and verifiable credential systems address the identification and attribute verification of participating entities</w:t>
      </w:r>
      <w:r>
        <w:rPr>
          <w:rFonts w:ascii="Cambria" w:cs="Cambria" w:eastAsia="Cambria" w:hAnsi="Cambria"/>
          <w:color w:val="000000"/>
          <w:sz w:val="24"/>
          <w:szCs w:val="24"/>
        </w:rPr>
        <w:t xml:space="preserve"> [20, 33, 4]</w:t>
      </w:r>
      <w:r>
        <w:rPr>
          <w:rFonts w:ascii="Cambria" w:cs="Cambria" w:eastAsia="Cambria" w:hAnsi="Cambria"/>
          <w:sz w:val="24"/>
          <w:szCs w:val="24"/>
        </w:rPr>
        <w:t xml:space="preserve">. Multi-party governance mechanisms address distributed participation and collective decision-making</w:t>
      </w:r>
      <w:r>
        <w:rPr>
          <w:rFonts w:ascii="Cambria" w:cs="Cambria" w:eastAsia="Cambria" w:hAnsi="Cambria"/>
          <w:color w:val="000000"/>
          <w:sz w:val="24"/>
          <w:szCs w:val="24"/>
        </w:rPr>
        <w:t xml:space="preserve"> [19, 29]</w:t>
      </w:r>
      <w:r>
        <w:rPr>
          <w:rFonts w:ascii="Cambria" w:cs="Cambria" w:eastAsia="Cambria" w:hAnsi="Cambria"/>
          <w:sz w:val="24"/>
          <w:szCs w:val="24"/>
        </w:rPr>
        <w:t xml:space="preserve">. Policy-based access-control approaches determine whether requested operations comply with predefined constraints</w:t>
      </w:r>
      <w:r>
        <w:rPr>
          <w:rFonts w:ascii="Cambria" w:cs="Cambria" w:eastAsia="Cambria" w:hAnsi="Cambria"/>
          <w:color w:val="000000"/>
          <w:sz w:val="24"/>
          <w:szCs w:val="24"/>
        </w:rPr>
        <w:t xml:space="preserve"> [32, 11, 25]</w:t>
      </w:r>
      <w:r>
        <w:rPr>
          <w:rFonts w:ascii="Cambria" w:cs="Cambria" w:eastAsia="Cambria" w:hAnsi="Cambria"/>
          <w:sz w:val="24"/>
          <w:szCs w:val="24"/>
        </w:rPr>
        <w:t xml:space="preserve">. Trusted Computing technologies protect the execution of security-sensitive computation</w:t>
      </w:r>
      <w:r>
        <w:rPr>
          <w:rFonts w:ascii="Cambria" w:cs="Cambria" w:eastAsia="Cambria" w:hAnsi="Cambria"/>
          <w:color w:val="000000"/>
          <w:sz w:val="24"/>
          <w:szCs w:val="24"/>
        </w:rPr>
        <w:t xml:space="preserve"> [23, 17]</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Heading3"/>
        <w:spacing w:after="160" w:before="280"/>
      </w:pPr>
      <w:r>
        <w:rPr>
          <w:rFonts w:ascii="Cambria" w:cs="Cambria" w:eastAsia="Cambria" w:hAnsi="Cambria"/>
          <w:color w:val="000000"/>
          <w:sz w:val="24"/>
          <w:szCs w:val="24"/>
        </w:rPr>
        <w:t xml:space="preserve">2.5.1  Research Gaps in the Existing Studies from the Requirement Perspective</w:t>
      </w:r>
    </w:p>
    <w:p>
      <w:pPr>
        <w:spacing w:after="140" w:line="300"/>
        <w:jc w:val="both"/>
      </w:pPr>
      <w:r>
        <w:rPr>
          <w:rFonts w:ascii="Cambria" w:cs="Cambria" w:eastAsia="Cambria" w:hAnsi="Cambria"/>
          <w:color w:val="000000"/>
          <w:sz w:val="24"/>
          <w:szCs w:val="24"/>
        </w:rPr>
        <w:t xml:space="preserve">As presented in Tables 3 to 8, the reviewed studies have concentrated on recording consent, verifying identities and enforcing access policies as separate concerns. From the perspective of the six key requirements defined in Section 2.2, the existing work has the following drawbacks:</w:t>
      </w:r>
    </w:p>
    <w:p>
      <w:pPr>
        <w:spacing w:after="140" w:line="300"/>
        <w:jc w:val="both"/>
      </w:pPr>
      <w:r>
        <w:rPr>
          <w:rFonts w:ascii="Cambria" w:cs="Cambria" w:eastAsia="Cambria" w:hAnsi="Cambria"/>
          <w:b/>
          <w:bCs/>
          <w:color w:val="000000"/>
          <w:sz w:val="24"/>
          <w:szCs w:val="24"/>
        </w:rPr>
        <w:t xml:space="preserve">Representation of consent as an evaluable authorisation object (Req 1):</w:t>
      </w:r>
      <w:r>
        <w:rPr>
          <w:rFonts w:ascii="Cambria" w:cs="Cambria" w:eastAsia="Cambria" w:hAnsi="Cambria"/>
          <w:color w:val="000000"/>
          <w:sz w:val="24"/>
          <w:szCs w:val="24"/>
        </w:rPr>
        <w:t xml:space="preserve"> none of the 33 reviewed studies satisfies this requirement. The studies that come closest treat consent as a receipt (S10), as a dynamic preference that can be updated (S13, S24) or as a record tracked by a conceptual framework (S21), while the blockchain studies (S1, S2, S3, S7) store consent as a transaction on a ledger. In each case the consent establishes that a decision occurred; it does not carry the identity, authority, purpose, temporal and jurisdictional conditions in a form that can be evaluated at the time of a request. This is important because, without such a representation, the trustworthiness of an access decision cannot be traced back to the consent itself.</w:t>
      </w:r>
    </w:p>
    <w:p>
      <w:pPr>
        <w:spacing w:after="140" w:line="300"/>
        <w:jc w:val="both"/>
      </w:pPr>
      <w:r>
        <w:rPr>
          <w:rFonts w:ascii="Cambria" w:cs="Cambria" w:eastAsia="Cambria" w:hAnsi="Cambria"/>
          <w:b/>
          <w:bCs/>
          <w:color w:val="000000"/>
          <w:sz w:val="24"/>
          <w:szCs w:val="24"/>
        </w:rPr>
        <w:t xml:space="preserve">Decentralised verification of identity and authority (Req 2):</w:t>
      </w:r>
      <w:r>
        <w:rPr>
          <w:rFonts w:ascii="Cambria" w:cs="Cambria" w:eastAsia="Cambria" w:hAnsi="Cambria"/>
          <w:color w:val="000000"/>
          <w:sz w:val="24"/>
          <w:szCs w:val="24"/>
        </w:rPr>
        <w:t xml:space="preserve"> this requirement is addressed by S4, S5, S15, S16, S20, S21, S27, S33. These studies provide mature mechanisms for decentralised identifiers, verifiable credentials and privacy-preserving authentication. However, they establish who a participant is rather than what that participant is authorised to do with a particular patient's data. Consequently, the separation between identity verification and authority verification, and the binding of both to the consent object, remains unaddressed.</w:t>
      </w:r>
    </w:p>
    <w:p>
      <w:pPr>
        <w:spacing w:after="140" w:line="300"/>
        <w:jc w:val="both"/>
      </w:pPr>
      <w:r>
        <w:rPr>
          <w:rFonts w:ascii="Cambria" w:cs="Cambria" w:eastAsia="Cambria" w:hAnsi="Cambria"/>
          <w:b/>
          <w:bCs/>
          <w:color w:val="000000"/>
          <w:sz w:val="24"/>
          <w:szCs w:val="24"/>
        </w:rPr>
        <w:t xml:space="preserve">Multi-party authorisation through a verifiable threshold (Req 3):</w:t>
      </w:r>
      <w:r>
        <w:rPr>
          <w:rFonts w:ascii="Cambria" w:cs="Cambria" w:eastAsia="Cambria" w:hAnsi="Cambria"/>
          <w:color w:val="000000"/>
          <w:sz w:val="24"/>
          <w:szCs w:val="24"/>
        </w:rPr>
        <w:t xml:space="preserve"> no reviewed study satisfies this requirement. S6, S19 and S29 investigate data sharing among several stakeholders, but approval is realised through platform governance or the policies of the data subject rather than as a threshold condition that is checkable by any party. The threshold committees of S33 protect the identity infrastructure, and the committee approval of S4 concerns the issuance of credentials; neither applies to the authorisation of a data-access request. The literature therefore provides multi-party mechanisms, but not multi-party authorisation of consent.</w:t>
      </w:r>
    </w:p>
    <w:p>
      <w:pPr>
        <w:spacing w:after="140" w:line="300"/>
        <w:jc w:val="both"/>
      </w:pPr>
      <w:r>
        <w:rPr>
          <w:rFonts w:ascii="Cambria" w:cs="Cambria" w:eastAsia="Cambria" w:hAnsi="Cambria"/>
          <w:b/>
          <w:bCs/>
          <w:color w:val="000000"/>
          <w:sz w:val="24"/>
          <w:szCs w:val="24"/>
        </w:rPr>
        <w:t xml:space="preserve">Policy- and context-aware enforcement at the time of access (Req 4):</w:t>
      </w:r>
      <w:r>
        <w:rPr>
          <w:rFonts w:ascii="Cambria" w:cs="Cambria" w:eastAsia="Cambria" w:hAnsi="Cambria"/>
          <w:color w:val="000000"/>
          <w:sz w:val="24"/>
          <w:szCs w:val="24"/>
        </w:rPr>
        <w:t xml:space="preserve"> this requirement is addressed by S11, S15, S19, S25, S28, S32. These studies evaluate requests against roles, attributes, risk levels or usage conditions. However, the policies are bound to the requester rather than to the purpose and the data scope that the patient authorised, and none of them evaluates the jurisdiction in which the data may be used. As a result, a legitimate requester can exceed the scope of the consent without being refused.</w:t>
      </w:r>
    </w:p>
    <w:p>
      <w:pPr>
        <w:spacing w:after="140" w:line="300"/>
        <w:jc w:val="both"/>
      </w:pPr>
      <w:r>
        <w:rPr>
          <w:rFonts w:ascii="Cambria" w:cs="Cambria" w:eastAsia="Cambria" w:hAnsi="Cambria"/>
          <w:b/>
          <w:bCs/>
          <w:color w:val="000000"/>
          <w:sz w:val="24"/>
          <w:szCs w:val="24"/>
        </w:rPr>
        <w:t xml:space="preserve">Temporal validity and lifecycle control of consent (Req 5):</w:t>
      </w:r>
      <w:r>
        <w:rPr>
          <w:rFonts w:ascii="Cambria" w:cs="Cambria" w:eastAsia="Cambria" w:hAnsi="Cambria"/>
          <w:color w:val="000000"/>
          <w:sz w:val="24"/>
          <w:szCs w:val="24"/>
        </w:rPr>
        <w:t xml:space="preserve"> only S4, S13, S24 address this requirement, and only in part. S4 revokes identities rather than consents, S13 allows consent preferences to evolve, and S24 reviews dynamic consent without enforcing it. None of the studies enforces the validity interval of a consent at every request, makes revocation verifiable at the ledger level, or restricts the transitions between consent states. This is the least developed of the six requirements in the reviewed literature.</w:t>
      </w:r>
    </w:p>
    <w:p>
      <w:pPr>
        <w:spacing w:after="140" w:line="300"/>
        <w:jc w:val="both"/>
      </w:pPr>
      <w:r>
        <w:rPr>
          <w:rFonts w:ascii="Cambria" w:cs="Cambria" w:eastAsia="Cambria" w:hAnsi="Cambria"/>
          <w:b/>
          <w:bCs/>
          <w:color w:val="000000"/>
          <w:sz w:val="24"/>
          <w:szCs w:val="24"/>
        </w:rPr>
        <w:t xml:space="preserve">Verifiable auditability and security assurance (Req 6):</w:t>
      </w:r>
      <w:r>
        <w:rPr>
          <w:rFonts w:ascii="Cambria" w:cs="Cambria" w:eastAsia="Cambria" w:hAnsi="Cambria"/>
          <w:color w:val="000000"/>
          <w:sz w:val="24"/>
          <w:szCs w:val="24"/>
        </w:rPr>
        <w:t xml:space="preserve"> this is the most frequently addressed requirement (18 of the 33 studies), because a blockchain ledger provides tamper-evident evidence of the recorded events by construction. However, the assurance offered by these studies is functional: they demonstrate that valid operations are recorded correctly. Analytical or adversarial validation of the authorisation properties, such as the impossibility of access after revocation or without sufficient approvals, is found only in S18 and, at the level of the execution environment, in S23. None of the studies validates the negative cases of a consent decision.</w:t>
      </w:r>
    </w:p>
    <w:p>
      <w:pPr>
        <w:spacing w:after="140" w:line="300"/>
        <w:jc w:val="both"/>
      </w:pPr>
      <w:r>
        <w:rPr>
          <w:rFonts w:ascii="Cambria" w:cs="Cambria" w:eastAsia="Cambria" w:hAnsi="Cambria"/>
          <w:color w:val="000000"/>
          <w:sz w:val="24"/>
          <w:szCs w:val="24"/>
        </w:rPr>
        <w:t xml:space="preserve">Taken together, these drawbacks show that the existing literature supplies the individual building blocks of trustworthy consent authorisation but does not connect them. The identification of this gap is developed in the remainder of this section, and the next chapter restates it as a set of research questions and objectives.</w:t>
      </w:r>
    </w:p>
    <w:p>
      <w:pPr>
        <w:spacing w:after="140" w:line="300"/>
        <w:jc w:val="both"/>
      </w:pPr>
      <w:r>
        <w:rPr>
          <w:rFonts w:ascii="Cambria" w:cs="Cambria" w:eastAsia="Cambria" w:hAnsi="Cambria"/>
          <w:sz w:val="24"/>
          <w:szCs w:val="24"/>
        </w:rPr>
        <w:t xml:space="preserve">The central research gap therefore concerns the absence of a sufficiently integrated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spacing w:after="140" w:line="300"/>
        <w:jc w:val="both"/>
      </w:pPr>
      <w:r>
        <w:rPr>
          <w:rFonts w:ascii="Cambria" w:cs="Cambria" w:eastAsia="Cambria" w:hAnsi="Cambria"/>
          <w:color w:val="000000"/>
          <w:sz w:val="24"/>
          <w:szCs w:val="24"/>
        </w:rPr>
        <w:t xml:space="preserve">The reviewed literature also identifies persistent challenges of privacy preservation, scalability, and interoperability in blockchain-based healthcare systems [2, 7, 3, 28]; while these concerns inform the design constraints of the proposed framework, they are treated as engineering constraints rather than as the conceptual gap pursued by this research.</w:t>
      </w:r>
    </w:p>
    <w:p>
      <w:pPr>
        <w:spacing w:after="140" w:line="300"/>
        <w:jc w:val="both"/>
      </w:pPr>
      <w:r>
        <w:rPr>
          <w:rFonts w:ascii="Cambria" w:cs="Cambria" w:eastAsia="Cambria" w:hAnsi="Cambria"/>
          <w:color w:val="000000"/>
          <w:sz w:val="24"/>
          <w:szCs w:val="24"/>
        </w:rPr>
        <w:t xml:space="preserve">In the same way, the consent-lifecycle limitation identified in Section 2.4.1 and the scarcity of formal security analysis identified in Section 2.4.6 define the temporal-lifecycle and formal-assurance dimensions that the next stage of this research addresses.</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sz w:val="22"/>
          <w:szCs w:val="22"/>
        </w:rPr>
        <w:t xml:space="preserve">	(6)</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spacing w:after="140" w:line="300"/>
        <w:jc w:val="both"/>
      </w:pPr>
      <w:r>
        <w:rPr>
          <w:rFonts w:ascii="Cambria" w:cs="Cambria" w:eastAsia="Cambria" w:hAnsi="Cambria"/>
          <w:color w:val="000000"/>
          <w:sz w:val="24"/>
          <w:szCs w:val="24"/>
        </w:rPr>
        <w:t xml:space="preserve">This is the rule enforced by the implemented Consent Engine: every access request is evaluated over the complete tuple, where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(C, t) additionally represents the temporal validity of the request instant and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the jurisdictional constraint; the temporal and jurisdictional predicates are already operational rather than deferred to subsequent research.</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sz w:val="24"/>
          <w:szCs w:val="24"/>
        </w:rPr>
        <w:t xml:space="preserve">The current research therefore concentrates on establishing the foundational relationship between trust-centric consent modelling, decentralised identity and authority verification, multi-party authorisation, and policy-aware access control.</w:t>
      </w:r>
    </w:p>
    <w:p>
      <w:pPr>
        <w:spacing w:after="140" w:line="300"/>
        <w:jc w:val="both"/>
      </w:pPr>
      <w:r>
        <w:rPr>
          <w:rFonts w:ascii="Cambria" w:cs="Cambria" w:eastAsia="Cambria" w:hAnsi="Cambria"/>
          <w:sz w:val="24"/>
          <w:szCs w:val="24"/>
        </w:rPr>
        <w:t xml:space="preserve">Accordingly, the literature suggests that the principal research opportunity is not the development of another isolated blockchain consent mechanism or identity-management system. Instead, the opportunity lies in constructing a coherent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p>
      <w:pPr>
        <w:pStyle w:val="Heading2"/>
        <w:spacing w:after="160" w:before="280"/>
      </w:pPr>
      <w:r>
        <w:rPr>
          <w:rFonts w:ascii="Cambria" w:cs="Cambria" w:eastAsia="Cambria" w:hAnsi="Cambria"/>
          <w:color w:val="000000"/>
          <w:sz w:val="24"/>
          <w:szCs w:val="24"/>
        </w:rPr>
        <w:t xml:space="preserve">2.6  Conclusion</w:t>
      </w:r>
    </w:p>
    <w:p>
      <w:pPr>
        <w:spacing w:after="140" w:line="300"/>
        <w:jc w:val="both"/>
      </w:pPr>
      <w:r>
        <w:rPr>
          <w:rFonts w:ascii="Cambria" w:cs="Cambria" w:eastAsia="Cambria" w:hAnsi="Cambria"/>
          <w:color w:val="000000"/>
          <w:sz w:val="24"/>
          <w:szCs w:val="24"/>
        </w:rPr>
        <w:t xml:space="preserve">This systematic literature review defined six key requirements that a trustworthy authorisation framework for multi-party patient consent should satisfy: the representation of consent as an evaluable authorisation object, the decentralised verification of identity and authority, multi-party authorisation through a verifiable threshold, policy- and context-aware enforcement at the time of access, temporal validity and lifecycle control, and verifiable auditability and security assurance. Following a PRISMA-based process, 33 studies were shortlisted from 125 records and were reviewed in six thematic streams. Each study was assessed against the six requirements, and the results are summarised in Tables 3 to 8.</w:t>
      </w:r>
    </w:p>
    <w:p>
      <w:pPr>
        <w:spacing w:after="140" w:line="300"/>
        <w:jc w:val="both"/>
      </w:pPr>
      <w:r>
        <w:rPr>
          <w:rFonts w:ascii="Cambria" w:cs="Cambria" w:eastAsia="Cambria" w:hAnsi="Cambria"/>
          <w:color w:val="000000"/>
          <w:sz w:val="24"/>
          <w:szCs w:val="24"/>
        </w:rPr>
        <w:t xml:space="preserve">The review shows that the existing studies provide strong solutions for individual requirements. Blockchain-based systems satisfy the auditability requirement, decentralised identity studies satisfy the identity requirement, and access-control studies satisfy the policy requirement. However, no reviewed study satisfies all six requirements together, and only a small number address the temporal and lifecycle requirement or provide security assurance beyond a functional demonstration. Consequently, the research gap identified in this chapter is not the absence of individual mechanisms but the absence of a framework that connects them into a single, verifiable authorisation decision.</w:t>
      </w:r>
    </w:p>
    <w:p>
      <w:pPr>
        <w:spacing w:after="140" w:line="300"/>
        <w:jc w:val="both"/>
      </w:pPr>
      <w:r>
        <w:rPr>
          <w:rFonts w:ascii="Cambria" w:cs="Cambria" w:eastAsia="Cambria" w:hAnsi="Cambria"/>
          <w:color w:val="000000"/>
          <w:sz w:val="24"/>
          <w:szCs w:val="24"/>
        </w:rPr>
        <w:t xml:space="preserve">The next chapter builds on this gap. It restates the gap in terms of a trust-oriented authorisation problem, defines the key terms used in this study, and presents the main research question, the six sub-research questions and the corresponding research objectives.</w:t>
      </w:r>
    </w:p>
    <w:p>
      <w:pPr>
        <w:keepNext/>
        <w:spacing w:after="60" w:before="140"/>
        <w:jc w:val="center"/>
      </w:pPr>
      <w:r>
        <w:drawing>
          <wp:inline distT="0" distB="0" distL="0" distR="0">
            <wp:extent cx="5715000" cy="2676525"/>
            <wp:effectExtent t="0" r="0" b="0" l="0"/>
            <wp:docPr id="1" name="gfig2c.png" descr="Figure 5: Synthesis of the review: the five research streams provide strong but fragmented mechanisms; their lack of integration constitutes the research gap, which the proposed framework addresses by treating consent as an evaluable authorisation object." title="Figure 5: Synthesis of the review: the five research streams provide strong but fragmented mechanisms; their lack of integration constitutes the research gap, which the proposed framework addresses by treating consent as an evaluable authorisatio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5: Synthesis of the review: the five research streams provide strong but fragmented mechanisms; their lack of integration constitutes the research gap, which the proposed framework addresses by treating consent as an evaluable authorisation object.</w:t>
      </w:r>
    </w:p>
    <w:p>
      <w:pPr>
        <w:pStyle w:val="Heading1"/>
        <w:pageBreakBefore/>
        <w:spacing w:after="160" w:before="400"/>
      </w:pPr>
      <w:r>
        <w:rPr>
          <w:rFonts w:ascii="Cambria" w:cs="Cambria" w:eastAsia="Cambria" w:hAnsi="Cambria"/>
          <w:sz w:val="24"/>
          <w:szCs w:val="24"/>
        </w:rPr>
        <w:t xml:space="preserve">3  Research Gaps and Questions</w:t>
      </w:r>
    </w:p>
    <w:p>
      <w:pPr>
        <w:pStyle w:val="Heading2"/>
        <w:spacing w:after="160" w:before="280"/>
      </w:pPr>
      <w:r>
        <w:rPr>
          <w:rFonts w:ascii="Cambria" w:cs="Cambria" w:eastAsia="Cambria" w:hAnsi="Cambria"/>
          <w:sz w:val="24"/>
          <w:szCs w:val="24"/>
        </w:rPr>
        <w:t xml:space="preserve">3.1  Research Gap</w:t>
      </w:r>
    </w:p>
    <w:p>
      <w:pPr>
        <w:spacing w:after="140" w:line="300"/>
        <w:jc w:val="both"/>
      </w:pPr>
      <w:r>
        <w:rPr>
          <w:rFonts w:ascii="Cambria" w:cs="Cambria" w:eastAsia="Cambria" w:hAnsi="Cambria"/>
          <w:color w:val="E6007E"/>
          <w:sz w:val="24"/>
          <w:szCs w:val="24"/>
        </w:rPr>
        <w:t xml:space="preserve">The systematic literature review presented in Chapter 2 (Section 2.5) indicates that substantial research has been conducted</w:t>
      </w:r>
      <w:r>
        <w:rPr>
          <w:rFonts w:ascii="Cambria" w:cs="Cambria" w:eastAsia="Cambria" w:hAnsi="Cambria"/>
          <w:sz w:val="24"/>
          <w:szCs w:val="24"/>
        </w:rPr>
        <w:t xml:space="preserve"> on individual mechanisms for securing healthcare data sharing, including blockchain-based consent management, decentralised identity, verifiable credentials, cryptographic access control, </w:t>
      </w:r>
      <w:r>
        <w:rPr>
          <w:rFonts w:ascii="Cambria" w:cs="Cambria" w:eastAsia="Cambria" w:hAnsi="Cambria"/>
          <w:color w:val="E6007E"/>
          <w:sz w:val="24"/>
          <w:szCs w:val="24"/>
        </w:rPr>
        <w:t xml:space="preserve">policy-based authorisation, and multi-party approval [1, 13, 19, 20, 25, 32].</w:t>
      </w:r>
      <w:r>
        <w:rPr>
          <w:rFonts w:ascii="Cambria" w:cs="Cambria" w:eastAsia="Cambria" w:hAnsi="Cambria"/>
          <w:sz w:val="24"/>
          <w:szCs w:val="24"/>
        </w:rPr>
        <w:t xml:space="preserve">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w:t>
      </w:r>
      <w:r>
        <w:rPr>
          <w:rFonts w:ascii="Cambria" w:cs="Cambria" w:eastAsia="Cambria" w:hAnsi="Cambria"/>
          <w:color w:val="E6007E"/>
          <w:sz w:val="24"/>
          <w:szCs w:val="24"/>
        </w:rPr>
        <w:t xml:space="preserve">In particular, existing consent-oriented approaches tend to treat consent primarily as a record of a patient’s permission [10, 13, 21].</w:t>
      </w:r>
      <w:r>
        <w:rPr>
          <w:rFonts w:ascii="Cambria" w:cs="Cambria" w:eastAsia="Cambria" w:hAnsi="Cambria"/>
          <w:sz w:val="24"/>
          <w:szCs w:val="24"/>
        </w:rPr>
        <w:t xml:space="preserve">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w:t>
      </w:r>
      <w:r>
        <w:rPr>
          <w:rFonts w:ascii="Cambria" w:cs="Cambria" w:eastAsia="Cambria" w:hAnsi="Cambria"/>
          <w:color w:val="E6007E"/>
          <w:sz w:val="24"/>
          <w:szCs w:val="24"/>
        </w:rPr>
        <w:t xml:space="preserve">A blockchain may provide an immutable representation of a consent event [2, 28], but immutability does not establish the legitimacy of the entities involved in that event.</w:t>
      </w:r>
      <w:r>
        <w:rPr>
          <w:rFonts w:ascii="Cambria" w:cs="Cambria" w:eastAsia="Cambria" w:hAnsi="Cambria"/>
          <w:sz w:val="24"/>
          <w:szCs w:val="24"/>
        </w:rPr>
        <w:t xml:space="preserve"> </w:t>
      </w:r>
      <w:r>
        <w:rPr>
          <w:rFonts w:ascii="Cambria" w:cs="Cambria" w:eastAsia="Cambria" w:hAnsi="Cambria"/>
          <w:color w:val="E6007E"/>
          <w:sz w:val="24"/>
          <w:szCs w:val="24"/>
        </w:rPr>
        <w:t xml:space="preserve">Similarly, a valid decentralised identity can establish who a participant is [20], but it does not necessarily establish what that participant is authorised to do.</w:t>
      </w:r>
      <w:r>
        <w:rPr>
          <w:rFonts w:ascii="Cambria" w:cs="Cambria" w:eastAsia="Cambria" w:hAnsi="Cambria"/>
          <w:sz w:val="24"/>
          <w:szCs w:val="24"/>
        </w:rPr>
        <w:t xml:space="preserve">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spacing w:after="140" w:line="300"/>
        <w:jc w:val="both"/>
      </w:pPr>
      <w:r>
        <w:rPr>
          <w:rFonts w:ascii="Cambria" w:cs="Cambria" w:eastAsia="Cambria" w:hAnsi="Cambria"/>
          <w:sz w:val="24"/>
          <w:szCs w:val="24"/>
        </w:rP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sz w:val="24"/>
          <w:szCs w:val="24"/>
        </w:rPr>
        <w:t xml:space="preserve">The identified gap can therefore be stated as follows: existing healthcare consent and access-control research provides many of the necessary technological building blocks, but there remains a need for an integrated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spacing w:after="140" w:line="300"/>
        <w:jc w:val="both"/>
      </w:pPr>
      <w:r>
        <w:rPr>
          <w:rFonts w:ascii="Cambria" w:cs="Cambria" w:eastAsia="Cambria" w:hAnsi="Cambria"/>
          <w:color w:val="0000CC"/>
          <w:sz w:val="24"/>
          <w:szCs w:val="24"/>
        </w:rPr>
        <w:t xml:space="preserve">For clarity, the following terms are used throughout the remaining chapters. The patient is the data subject who creates the consent object C. The guardian set G is the set of designated participants whose independent approval is required, and the threshold N is the number of valid guardian approvals needed for activation. The authorised doctor D is the requester whose access request R is evaluated against C.</w:t>
      </w:r>
    </w:p>
    <w:p>
      <w:pPr>
        <w:pStyle w:val="Heading2"/>
        <w:spacing w:after="160" w:before="280"/>
      </w:pPr>
      <w:r>
        <w:rPr>
          <w:rFonts w:ascii="Cambria" w:cs="Cambria" w:eastAsia="Cambria" w:hAnsi="Cambria"/>
          <w:sz w:val="24"/>
          <w:szCs w:val="24"/>
        </w:rPr>
        <w:t xml:space="preserve">3.2  Main Research Question</w:t>
      </w:r>
    </w:p>
    <w:p>
      <w:pPr>
        <w:spacing w:after="140" w:line="300"/>
        <w:jc w:val="both"/>
      </w:pPr>
      <w:r>
        <w:rPr>
          <w:rFonts w:ascii="Cambria" w:cs="Cambria" w:eastAsia="Cambria" w:hAnsi="Cambria"/>
          <w:color w:val="000000"/>
          <w:sz w:val="24"/>
          <w:szCs w:val="24"/>
        </w:rPr>
        <w:t xml:space="preserve">Temporal and lifecycle trust has been operationalised in the current prototype, and empirical validation has been partially completed through automated and live negative testing. </w:t>
      </w:r>
      <w:r>
        <w:rPr>
          <w:rFonts w:ascii="Cambria" w:cs="Cambria" w:eastAsia="Cambria" w:hAnsi="Cambria"/>
          <w:color w:val="E6007E"/>
          <w:sz w:val="24"/>
          <w:szCs w:val="24"/>
        </w:rPr>
        <w:t xml:space="preserve">Consequently, formal security assurance forms the subsequent research scope and is developed further in the next stage of the research (Section 9.2).</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the investigation is deliberately focused on the foundational conditions required to establish trustworthy authorisation. These conditions are represented through </w:t>
      </w:r>
      <w:r>
        <w:rPr>
          <w:rFonts w:ascii="Cambria" w:cs="Cambria" w:eastAsia="Cambria" w:hAnsi="Cambria"/>
          <w:color w:val="000000"/>
          <w:sz w:val="24"/>
          <w:szCs w:val="24"/>
        </w:rPr>
        <w:t xml:space="preserve">the first four of the six interconnected sub-research questions presented in Section 3.3, concerning</w:t>
      </w:r>
      <w:r>
        <w:rPr>
          <w:rFonts w:ascii="Cambria" w:cs="Cambria" w:eastAsia="Cambria" w:hAnsi="Cambria"/>
          <w:sz w:val="24"/>
          <w:szCs w:val="24"/>
        </w:rPr>
        <w:t xml:space="preserve"> consent modelling, identity and authority trust, multi-party authorisation, and policy-aware access control. </w:t>
      </w:r>
      <w:r>
        <w:rPr>
          <w:rFonts w:ascii="Cambria" w:cs="Cambria" w:eastAsia="Cambria" w:hAnsi="Cambria"/>
          <w:color w:val="000000"/>
          <w:sz w:val="24"/>
          <w:szCs w:val="24"/>
        </w:rPr>
        <w:t xml:space="preserve">The remaining two sub-questions, addressing temporal and lifecycle trust and formal security assurance, complete the six-question structure; the fifth is operationalised in the current prototype, and the formal component of the sixth is carried into the next stage of the research.</w:t>
      </w:r>
    </w:p>
    <w:p>
      <w:pPr>
        <w:pStyle w:val="Heading2"/>
        <w:spacing w:after="160" w:before="280"/>
      </w:pPr>
      <w:r>
        <w:rPr>
          <w:rFonts w:ascii="Cambria" w:cs="Cambria" w:eastAsia="Cambria" w:hAnsi="Cambria"/>
          <w:sz w:val="24"/>
          <w:szCs w:val="24"/>
        </w:rP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spacing w:after="140" w:line="300"/>
        <w:jc w:val="both"/>
      </w:pPr>
      <w:r>
        <w:rPr>
          <w:rFonts w:ascii="Cambria" w:cs="Cambria" w:eastAsia="Cambria" w:hAnsi="Cambria"/>
          <w:color w:val="0000CC"/>
          <w:sz w:val="24"/>
          <w:szCs w:val="24"/>
        </w:rPr>
        <w:t xml:space="preserve">Each sub-research question corresponds to one of the six requirements defined in Section 2.2 (Req 1 to Req 6) and to the associated gap identified in Section 2.5, so that SRQ1 to SRQ6 address, respectively, the representation, identity, threshold, policy, lifecycle and assurance requirements that no reviewed study satisfies together. For brevity, the sub-research questions SRQ1 to SRQ6 are referred to as RQ1 to RQ6 in Chapter 4 and in the remaining chapters.</w:t>
      </w:r>
    </w:p>
    <w:p>
      <w:pPr>
        <w:pStyle w:val="Heading3"/>
        <w:spacing w:after="160" w:before="280"/>
      </w:pPr>
      <w:r>
        <w:rPr>
          <w:rFonts w:ascii="Cambria" w:cs="Cambria" w:eastAsia="Cambria" w:hAnsi="Cambria"/>
          <w:sz w:val="24"/>
          <w:szCs w:val="24"/>
        </w:rP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(7)</w:t>
      </w:r>
    </w:p>
    <w:p>
      <w:pPr>
        <w:spacing w:after="140" w:line="300"/>
        <w:jc w:val="both"/>
      </w:pPr>
      <w:r>
        <w:rPr>
          <w:rFonts w:ascii="Cambria" w:cs="Cambria" w:eastAsia="Cambria" w:hAnsi="Cambria"/>
          <w:color w:val="000000"/>
          <w:sz w:val="24"/>
          <w:szCs w:val="24"/>
        </w:rPr>
        <w:t xml:space="preserve">where I represents the participating identities, </w:t>
      </w:r>
      <w:r>
        <w:rPr>
          <w:rFonts w:ascii="Cambria" w:cs="Cambria" w:eastAsia="Cambria" w:hAnsi="Cambria"/>
          <w:color w:val="E6007E"/>
          <w:sz w:val="24"/>
          <w:szCs w:val="24"/>
        </w:rPr>
        <w:t xml:space="preserve">A represents the authority requirements, namely the guardian set G and the approval threshold N</w:t>
      </w:r>
      <w:r>
        <w:rPr>
          <w:rFonts w:ascii="Cambria" w:cs="Cambria" w:eastAsia="Cambria" w:hAnsi="Cambria"/>
          <w:color w:val="000000"/>
          <w:sz w:val="24"/>
          <w:szCs w:val="24"/>
        </w:rPr>
        <w:t xml:space="preserve">, P represents the purpose and data-scope constraints, T represents the temporal validity window, L represents the jurisdictional constraint, and </w:t>
      </w:r>
      <w:r>
        <w:rPr>
          <w:rFonts w:ascii="Cambria" w:cs="Cambria" w:eastAsia="Cambria" w:hAnsi="Cambria"/>
          <w:color w:val="000000"/>
          <w:sz w:val="24"/>
          <w:szCs w:val="24"/>
        </w:rPr>
        <w:t xml:space="preserve">E represents the authorisation evidence, including the record of whether the consent remains active or has been revoked</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It should be noted that the question names four dimensions, namely identity, authority requirements, policy constraints and authorisation evidence, whereas the consent object contains six components. The temporal component T and the jurisdictional component L were introduced during implementation as explicit constraints of the policy dimension, and they are investigated under SRQ5 rather than as an additional sub-research question.</w:t>
      </w:r>
    </w:p>
    <w:p>
      <w:pPr>
        <w:spacing w:after="140" w:line="300"/>
        <w:jc w:val="both"/>
      </w:pPr>
      <w:r>
        <w:rPr>
          <w:rFonts w:ascii="Cambria" w:cs="Cambria" w:eastAsia="Cambria" w:hAnsi="Cambria"/>
          <w:sz w:val="24"/>
          <w:szCs w:val="24"/>
        </w:rP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rPr>
          <w:rFonts w:ascii="Cambria" w:cs="Cambria" w:eastAsia="Cambria" w:hAnsi="Cambria"/>
          <w:sz w:val="24"/>
          <w:szCs w:val="24"/>
        </w:rP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t>
      </w:r>
      <w:r>
        <w:rPr>
          <w:rFonts w:ascii="Cambria" w:cs="Cambria" w:eastAsia="Cambria" w:hAnsi="Cambria"/>
          <w:color w:val="E6007E"/>
          <w:sz w:val="24"/>
          <w:szCs w:val="24"/>
        </w:rPr>
        <w:t xml:space="preserve">while a verifiable credential provides evidence concerning the participant’s role or authority [20, 16].</w:t>
      </w:r>
      <w:r>
        <w:rPr>
          <w:rFonts w:ascii="Cambria" w:cs="Cambria" w:eastAsia="Cambria" w:hAnsi="Cambria"/>
          <w:sz w:val="24"/>
          <w:szCs w:val="24"/>
        </w:rPr>
        <w:t xml:space="preserve"> </w:t>
      </w:r>
      <w:r>
        <w:rPr>
          <w:rFonts w:ascii="Cambria" w:cs="Cambria" w:eastAsia="Cambria" w:hAnsi="Cambria"/>
          <w:color w:val="000000"/>
          <w:sz w:val="24"/>
          <w:szCs w:val="24"/>
        </w:rPr>
        <w:t xml:space="preserve">Therefore, Identity</w:t>
      </w:r>
      <w:r>
        <w:rPr>
          <w:rFonts w:ascii="Cambria" w:cs="Cambria" w:eastAsia="Cambria" w:hAnsi="Cambria"/>
          <w:sz w:val="24"/>
          <w:szCs w:val="24"/>
        </w:rPr>
        <w:t xml:space="preserve">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rPr>
          <w:rFonts w:ascii="Cambria" w:cs="Cambria" w:eastAsia="Cambria" w:hAnsi="Cambria"/>
          <w:sz w:val="24"/>
          <w:szCs w:val="24"/>
        </w:rP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independently verified authorisation participants and let N denote the required authorisation threshold. Multi-party authorisation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color w:val="000000"/>
          <w:sz w:val="22"/>
          <w:szCs w:val="22"/>
        </w:rPr>
        <w:t xml:space="preserve">|A</w:t>
      </w:r>
      <w:r>
        <w:rPr>
          <w:rFonts w:ascii="Cambria Math" w:cs="Cambria Math" w:eastAsia="Cambria Math" w:hAnsi="Cambria Math"/>
          <w:i/>
          <w:iCs/>
          <w:color w:val="000000"/>
          <w:sz w:val="22"/>
          <w:szCs w:val="22"/>
          <w:vertAlign w:val="subscript"/>
        </w:rPr>
        <w:t xml:space="preserve">v</w:t>
      </w:r>
      <w:r>
        <w:rPr>
          <w:rFonts w:ascii="Cambria Math" w:cs="Cambria Math" w:eastAsia="Cambria Math" w:hAnsi="Cambria Math"/>
          <w:i/>
          <w:iCs/>
          <w:color w:val="000000"/>
          <w:sz w:val="22"/>
          <w:szCs w:val="22"/>
        </w:rPr>
        <w:t xml:space="preserve">| &lt; N ⟹ Decision(C, R) = DENY.</w:t>
      </w:r>
      <w:r>
        <w:rPr>
          <w:rFonts w:ascii="Cambria" w:cs="Cambria" w:eastAsia="Cambria" w:hAnsi="Cambria"/>
          <w:color w:val="000000"/>
          <w:sz w:val="22"/>
          <w:szCs w:val="22"/>
        </w:rPr>
        <w:t xml:space="preserve">	(10)</w:t>
      </w:r>
    </w:p>
    <w:p>
      <w:pPr>
        <w:spacing w:after="140" w:line="300"/>
        <w:jc w:val="both"/>
      </w:pPr>
      <w:r>
        <w:rPr>
          <w:rFonts w:ascii="Cambria" w:cs="Cambria" w:eastAsia="Cambria" w:hAnsi="Cambria"/>
          <w:color w:val="E6007E"/>
          <w:sz w:val="24"/>
          <w:szCs w:val="24"/>
        </w:rPr>
        <w:t xml:space="preserve">In the implemented framework, N is instantiated as |G|, the number of designated guardians,</w:t>
      </w:r>
      <w:r>
        <w:rPr>
          <w:rFonts w:ascii="Cambria" w:cs="Cambria" w:eastAsia="Cambria" w:hAnsi="Cambria"/>
          <w:color w:val="000000"/>
          <w:sz w:val="24"/>
          <w:szCs w:val="24"/>
        </w:rPr>
        <w:t xml:space="preserve"> so that activation requires the approval of every listed guardian; configurable k-of-n thresholds are identified as future work.</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sz w:val="24"/>
          <w:szCs w:val="24"/>
        </w:rPr>
        <w:t xml:space="preserve">More fundamentally, SRQ3 changes the interpretation of trust from an assumption concerning a single trusted entity to a property established through the joint satisfaction of independently verified authorisation requirements.</w:t>
      </w:r>
    </w:p>
    <w:p>
      <w:pPr>
        <w:pStyle w:val="Heading3"/>
        <w:spacing w:after="160" w:before="280"/>
      </w:pPr>
      <w:r>
        <w:rPr>
          <w:rFonts w:ascii="Cambria" w:cs="Cambria" w:eastAsia="Cambria" w:hAnsi="Cambria"/>
          <w:sz w:val="24"/>
          <w:szCs w:val="24"/>
        </w:rP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sz w:val="24"/>
          <w:szCs w:val="24"/>
        </w:rPr>
        <w:t xml:space="preserve">For example, if a consent authorises access to</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while the request contains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sz w:val="24"/>
          <w:szCs w:val="24"/>
        </w:rPr>
        <w:t xml:space="preserve">Thus, trustworthy authorisation requires not only trusted participants and sufficient approvals, but also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rPr>
          <w:rFonts w:ascii="Cambria" w:cs="Cambria" w:eastAsia="Cambria" w:hAnsi="Cambria"/>
          <w:sz w:val="24"/>
          <w:szCs w:val="24"/>
        </w:rP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w:t>
      </w:r>
      <w:r>
        <w:rPr>
          <w:rFonts w:ascii="Cambria" w:cs="Cambria" w:eastAsia="Cambria" w:hAnsi="Cambria"/>
          <w:color w:val="E6007E"/>
          <w:sz w:val="24"/>
          <w:szCs w:val="24"/>
        </w:rPr>
        <w:t xml:space="preserve">cannot necessarily be assumed to remain valid indefinitely, as recognised in the dynamic consent literature [24, 13].</w:t>
      </w:r>
      <w:r>
        <w:rPr>
          <w:rFonts w:ascii="Cambria" w:cs="Cambria" w:eastAsia="Cambria" w:hAnsi="Cambria"/>
          <w:sz w:val="24"/>
          <w:szCs w:val="24"/>
        </w:rPr>
        <w:t xml:space="preserve">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The lifecycle validity predicate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sz w:val="24"/>
          <w:szCs w:val="24"/>
        </w:rPr>
        <w:t xml:space="preserve">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S</w:t>
      </w:r>
      <w:r>
        <w:rPr>
          <w:rFonts w:ascii="Cambria Math" w:cs="Cambria Math" w:eastAsia="Cambria Math" w:hAnsi="Cambria Math"/>
          <w:i/>
          <w:iCs/>
          <w:color w:val="000000"/>
          <w:sz w:val="22"/>
          <w:szCs w:val="22"/>
        </w:rPr>
        <w:t xml:space="preserve">(C)</w:t>
      </w:r>
      <w:r>
        <w:rPr>
          <w:rFonts w:ascii="Cambria Math" w:cs="Cambria Math" w:eastAsia="Cambria Math" w:hAnsi="Cambria Math"/>
          <w:i/>
          <w:iCs/>
          <w:sz w:val="22"/>
          <w:szCs w:val="22"/>
        </w:rPr>
        <w:t xml:space="preserve"> = ValidState(C) ∧ ValidTransition(C).</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w:t>
      </w:r>
      <w:r>
        <w:rPr>
          <w:rFonts w:ascii="Cambria" w:cs="Cambria" w:eastAsia="Cambria" w:hAnsi="Cambria"/>
          <w:color w:val="E6007E"/>
          <w:sz w:val="24"/>
          <w:szCs w:val="24"/>
        </w:rPr>
        <w:t xml:space="preserve">In the implemented framework, the state and revocation conditions of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are evaluated as part of the collective authorisation predicate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whereas Section 6.5 additionally evaluates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as a composite temporal and lifecycle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t, q) that includes the temporal condition of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w:t>
      </w:r>
      <w:r>
        <w:rPr>
          <w:rFonts w:ascii="Cambria" w:cs="Cambria" w:eastAsia="Cambria" w:hAnsi="Cambria"/>
          <w:color w:val="000000"/>
          <w:sz w:val="24"/>
          <w:szCs w:val="24"/>
        </w:rPr>
        <w:t xml:space="preserve"> This is important because only a consent in the ACTIVE state can satisfy the authorisation condition. Consequently, the symbol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is reserved for the jurisdictional predicate, which corresponds to the component L of the consent object.</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rPr>
          <w:rFonts w:ascii="Cambria" w:cs="Cambria" w:eastAsia="Cambria" w:hAnsi="Cambria"/>
          <w:sz w:val="24"/>
          <w:szCs w:val="24"/>
        </w:rP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color w:val="E6007E"/>
          <w:sz w:val="22"/>
          <w:szCs w:val="22"/>
        </w:rPr>
        <w:t xml:space="preserve">Decision(C, R, t) = { ALLOW, V</w:t>
      </w:r>
      <w:r>
        <w:rPr>
          <w:rFonts w:ascii="Cambria Math" w:cs="Cambria Math" w:eastAsia="Cambria Math" w:hAnsi="Cambria Math"/>
          <w:i/>
          <w:iCs/>
          <w:color w:val="E6007E"/>
          <w:sz w:val="22"/>
          <w:szCs w:val="22"/>
          <w:vertAlign w:val="subscript"/>
        </w:rPr>
        <w:t xml:space="preserve">I</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A</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P</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T</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L</w:t>
      </w:r>
      <w:r>
        <w:rPr>
          <w:rFonts w:ascii="Cambria Math" w:cs="Cambria Math" w:eastAsia="Cambria Math" w:hAnsi="Cambria Math"/>
          <w:i/>
          <w:iCs/>
          <w:color w:val="E6007E"/>
          <w:sz w:val="22"/>
          <w:szCs w:val="22"/>
        </w:rPr>
        <w:t xml:space="preserve">; DENY, otherwise. }</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w:t>
      </w:r>
      <w:r>
        <w:rPr>
          <w:rFonts w:ascii="Cambria" w:cs="Cambria" w:eastAsia="Cambria" w:hAnsi="Cambria"/>
          <w:color w:val="000000"/>
          <w:sz w:val="24"/>
          <w:szCs w:val="24"/>
        </w:rPr>
        <w:t xml:space="preserve">Synthetic demonstration records, containing no real patient data, are used</w:t>
      </w:r>
      <w:r>
        <w:rPr>
          <w:rFonts w:ascii="Cambria" w:cs="Cambria" w:eastAsia="Cambria" w:hAnsi="Cambria"/>
          <w:sz w:val="24"/>
          <w:szCs w:val="24"/>
        </w:rPr>
        <w:t xml:space="preserve">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(25)</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sz w:val="24"/>
          <w:szCs w:val="24"/>
        </w:rP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p>
      <w:pPr>
        <w:pStyle w:val="Heading2"/>
        <w:spacing w:after="160" w:before="280"/>
      </w:pPr>
      <w:r>
        <w:rPr>
          <w:rFonts w:ascii="Cambria" w:cs="Cambria" w:eastAsia="Cambria" w:hAnsi="Cambria"/>
          <w:sz w:val="24"/>
          <w:szCs w:val="24"/>
        </w:rPr>
        <w:t xml:space="preserve">3.4  Research Questions as an Integrated Research Problem</w:t>
      </w:r>
    </w:p>
    <w:p>
      <w:pPr>
        <w:spacing w:after="140" w:line="300"/>
        <w:jc w:val="both"/>
      </w:pPr>
      <w:r>
        <w:rPr>
          <w:rFonts w:ascii="Cambria" w:cs="Cambria" w:eastAsia="Cambria" w:hAnsi="Cambria"/>
          <w:sz w:val="24"/>
          <w:szCs w:val="24"/>
        </w:rP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(27)</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w:t>
      </w:r>
      <w:r>
        <w:rPr>
          <w:rFonts w:ascii="Cambria" w:cs="Cambria" w:eastAsia="Cambria" w:hAnsi="Cambria"/>
          <w:color w:val="000000"/>
          <w:sz w:val="24"/>
          <w:szCs w:val="24"/>
        </w:rPr>
        <w:t xml:space="preserve">jurisdictional compliance, while lifecycle validity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is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w:t>
      </w:r>
      <w:r>
        <w:rPr>
          <w:rFonts w:ascii="Cambria" w:cs="Cambria" w:eastAsia="Cambria" w:hAnsi="Cambria"/>
          <w:color w:val="E6007E"/>
          <w:sz w:val="24"/>
          <w:szCs w:val="24"/>
        </w:rPr>
        <w:t xml:space="preserve">This five-predicate conjunction constitutes the decision rule of the implemented Consent Engine; the three-predicate formulation of Equation (29) represents the foundational core of RO1 to RO4, which the implemented rule extends with the temporal and jurisdictional predicates.</w:t>
      </w:r>
    </w:p>
    <w:p>
      <w:pPr>
        <w:spacing w:after="140" w:line="300"/>
        <w:jc w:val="both"/>
      </w:pPr>
      <w:r>
        <w:rPr>
          <w:rFonts w:ascii="Cambria" w:cs="Cambria" w:eastAsia="Cambria" w:hAnsi="Cambria"/>
          <w:color w:val="0000CC"/>
          <w:sz w:val="24"/>
          <w:szCs w:val="24"/>
        </w:rPr>
        <w:t xml:space="preserve">The jurisdictional predicate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is satisfied when the jurisdiction declared in the access request R matches the jurisdiction L recorded in the consent object, or when no jurisdiction is recorded; its formal definition is given in Equation (64) in Section 6.5.</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(28)</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sz w:val="24"/>
          <w:szCs w:val="24"/>
        </w:rP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w:t>
      </w:r>
      <w:r>
        <w:rPr>
          <w:rFonts w:ascii="Cambria" w:cs="Cambria" w:eastAsia="Cambria" w:hAnsi="Cambria"/>
          <w:color w:val="000000"/>
          <w:sz w:val="24"/>
          <w:szCs w:val="24"/>
        </w:rPr>
        <w:t xml:space="preserve">links the user-facing interaction directly to the underlying authorisation checks</w:t>
      </w:r>
      <w:r>
        <w:rPr>
          <w:rFonts w:ascii="Cambria" w:cs="Cambria" w:eastAsia="Cambria" w:hAnsi="Cambria"/>
          <w:sz w:val="24"/>
          <w:szCs w:val="24"/>
        </w:rPr>
        <w:t xml:space="preserve">.</w:t>
      </w:r>
    </w:p>
    <w:p>
      <w:pPr>
        <w:spacing w:after="140" w:line="300"/>
        <w:jc w:val="both"/>
      </w:pPr>
      <w:r>
        <w:rPr>
          <w:rFonts w:ascii="Cambria" w:cs="Cambria" w:eastAsia="Cambria" w:hAnsi="Cambria"/>
          <w:color w:val="000000"/>
          <w:sz w:val="24"/>
          <w:szCs w:val="24"/>
        </w:rPr>
        <w:t xml:space="preserve">The first four objectives are realised in full, while the fifth objective is realised operationally in the current prototype and the sixth objective is addressed empirically at this stage, with its formal component reserved for the next research programme.</w:t>
      </w:r>
    </w:p>
    <w:p>
      <w:pPr>
        <w:spacing w:after="140" w:line="300"/>
        <w:jc w:val="both"/>
      </w:pPr>
      <w:r>
        <w:rPr>
          <w:rFonts w:ascii="Cambria" w:cs="Cambria" w:eastAsia="Cambria" w:hAnsi="Cambria"/>
          <w:sz w:val="24"/>
          <w:szCs w:val="24"/>
        </w:rP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spacing w:after="140" w:line="300"/>
        <w:jc w:val="both"/>
      </w:pPr>
      <w:r>
        <w:rPr>
          <w:rFonts w:ascii="Cambria" w:cs="Cambria" w:eastAsia="Cambria" w:hAnsi="Cambria"/>
          <w:sz w:val="24"/>
          <w:szCs w:val="24"/>
        </w:rP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p>
      <w:pPr>
        <w:pStyle w:val="Heading1"/>
        <w:pageBreakBefore/>
        <w:spacing w:after="160" w:before="400"/>
      </w:pPr>
      <w:r>
        <w:rPr>
          <w:rFonts w:ascii="Cambria" w:cs="Cambria" w:eastAsia="Cambria" w:hAnsi="Cambria"/>
          <w:sz w:val="24"/>
          <w:szCs w:val="24"/>
        </w:rP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w:t>
      </w:r>
      <w:r>
        <w:rPr>
          <w:rFonts w:ascii="Cambria" w:cs="Cambria" w:eastAsia="Cambria" w:hAnsi="Cambria"/>
          <w:color w:val="E6007E"/>
          <w:sz w:val="24"/>
          <w:szCs w:val="24"/>
        </w:rPr>
        <w:t xml:space="preserve">The first four objectives establish the foundational trust-oriented authorisation mechanisms investigated during the current stage, RO5 has been operationalised in the current prototype, and the empirical component of RO6 has been delivered, so that only the formal component of RO6 remains for the next stage.</w:t>
      </w:r>
    </w:p>
    <w:p>
      <w:pPr>
        <w:pStyle w:val="Heading2"/>
        <w:spacing w:after="160" w:before="280"/>
      </w:pPr>
      <w:r>
        <w:rPr>
          <w:rFonts w:ascii="Cambria" w:cs="Cambria" w:eastAsia="Cambria" w:hAnsi="Cambria"/>
          <w:sz w:val="24"/>
          <w:szCs w:val="24"/>
        </w:rP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rPr>
          <w:rFonts w:ascii="Cambria" w:cs="Cambria" w:eastAsia="Cambria" w:hAnsi="Cambria"/>
          <w:sz w:val="24"/>
          <w:szCs w:val="24"/>
        </w:rP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rPr>
          <w:rFonts w:ascii="Cambria" w:cs="Cambria" w:eastAsia="Cambria" w:hAnsi="Cambria"/>
          <w:sz w:val="24"/>
          <w:szCs w:val="24"/>
        </w:rPr>
        <w:t xml:space="preserve">4.3  RO3 - Trustworthy Multi-Party Authorisation</w:t>
      </w:r>
    </w:p>
    <w:p>
      <w:pPr>
        <w:spacing w:after="140" w:line="300"/>
        <w:jc w:val="both"/>
      </w:pPr>
      <w:r>
        <w:rPr>
          <w:rFonts w:ascii="Cambria" w:cs="Cambria" w:eastAsia="Cambria" w:hAnsi="Cambria"/>
          <w:color w:val="000000"/>
          <w:sz w:val="24"/>
          <w:szCs w:val="24"/>
        </w:rPr>
        <w:t xml:space="preserve">The implemented mechanism defines the designated guardians at consent creation, verifies each EIP-712 approval through signature recovery, and requires a valid signature from every listed guardian. Consequently, the threshold equals |G|, an N-of-N condition demonstrated in the 2-of-2 configuration.</w:t>
      </w:r>
    </w:p>
    <w:p>
      <w:pPr>
        <w:spacing w:after="140" w:line="300"/>
        <w:jc w:val="both"/>
      </w:pPr>
      <w:r>
        <w:rPr>
          <w:rFonts w:ascii="Cambria" w:cs="Cambria" w:eastAsia="Cambria" w:hAnsi="Cambria"/>
          <w:sz w:val="24"/>
          <w:szCs w:val="24"/>
        </w:rPr>
        <w:t xml:space="preserve">The third research objective is to develop a threshold-based multi-party authorisation mechanism through which multiple independently verified participants can jointly establish a trustworthy consent decision.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rPr>
          <w:rFonts w:ascii="Cambria" w:cs="Cambria" w:eastAsia="Cambria" w:hAnsi="Cambria"/>
          <w:sz w:val="24"/>
          <w:szCs w:val="24"/>
        </w:rPr>
        <w:t xml:space="preserve">4.4  RO4 - Policy- and Context-Aware Access Control</w:t>
      </w:r>
    </w:p>
    <w:p>
      <w:pPr>
        <w:spacing w:after="140" w:line="300"/>
        <w:jc w:val="both"/>
      </w:pPr>
      <w:r>
        <w:rPr>
          <w:rFonts w:ascii="Cambria" w:cs="Cambria" w:eastAsia="Cambria" w:hAnsi="Cambria"/>
          <w:color w:val="E6007E"/>
          <w:sz w:val="24"/>
          <w:szCs w:val="24"/>
        </w:rPr>
        <w:t xml:space="preserve">In the implemented framework, the policy mechanism evaluates whether the requested purpose is consistent with the consent</w:t>
      </w:r>
      <w:r>
        <w:rPr>
          <w:rFonts w:ascii="Cambria" w:cs="Cambria" w:eastAsia="Cambria" w:hAnsi="Cambria"/>
          <w:color w:val="000000"/>
          <w:sz w:val="24"/>
          <w:szCs w:val="24"/>
        </w:rPr>
        <w:t xml:space="preserve"> and rejects any request whose data scope is not a non-empty subset of the authorised EMR modules.</w:t>
      </w:r>
    </w:p>
    <w:p>
      <w:pPr>
        <w:spacing w:after="140" w:line="300"/>
        <w:jc w:val="both"/>
      </w:pPr>
      <w:r>
        <w:rPr>
          <w:rFonts w:ascii="Cambria" w:cs="Cambria" w:eastAsia="Cambria" w:hAnsi="Cambria"/>
          <w:sz w:val="24"/>
          <w:szCs w:val="24"/>
        </w:rPr>
        <w:t xml:space="preserve">The fourth research objective is to develop a policy-aware authorisation mechanism that evaluates the purpose and data scope of a requested operation against the constraints defined by the consent.</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Together, RO1–RO4 establish the representation, verification, collective authorisation, and policy-enforcement mechanisms required for a trust-oriented healthcare data-sharing decision.</w:t>
      </w:r>
    </w:p>
    <w:p>
      <w:pPr>
        <w:pStyle w:val="Heading2"/>
        <w:spacing w:after="160" w:before="280"/>
      </w:pPr>
      <w:r>
        <w:rPr>
          <w:rFonts w:ascii="Cambria" w:cs="Cambria" w:eastAsia="Cambria" w:hAnsi="Cambria"/>
          <w:sz w:val="24"/>
          <w:szCs w:val="24"/>
        </w:rPr>
        <w:t xml:space="preserve">4.5  RO5 - Temporal and Lifecycle Trust</w:t>
      </w:r>
    </w:p>
    <w:p>
      <w:pPr>
        <w:spacing w:after="140" w:line="300"/>
        <w:jc w:val="both"/>
      </w:pPr>
      <w:r>
        <w:rPr>
          <w:rFonts w:ascii="Cambria" w:cs="Cambria" w:eastAsia="Cambria" w:hAnsi="Cambria"/>
          <w:color w:val="000000"/>
          <w:sz w:val="24"/>
          <w:szCs w:val="24"/>
        </w:rPr>
        <w:t xml:space="preserve">This objective has been substantially realised in the current implementation. In particular, the prototype enforces the temporal validity window at every access decision through the predicate VT, records notBefore and expiry on-chain within the consent token, implements end-to-end revocation including an on-chain revoke transaction, and manages the consent through an explicit lifecycle state machine. The remaining work therefore concerns hardening these controls rather than introducing them.</w:t>
      </w:r>
    </w:p>
    <w:p>
      <w:pPr>
        <w:spacing w:after="140" w:line="300"/>
        <w:jc w:val="both"/>
      </w:pPr>
      <w:r>
        <w:rPr>
          <w:rFonts w:ascii="Cambria" w:cs="Cambria" w:eastAsia="Cambria" w:hAnsi="Cambria"/>
          <w:sz w:val="24"/>
          <w:szCs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 investigates whether that authorisation remains valid as time passes and as the consent state changes.</w:t>
      </w:r>
    </w:p>
    <w:p>
      <w:pPr>
        <w:pStyle w:val="Heading2"/>
        <w:spacing w:after="160" w:before="280"/>
      </w:pPr>
      <w:r>
        <w:rPr>
          <w:rFonts w:ascii="Cambria" w:cs="Cambria" w:eastAsia="Cambria" w:hAnsi="Cambria"/>
          <w:sz w:val="24"/>
          <w:szCs w:val="24"/>
        </w:rPr>
        <w:t xml:space="preserve">4.6  RO6 - Formal Security Assurance and Empirical Validation</w:t>
      </w:r>
    </w:p>
    <w:p>
      <w:pPr>
        <w:spacing w:after="140" w:line="300"/>
        <w:jc w:val="both"/>
      </w:pPr>
      <w:r>
        <w:rPr>
          <w:rFonts w:ascii="Cambria" w:cs="Cambria" w:eastAsia="Cambria" w:hAnsi="Cambria"/>
          <w:color w:val="000000"/>
          <w:sz w:val="24"/>
          <w:szCs w:val="24"/>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Consequently, the complete formal analysis, whether through proofs or model checking of the stated properties, remains the subject of the next stage research.</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sz w:val="24"/>
          <w:szCs w:val="24"/>
        </w:rP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spacing w:after="140" w:line="300"/>
        <w:jc w:val="both"/>
      </w:pPr>
      <w:r>
        <w:rPr>
          <w:rFonts w:ascii="Cambria" w:cs="Cambria" w:eastAsia="Cambria" w:hAnsi="Cambria"/>
          <w:color w:val="E6007E"/>
          <w:sz w:val="24"/>
          <w:szCs w:val="24"/>
        </w:rPr>
        <w:t xml:space="preserve">In particular,</w:t>
      </w:r>
      <w:r>
        <w:rPr>
          <w:rFonts w:ascii="Cambria" w:cs="Cambria" w:eastAsia="Cambria" w:hAnsi="Cambria"/>
          <w:color w:val="000000"/>
          <w:sz w:val="24"/>
          <w:szCs w:val="24"/>
        </w:rPr>
        <w:t xml:space="preserve"> 23 automated tests cover per-dimension failures of the decision matrix, rejection of invalid EIP-712 signatures,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spacing w:after="140" w:line="300"/>
        <w:jc w:val="both"/>
      </w:pPr>
      <w:r>
        <w:rPr>
          <w:rFonts w:ascii="Cambria" w:cs="Cambria" w:eastAsia="Cambria" w:hAnsi="Cambria"/>
          <w:sz w:val="24"/>
          <w:szCs w:val="24"/>
        </w:rP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w:t>
      </w:r>
    </w:p>
    <w:p>
      <w:pPr>
        <w:pStyle w:val="Heading2"/>
        <w:spacing w:after="160" w:before="280"/>
      </w:pPr>
      <w:r>
        <w:rPr>
          <w:rFonts w:ascii="Cambria" w:cs="Cambria" w:eastAsia="Cambria" w:hAnsi="Cambria"/>
          <w:sz w:val="24"/>
          <w:szCs w:val="24"/>
        </w:rPr>
        <w:t xml:space="preserve">4.7  Relationship Between Research Questions and Objectives</w:t>
      </w:r>
    </w:p>
    <w:p>
      <w:pPr>
        <w:spacing w:after="140" w:line="300"/>
        <w:jc w:val="both"/>
      </w:pPr>
      <w:r>
        <w:rPr>
          <w:rFonts w:ascii="Cambria" w:cs="Cambria" w:eastAsia="Cambria" w:hAnsi="Cambria"/>
          <w:color w:val="000000"/>
          <w:sz w:val="24"/>
          <w:szCs w:val="24"/>
        </w:rPr>
        <w:t xml:space="preserve">The current stage delivers RO1–RO5 in operational form together with the empirical component of RO6, including negative and adversarial testing. Consequently, the principal remaining agenda for CA3 is the formal component of RO6, namely the formal specification and analysis of the security properties, together with the identified prototype hardening.</w:t>
      </w:r>
    </w:p>
    <w:p>
      <w:pPr>
        <w:spacing w:after="140" w:line="300"/>
        <w:jc w:val="both"/>
      </w:pPr>
      <w:r>
        <w:rPr>
          <w:rFonts w:ascii="Cambria" w:cs="Cambria" w:eastAsia="Cambria" w:hAnsi="Cambria"/>
          <w:color w:val="E6007E"/>
          <w:sz w:val="24"/>
          <w:szCs w:val="24"/>
        </w:rPr>
        <w:t xml:space="preserve">The relationship between the six research questions and the six research objectives is summarised in Table 10 and Table 11, in which the last column names the section of this report where each objective is realised.</w:t>
      </w:r>
    </w:p>
    <w:p>
      <w:pPr>
        <w:spacing w:after="140" w:line="300"/>
        <w:jc w:val="both"/>
      </w:pPr>
      <w:r>
        <w:rPr>
          <w:rFonts w:ascii="Cambria" w:cs="Cambria" w:eastAsia="Cambria" w:hAnsi="Cambria"/>
          <w:color w:val="E6007E"/>
          <w:sz w:val="24"/>
          <w:szCs w:val="24"/>
        </w:rPr>
        <w:t xml:space="preserve">The formal component of RO6 constitutes the principal research agenda for the next stage of the research, whereas RO5 has already been operationalised in the current prototype.</w:t>
      </w:r>
      <w:r>
        <w:rPr>
          <w:rFonts w:ascii="Cambria" w:cs="Cambria" w:eastAsia="Cambria" w:hAnsi="Cambria"/>
          <w:sz w:val="24"/>
          <w:szCs w:val="24"/>
        </w:rPr>
        <w:t xml:space="preserve"> RO5 extends the authorisation model with temporal and lifecycle trust, while RO6 provides formal security assurance and comprehensive empirical validation. The distinction between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is therefore based on research scope and maturity rather than on a different set of research questions or objectives. </w:t>
      </w:r>
      <w:r>
        <w:rPr>
          <w:rFonts w:ascii="Cambria" w:cs="Cambria" w:eastAsia="Cambria" w:hAnsi="Cambria"/>
          <w:color w:val="E6007E"/>
          <w:sz w:val="24"/>
          <w:szCs w:val="24"/>
        </w:rPr>
        <w:t xml:space="preserve">The current stage establishes the foundational mechanisms, their conceptual relationships and their operational lifecycle controls, whereas the next stage investigates whether these mechanisms remain reliable under dynamic lifecycle conditions and whether their security and practical effectiveness can be formally and empirically demonstrated.</w:t>
      </w:r>
    </w:p>
    <w:p>
      <w:pPr>
        <w:keepNext/>
        <w:spacing w:after="80" w:before="160"/>
        <w:jc w:val="center"/>
      </w:pPr>
      <w:r>
        <w:rPr>
          <w:rFonts w:ascii="Cambria" w:cs="Cambria" w:eastAsia="Cambria" w:hAnsi="Cambria"/>
          <w:b/>
          <w:bCs/>
          <w:color w:val="000000"/>
          <w:sz w:val="21"/>
          <w:szCs w:val="21"/>
        </w:rPr>
        <w:t xml:space="preserve">Table 10: </w:t>
      </w:r>
      <w:r>
        <w:rPr>
          <w:rFonts w:ascii="Cambria" w:cs="Cambria" w:eastAsia="Cambria" w:hAnsi="Cambria"/>
          <w:color w:val="E6007E"/>
          <w:sz w:val="21"/>
          <w:szCs w:val="21"/>
        </w:rPr>
        <w:t xml:space="preserve">Research Questions, Research Objectives, and Report Sections (RQ1 to RQ3)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E6007E"/>
                <w:sz w:val="19"/>
                <w:szCs w:val="19"/>
              </w:rPr>
              <w:t xml:space="preserve">Report Section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6.1 (progress in Section 7.1)</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6.2 (progress in Section 7.2)</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6.3 (progress in Section 7.3)</w:t>
            </w:r>
          </w:p>
        </w:tc>
      </w:tr>
    </w:tbl>
    <w:p>
      <w:pPr>
        <w:spacing w:after="180"/>
      </w:pPr>
    </w:p>
    <w:p>
      <w:pPr>
        <w:keepNext/>
        <w:spacing w:after="80" w:before="160"/>
        <w:jc w:val="center"/>
      </w:pPr>
      <w:r>
        <w:rPr>
          <w:rFonts w:ascii="Cambria" w:cs="Cambria" w:eastAsia="Cambria" w:hAnsi="Cambria"/>
          <w:b/>
          <w:bCs/>
          <w:color w:val="000000"/>
          <w:sz w:val="21"/>
          <w:szCs w:val="21"/>
        </w:rPr>
        <w:t xml:space="preserve">Table 11: </w:t>
      </w:r>
      <w:r>
        <w:rPr>
          <w:rFonts w:ascii="Cambria" w:cs="Cambria" w:eastAsia="Cambria" w:hAnsi="Cambria"/>
          <w:color w:val="E6007E"/>
          <w:sz w:val="21"/>
          <w:szCs w:val="21"/>
        </w:rPr>
        <w:t xml:space="preserve">Research Questions, Research Objectives, and Report Sections (RQ4 to RQ6)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E6007E"/>
                <w:sz w:val="19"/>
                <w:szCs w:val="19"/>
              </w:rPr>
              <w:t xml:space="preserve">Report Section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6.4 (progress in Section 7.4)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Temporal validity, expiration, revocation and controlled state transitions, enforced in the current prototype and anchored on-chain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6.5 (progress in Section 7.5)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Formal analysis of the security properties (next stage), building upon the empirical negative and adversarial testing already performed with the HALAH prototype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6.6 (progress in Section 7.6)</w:t>
            </w:r>
          </w:p>
        </w:tc>
      </w:tr>
    </w:tbl>
    <w:p>
      <w:pPr>
        <w:spacing w:after="180"/>
      </w:pPr>
    </w:p>
    <w:p>
      <w:pPr>
        <w:spacing w:after="140" w:line="300"/>
        <w:jc w:val="both"/>
      </w:pPr>
      <w:r>
        <w:rPr>
          <w:rFonts w:ascii="Cambria" w:cs="Cambria" w:eastAsia="Cambria" w:hAnsi="Cambria"/>
          <w:sz w:val="24"/>
          <w:szCs w:val="24"/>
        </w:rP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through which these conditions can be represented, evaluated, enforced, and ultimately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(29)</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w:t>
      </w:r>
      <w:r>
        <w:rPr>
          <w:rFonts w:ascii="Cambria" w:cs="Cambria" w:eastAsia="Cambria" w:hAnsi="Cambria"/>
          <w:color w:val="E6007E"/>
          <w:sz w:val="24"/>
          <w:szCs w:val="24"/>
        </w:rPr>
        <w:t xml:space="preserve">The implemented decision model incorporates the temporal and jurisdictional conditions as follows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(30)</w:t>
      </w:r>
    </w:p>
    <w:p>
      <w:pPr>
        <w:spacing w:after="140" w:line="300"/>
        <w:jc w:val="both"/>
      </w:pPr>
      <w:r>
        <w:rPr>
          <w:rFonts w:ascii="Cambria" w:cs="Cambria" w:eastAsia="Cambria" w:hAnsi="Cambria"/>
          <w:color w:val="E6007E"/>
          <w:sz w:val="24"/>
          <w:szCs w:val="24"/>
        </w:rPr>
        <w:t xml:space="preserve">where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(C, t) represents temporal validity and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(C) represents jurisdictional compliance, while the lifecycle state and its transitions are evaluated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(C), as stated in Section 3.4 and Section 6.5.</w:t>
      </w:r>
      <w:r>
        <w:rPr>
          <w:rFonts w:ascii="Cambria" w:cs="Cambria" w:eastAsia="Cambria" w:hAnsi="Cambria"/>
          <w:sz w:val="24"/>
          <w:szCs w:val="24"/>
        </w:rPr>
        <w:t xml:space="preserve"> </w:t>
      </w:r>
      <w:r>
        <w:rPr>
          <w:rFonts w:ascii="Cambria" w:cs="Cambria" w:eastAsia="Cambria" w:hAnsi="Cambria"/>
          <w:color w:val="E6007E"/>
          <w:sz w:val="24"/>
          <w:szCs w:val="24"/>
        </w:rPr>
        <w:t xml:space="preserve">This formulation provides a consistent connection between the foundational objectives RO1 to RO4, the operational lifecycle controls of RO5 and the assurance objective RO6, whose formal component is planned for the next stage of the research.</w:t>
      </w:r>
    </w:p>
    <w:p>
      <w:pPr>
        <w:pStyle w:val="Heading1"/>
        <w:pageBreakBefore/>
        <w:spacing w:after="160" w:before="400"/>
      </w:pPr>
      <w:r>
        <w:rPr>
          <w:rFonts w:ascii="Cambria" w:cs="Cambria" w:eastAsia="Cambria" w:hAnsi="Cambria"/>
          <w:sz w:val="24"/>
          <w:szCs w:val="24"/>
        </w:rP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rPr>
          <w:rFonts w:ascii="Cambria" w:cs="Cambria" w:eastAsia="Cambria" w:hAnsi="Cambria"/>
          <w:sz w:val="24"/>
          <w:szCs w:val="24"/>
        </w:rP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6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w:t>
      </w:r>
      <w:r>
        <w:rPr>
          <w:rFonts w:ascii="Cambria" w:cs="Cambria" w:eastAsia="Cambria" w:hAnsi="Cambria"/>
          <w:color w:val="E6007E"/>
          <w:sz w:val="24"/>
          <w:szCs w:val="24"/>
        </w:rPr>
        <w:t xml:space="preserve">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spacing w:after="140" w:line="300"/>
        <w:jc w:val="both"/>
      </w:pPr>
      <w:r>
        <w:rPr>
          <w:rFonts w:ascii="Cambria" w:cs="Cambria" w:eastAsia="Cambria" w:hAnsi="Cambria"/>
          <w:color w:val="0000CC"/>
          <w:sz w:val="24"/>
          <w:szCs w:val="24"/>
        </w:rPr>
        <w:t xml:space="preserve">MVC was selected in preference to a purely on-chain design because the authorisation decision must combine identity, threshold, policy, temporal and jurisdictional evaluation performed by the Controller with the anchoring of consent state on the blockchain, and because the pattern allows each stakeholder interface to be replaced without altering the enforcement logic, which is necessary for evaluating the trust predicates independently of any particular user interface.</w:t>
      </w:r>
    </w:p>
    <w:p>
      <w:pPr>
        <w:keepNext/>
        <w:spacing w:after="60" w:before="140"/>
        <w:jc w:val="center"/>
      </w:pPr>
      <w:r>
        <w:drawing>
          <wp:inline distT="0" distB="0" distL="0" distR="0">
            <wp:extent cx="5715000" cy="3543300"/>
            <wp:effectExtent t="0" r="0" b="0" l="0"/>
            <wp:docPr id="1" name="fig3.png" descr="Figure 6: Layered MVC Architecture and Component Decomposition of the HALAH Framework" title="Figure 6: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Layered MVC Architecture and Component Decomposition of the HALAH Framework</w:t>
      </w:r>
    </w:p>
    <w:p>
      <w:pPr>
        <w:jc w:val="center"/>
      </w:pPr>
      <w:r>
        <w:rPr>
          <w:rFonts w:ascii="Cambria" w:cs="Cambria" w:eastAsia="Cambria" w:hAnsi="Cambria"/>
          <w:i/>
          <w:iCs/>
          <w:sz w:val="20"/>
          <w:szCs w:val="20"/>
        </w:rPr>
        <w:t xml:space="preserve">[Figure 6: Layered MVC Architecture and Component Decomposition of the HALAH Framework]</w:t>
      </w:r>
    </w:p>
    <w:p>
      <w:pPr>
        <w:spacing w:after="140" w:line="300"/>
        <w:jc w:val="both"/>
      </w:pPr>
      <w:r>
        <w:rPr>
          <w:rFonts w:ascii="Cambria" w:cs="Cambria" w:eastAsia="Cambria" w:hAnsi="Cambria"/>
          <w:color w:val="000000"/>
          <w:sz w:val="24"/>
          <w:szCs w:val="24"/>
        </w:rPr>
        <w:t xml:space="preserve">The Controller layer additionally incorporates a ZK Proof Service, responsible for Groth16 proof generation and verification and feeding directly into the Authorisation Decision, together with an On-chain Anchor Service that performs asynchronous minting and revocation; correspondingly, the Model layer contains the ConsentSBTv3 contract deployed on Sepolia alongside the SQLite Audit Ledger, a revocation path flows from the Patient interface through the Controller to both the ledger and the contract, and an external independent verifier, verify_poc, reads from both the audit ledger and the Sepolia chain.</w:t>
      </w:r>
    </w:p>
    <w:p>
      <w:pPr>
        <w:spacing w:after="140" w:line="300"/>
        <w:jc w:val="both"/>
      </w:pPr>
      <w:r>
        <w:rPr>
          <w:rFonts w:ascii="Cambria" w:cs="Cambria" w:eastAsia="Cambria" w:hAnsi="Cambria"/>
          <w:color w:val="000000"/>
          <w:sz w:val="24"/>
          <w:szCs w:val="24"/>
        </w:rPr>
        <w:t xml:space="preserve">It should be acknowledged that, in the present prototype, credential verification consists of a structural well-formedness check on each DID, and the requester's role and jurisdiction are self-declared. This is important because wallet-held signing keys and authenticated verifiable credentials are deferred to the production design and are therefore identified as future work. </w:t>
      </w:r>
      <w:r>
        <w:rPr>
          <w:rFonts w:ascii="Cambria" w:cs="Cambria" w:eastAsia="Cambria" w:hAnsi="Cambria"/>
          <w:color w:val="0000CC"/>
          <w:sz w:val="24"/>
          <w:szCs w:val="24"/>
        </w:rPr>
        <w:t xml:space="preserve">Guardian approvals are nevertheless verified cryptographically in the prototype through EIP-712 typed-data signatures bound to the consent identifier, so that the multi-party threshold of Section 5.6 is enforced over signed approvals rather than over interface actions, as described in Section 6.8.</w:t>
      </w:r>
    </w:p>
    <w:p>
      <w:pPr>
        <w:pStyle w:val="Heading3"/>
        <w:spacing w:after="160" w:before="280"/>
      </w:pPr>
      <w:r>
        <w:rPr>
          <w:rFonts w:ascii="Cambria" w:cs="Cambria" w:eastAsia="Cambria" w:hAnsi="Cambria"/>
          <w:sz w:val="24"/>
          <w:szCs w:val="24"/>
        </w:rPr>
        <w:t xml:space="preserve">5.1.1  MVC Component Decomposition</w:t>
      </w:r>
    </w:p>
    <w:p>
      <w:pPr>
        <w:spacing w:after="140" w:line="300"/>
        <w:jc w:val="both"/>
      </w:pPr>
      <w:r>
        <w:rPr>
          <w:rFonts w:ascii="Cambria" w:cs="Cambria" w:eastAsia="Cambria" w:hAnsi="Cambria"/>
          <w:color w:val="000000"/>
          <w:sz w:val="24"/>
          <w:szCs w:val="24"/>
        </w:rPr>
        <w:t xml:space="preserve">The Controller layer therefore comprises eight principal functions, the two additional functions being Cryptographic Proof Generation and Verification, realised through the Groth16 proving system, and On-chain Anchoring and State Synchronisation, which performs the Sepolia mint and revoke operations as a background process; the Controller row of Figure 7 reflects these eight functions accordingly.</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7 presents this decomposition. The View is decomposed according to the principal stakeholder</w:t>
      </w:r>
    </w:p>
    <w:p>
      <w:pPr>
        <w:keepNext/>
        <w:spacing w:after="60" w:before="140"/>
        <w:jc w:val="center"/>
      </w:pPr>
      <w:r>
        <w:drawing>
          <wp:inline distT="0" distB="0" distL="0" distR="0">
            <wp:extent cx="5715000" cy="2171700"/>
            <wp:effectExtent t="0" r="0" b="0" l="0"/>
            <wp:docPr id="1" name="fig4.png" descr="Figure 7: Functional Decomposition of the MVC Components" title="Figure 7: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Functional Decomposition of the MVC Components</w:t>
      </w:r>
    </w:p>
    <w:p>
      <w:pPr>
        <w:jc w:val="center"/>
      </w:pPr>
      <w:r>
        <w:rPr>
          <w:rFonts w:ascii="Cambria" w:cs="Cambria" w:eastAsia="Cambria" w:hAnsi="Cambria"/>
          <w:i/>
          <w:iCs/>
          <w:sz w:val="20"/>
          <w:szCs w:val="20"/>
        </w:rPr>
        <w:t xml:space="preserve">[Figure 7: Functional Decomposition of the MVC Components]</w:t>
      </w:r>
    </w:p>
    <w:p>
      <w:pPr>
        <w:spacing w:after="140" w:line="300"/>
        <w:jc w:val="both"/>
      </w:pPr>
      <w:r>
        <w:rPr>
          <w:rFonts w:ascii="Cambria" w:cs="Cambria" w:eastAsia="Cambria" w:hAnsi="Cambria"/>
          <w:sz w:val="24"/>
          <w:szCs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spacing w:after="140" w:line="300"/>
        <w:jc w:val="both"/>
      </w:pPr>
      <w:r>
        <w:rPr>
          <w:rFonts w:ascii="Cambria" w:cs="Cambria" w:eastAsia="Cambria" w:hAnsi="Cambria"/>
          <w:sz w:val="24"/>
          <w:szCs w:val="24"/>
        </w:rPr>
        <w:t xml:space="preserve">different interaction responsibilities but share the same architectural principle: none of them independently determines whether access should be granted. </w:t>
      </w:r>
      <w:r>
        <w:rPr>
          <w:rFonts w:ascii="Cambria" w:cs="Cambria" w:eastAsia="Cambria" w:hAnsi="Cambria"/>
          <w:color w:val="E6007E"/>
          <w:sz w:val="24"/>
          <w:szCs w:val="24"/>
        </w:rPr>
        <w:t xml:space="preserve">The Controller is decomposed into six principal security functions in the conceptual model, which the implemented prototype extends to the eight functions noted above.</w:t>
      </w:r>
      <w:r>
        <w:rPr>
          <w:rFonts w:ascii="Cambria" w:cs="Cambria" w:eastAsia="Cambria" w:hAnsi="Cambria"/>
          <w:sz w:val="24"/>
          <w:szCs w:val="24"/>
        </w:rPr>
        <w:t xml:space="preserve">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pStyle w:val="Heading3"/>
        <w:spacing w:after="160" w:before="280"/>
      </w:pPr>
      <w:r>
        <w:rPr>
          <w:rFonts w:ascii="Cambria" w:cs="Cambria" w:eastAsia="Cambria" w:hAnsi="Cambria"/>
          <w:sz w:val="24"/>
          <w:szCs w:val="24"/>
        </w:rP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The relationship between the MVC components and the trust predicates introduced by SRQ1–SRQ5 is illustrated in Figure 8. Figure 8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determines whether the jurisdictional constraint recorded in the consent is satisfied; lifecycle validity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w:t>
      </w:r>
      <w:r>
        <w:rPr>
          <w:rFonts w:ascii="Cambria" w:cs="Cambria" w:eastAsia="Cambria" w:hAnsi="Cambria"/>
          <w:color w:val="E6007E"/>
          <w:sz w:val="24"/>
          <w:szCs w:val="24"/>
        </w:rPr>
        <w:t xml:space="preserve">The integrated decision can therefore be expressed as Eq. (31).</w:t>
      </w:r>
    </w:p>
    <w:p>
      <w:pPr>
        <w:spacing w:after="140" w:line="300"/>
        <w:jc w:val="both"/>
      </w:pP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verifies that the jurisdiction j declared by the requester matches the jurisdiction L recorded within the consent object. This distinction is important because revocation and lifecycle state are not enforced by this function but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Consequently, the corresponding component in Figure 8 is depicted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j), the jurisdiction verification function, where j = Jur(R) is the jurisdiction declared in the request; this is the same predicate written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R) in Eq. (64) and abbreviated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in Eq. (31).</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(31)</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(32)</w:t>
      </w:r>
    </w:p>
    <w:p>
      <w:pPr>
        <w:keepNext/>
        <w:spacing w:after="60" w:before="140"/>
        <w:jc w:val="center"/>
      </w:pPr>
      <w:r>
        <w:drawing>
          <wp:inline distT="0" distB="0" distL="0" distR="0">
            <wp:extent cx="3619500" cy="5114925"/>
            <wp:effectExtent t="0" r="0" b="0" l="0"/>
            <wp:docPr id="1" name="fig5.png" descr="Figure 8: Trust Predicate Evaluation and Authorisation Decision Flow" title="Figure 8: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5114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Trust Predicate Evaluation and Authorisation Decision Flow</w:t>
      </w:r>
    </w:p>
    <w:p>
      <w:pPr>
        <w:jc w:val="center"/>
      </w:pPr>
      <w:r>
        <w:rPr>
          <w:rFonts w:ascii="Cambria" w:cs="Cambria" w:eastAsia="Cambria" w:hAnsi="Cambria"/>
          <w:i/>
          <w:iCs/>
          <w:sz w:val="20"/>
          <w:szCs w:val="20"/>
        </w:rPr>
        <w:t xml:space="preserve">[Figure 8: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This ensures that the architecture supports not only access enforcement but also accountability and subsequent verification.</w:t>
      </w:r>
    </w:p>
    <w:p>
      <w:pPr>
        <w:pStyle w:val="Heading3"/>
        <w:spacing w:after="160" w:before="280"/>
      </w:pPr>
      <w:r>
        <w:rPr>
          <w:rFonts w:ascii="Cambria" w:cs="Cambria" w:eastAsia="Cambria" w:hAnsi="Cambria"/>
          <w:sz w:val="24"/>
          <w:szCs w:val="24"/>
        </w:rP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w:t>
      </w:r>
      <w:r>
        <w:rPr>
          <w:rFonts w:ascii="Cambria" w:cs="Cambria" w:eastAsia="Cambria" w:hAnsi="Cambria"/>
          <w:color w:val="000000"/>
          <w:sz w:val="24"/>
          <w:szCs w:val="24"/>
        </w:rPr>
        <w:t xml:space="preserve">follows</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rPr>
          <w:rFonts w:ascii="Cambria" w:cs="Cambria" w:eastAsia="Cambria" w:hAnsi="Cambria"/>
          <w:sz w:val="24"/>
          <w:szCs w:val="24"/>
        </w:rP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spacing w:after="140" w:line="300"/>
        <w:jc w:val="both"/>
      </w:pPr>
      <w:r>
        <w:rPr>
          <w:rFonts w:ascii="Cambria" w:cs="Cambria" w:eastAsia="Cambria" w:hAnsi="Cambria"/>
          <w:color w:val="0000CC"/>
          <w:sz w:val="24"/>
          <w:szCs w:val="24"/>
        </w:rPr>
        <w:t xml:space="preserve">It should also be noted that, in the present prototype, the Controller is realised as a single trusted server that both evaluates the predicates and writes the audit ledger. Therefore, the on-chain anchoring of consent state and the independent verifier verify_poc described in Section 6.8 provide the external evidence against which the Controller's own records can be checked.</w:t>
      </w:r>
    </w:p>
    <w:p>
      <w:pPr>
        <w:pStyle w:val="Heading2"/>
        <w:spacing w:after="160" w:before="280"/>
      </w:pPr>
      <w:r>
        <w:rPr>
          <w:rFonts w:ascii="Cambria" w:cs="Cambria" w:eastAsia="Cambria" w:hAnsi="Cambria"/>
          <w:sz w:val="24"/>
          <w:szCs w:val="24"/>
        </w:rPr>
        <w:t xml:space="preserve">5.2  Trust-Oriented Consent Authorisation Workflow</w:t>
      </w:r>
    </w:p>
    <w:p>
      <w:pPr>
        <w:spacing w:after="140" w:line="300"/>
        <w:jc w:val="both"/>
      </w:pPr>
      <w:r>
        <w:rPr>
          <w:rFonts w:ascii="Cambria" w:cs="Cambria" w:eastAsia="Cambria" w:hAnsi="Cambria"/>
          <w:sz w:val="24"/>
          <w:szCs w:val="24"/>
        </w:rPr>
        <w:t xml:space="preserve">Figure 9 presents the end-to-end workflow of the proposed trust-oriented patient consent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w:t>
      </w:r>
      <w:r>
        <w:rPr>
          <w:rFonts w:ascii="Cambria" w:cs="Cambria" w:eastAsia="Cambria" w:hAnsi="Cambria"/>
          <w:color w:val="E6007E"/>
          <w:sz w:val="24"/>
          <w:szCs w:val="24"/>
        </w:rPr>
        <w:t xml:space="preserve">The workflow operationalises the central premise of this research</w:t>
      </w:r>
      <w:r>
        <w:rPr>
          <w:rFonts w:ascii="Cambria" w:cs="Cambria" w:eastAsia="Cambria" w:hAnsi="Cambria"/>
          <w:sz w:val="24"/>
          <w:szCs w:val="24"/>
        </w:rPr>
        <w:t xml:space="preserve">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Accordingly, the proposed workflow transforms a patient’s consent from a static permission record into an evaluable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conditions. This step establishes what the patient intends to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 and provides the policy context against which subsequent access requests can be evaluated. Therefore, consent is not represented merely as an approval flag, but as a structured object containing the information required for subsequent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decisions. The next stage performs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authority verification </w:t>
      </w:r>
      <w:r>
        <w:rPr>
          <w:rFonts w:ascii="Cambria" w:cs="Cambria" w:eastAsia="Cambria" w:hAnsi="Cambria"/>
          <w:color w:val="E6007E"/>
          <w:sz w:val="24"/>
          <w:szCs w:val="24"/>
        </w:rPr>
        <w:t xml:space="preserve">using Decentralised Identifiers (DIDs) and Verifiable Credentials (VCs) [20].</w:t>
      </w:r>
      <w:r>
        <w:rPr>
          <w:rFonts w:ascii="Cambria" w:cs="Cambria" w:eastAsia="Cambria" w:hAnsi="Cambria"/>
          <w:sz w:val="24"/>
          <w:szCs w:val="24"/>
        </w:rPr>
        <w:t xml:space="preserve"> The purpose of this stage is to establish both the identity of the participant and the evidence supporting the participant’s claimed role or authority. Importantly, the framework explicitly separates identity authentication from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participant. After identity and authority verification, the framework identifies the participants required to establish the consent decision.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requirement may involve multiple independent participants, such as a patient together with one or more guardians or other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parties. The framework then collects their independent approvals and evaluates whether the predefined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has been satisfied. Let Av denote the set of successfully verified approvals and let N denote the required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w:t>
      </w:r>
      <w:r>
        <w:rPr>
          <w:rFonts w:ascii="Cambria" w:cs="Cambria" w:eastAsia="Cambria" w:hAnsi="Cambria"/>
          <w:color w:val="E6007E"/>
          <w:sz w:val="24"/>
          <w:szCs w:val="24"/>
        </w:rPr>
        <w:t xml:space="preserve">Multi-party authorisation is satisfied when the threshold condition of Eq. (33) holds.</w:t>
      </w:r>
    </w:p>
    <w:p>
      <w:pPr>
        <w:keepNext/>
        <w:spacing w:after="60" w:before="140"/>
        <w:jc w:val="center"/>
      </w:pPr>
      <w:r>
        <w:drawing>
          <wp:inline distT="0" distB="0" distL="0" distR="0">
            <wp:extent cx="4000500" cy="6181725"/>
            <wp:effectExtent t="0" r="0" b="0" l="0"/>
            <wp:docPr id="1" name="fig6.png" descr="Figure 9: End-to-End Workflow of Trust-Oriented Consent Authorisation Framework" title="Figure 9: End-to-End Workflow of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6181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End-to-End Workflow of Trust-Oriented Consent Authorisation Framework</w:t>
      </w:r>
    </w:p>
    <w:p>
      <w:pPr>
        <w:jc w:val="center"/>
      </w:pPr>
      <w:r>
        <w:rPr>
          <w:rFonts w:ascii="Cambria" w:cs="Cambria" w:eastAsia="Cambria" w:hAnsi="Cambria"/>
          <w:i/>
          <w:iCs/>
          <w:sz w:val="20"/>
          <w:szCs w:val="20"/>
        </w:rPr>
        <w:t xml:space="preserve">[Figure 9: End-to-End Workflow of Trust-Oriented Consent Authorisation Framework]</w:t>
      </w:r>
    </w:p>
    <w:p>
      <w:pPr>
        <w:spacing w:after="140" w:line="300"/>
        <w:jc w:val="both"/>
      </w:pPr>
      <w:r>
        <w:rPr>
          <w:rFonts w:ascii="Cambria" w:cs="Cambria" w:eastAsia="Cambria" w:hAnsi="Cambria"/>
          <w:color w:val="000000"/>
          <w:sz w:val="24"/>
          <w:szCs w:val="24"/>
        </w:rPr>
        <w:t xml:space="preserve">Once all |G| guardians have signed, satisfying the N-of-N condition, the consent token is minted in the local ledger while a background job anchors the mint on Sepolia asynchronously; the temporal check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and the jurisdictional check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are then evaluated before the Authorisation Decision, a Groth16 proof is generated and verified on the ALLOW branch, and after the audit evidence is recorded the flow continues through patient-initiated revocation, the corresponding on-chain revoke transaction, and finally auditor review together with independent verification through verify_poc.</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(33)</w:t>
      </w:r>
    </w:p>
    <w:p>
      <w:pPr>
        <w:spacing w:after="140" w:line="300"/>
        <w:jc w:val="both"/>
      </w:pPr>
      <w:r>
        <w:rPr>
          <w:rFonts w:ascii="Cambria" w:cs="Cambria" w:eastAsia="Cambria" w:hAnsi="Cambria"/>
          <w:color w:val="000000"/>
          <w:sz w:val="24"/>
          <w:szCs w:val="24"/>
        </w:rPr>
        <w:t xml:space="preserve">In the implemented prototype the threshold is fixed at N = |G|, so that every listed guardian must provide a valid approval before activation; the evaluated configuration is therefore 2-of-2. Configurable k-of-n thresholds constitute a direct generalisation that is deferred to future work.</w:t>
      </w:r>
    </w:p>
    <w:p>
      <w:pPr>
        <w:spacing w:after="140" w:line="300"/>
        <w:jc w:val="both"/>
      </w:pPr>
      <w:r>
        <w:rPr>
          <w:rFonts w:ascii="Cambria" w:cs="Cambria" w:eastAsia="Cambria" w:hAnsi="Cambria"/>
          <w:sz w:val="24"/>
          <w:szCs w:val="24"/>
        </w:rPr>
        <w:t xml:space="preserve">If the required threshold is not satisfied,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process terminates with a denial decision. This prevents a single participant from unilaterally establishing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when the consent policy requires collective approval. When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Medication, a request additionally containing Procedure should not be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SR represents the requested data scope and SC represents the consent-</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scope. Similarly, the requested purpose must be consistent with the purpose specified in the consent. Consequently, a valid identity and sufficient multi-party approval are necessary but not sufficient conditions for access. The final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is therefore determined by the conjunction of identity and authority verification,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w:t>
      </w:r>
      <w:r>
        <w:rPr>
          <w:rFonts w:ascii="Cambria" w:cs="Cambria" w:eastAsia="Cambria" w:hAnsi="Cambria"/>
          <w:color w:val="E6007E"/>
          <w:sz w:val="24"/>
          <w:szCs w:val="24"/>
        </w:rPr>
        <w:t xml:space="preserve">For the foundational authorisation core established by RO1–RO4, the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and VP (C, R) represents compliance between the access request and the consent policy. If any of these conditions is false, the request is denied. Only when all required conditions are satisfied is healthcare data access granted. Finally, the framework records the resulting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evidence in the audit layer. Importantly, both successful and denied decisions should be recorded because a trustworthy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requires accountability not only for data that were released but also for access attempts that were rejected. The audit evidence can therefore provide a traceable record of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including the relevant consent, participants, policy evaluation, decision outcome, and associated evidence. In this manner, the workflow connects consent specification with identity trust, collective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policy enforcement, and accountability, providing the operational foundation of the proposed trust-oriented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w:t>
      </w:r>
    </w:p>
    <w:p>
      <w:pPr>
        <w:spacing w:after="140" w:line="300"/>
        <w:jc w:val="both"/>
      </w:pPr>
      <w:r>
        <w:rPr>
          <w:rFonts w:ascii="Cambria" w:cs="Cambria" w:eastAsia="Cambria" w:hAnsi="Cambria"/>
          <w:color w:val="0000CC"/>
          <w:sz w:val="24"/>
          <w:szCs w:val="24"/>
        </w:rPr>
        <w:t xml:space="preserve">It should be noted that Eq. (35) expresses the foundational core only. In the complete model, the temporal predicate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(C, t) and the jurisdictional predicate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(C) introduced by RO5 are conjoined with these three conditions, as shown in Eq. (31), and the implemented Controller evaluates all five predicates at every access request.</w:t>
      </w:r>
    </w:p>
    <w:p>
      <w:pPr>
        <w:pStyle w:val="Heading2"/>
        <w:spacing w:after="160" w:before="280"/>
      </w:pPr>
      <w:r>
        <w:rPr>
          <w:rFonts w:ascii="Cambria" w:cs="Cambria" w:eastAsia="Cambria" w:hAnsi="Cambria"/>
          <w:sz w:val="24"/>
          <w:szCs w:val="24"/>
        </w:rPr>
        <w:t xml:space="preserve">5.3  Model: Trust-Aware Consent and Authorisation Representation</w:t>
      </w:r>
    </w:p>
    <w:p>
      <w:pPr>
        <w:spacing w:after="140" w:line="300"/>
        <w:jc w:val="both"/>
      </w:pPr>
      <w:r>
        <w:rPr>
          <w:rFonts w:ascii="Cambria" w:cs="Cambria" w:eastAsia="Cambria" w:hAnsi="Cambria"/>
          <w:color w:val="000000"/>
          <w:sz w:val="24"/>
          <w:szCs w:val="24"/>
        </w:rPr>
        <w:t xml:space="preserve">The implementation realises this representation in full, including temporal validity, expiration, on-chain revocation and an explicit lifecycle state machine. Formal verification of the associated security properties, however, remains a matter for future work.</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w:t>
      </w:r>
    </w:p>
    <w:p>
      <w:pPr>
        <w:spacing w:after="140" w:line="300"/>
        <w:jc w:val="both"/>
      </w:pPr>
      <w:r>
        <w:rPr>
          <w:rFonts w:ascii="Cambria" w:cs="Cambria" w:eastAsia="Cambria" w:hAnsi="Cambria"/>
          <w:sz w:val="24"/>
          <w:szCs w:val="24"/>
        </w:rPr>
        <w:t xml:space="preserve">consent as a structured authorisation object that captures the security conditions under which healthcare data may be accessed. For the </w:t>
      </w:r>
      <w:r>
        <w:rPr>
          <w:rFonts w:ascii="Cambria" w:cs="Cambria" w:eastAsia="Cambria" w:hAnsi="Cambria"/>
          <w:color w:val="000000"/>
          <w:sz w:val="24"/>
          <w:szCs w:val="24"/>
        </w:rPr>
        <w:t xml:space="preserve">current stage</w:t>
      </w:r>
      <w:r>
        <w:rPr>
          <w:rFonts w:ascii="Cambria" w:cs="Cambria" w:eastAsia="Cambria" w:hAnsi="Cambria"/>
          <w:sz w:val="24"/>
          <w:szCs w:val="24"/>
        </w:rPr>
        <w:t xml:space="preserve"> scope, the core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(36)</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 both defined exactly as they are realised in the implementation.</w:t>
      </w:r>
    </w:p>
    <w:p>
      <w:pPr>
        <w:spacing w:after="140" w:line="300"/>
        <w:jc w:val="both"/>
      </w:pPr>
      <w:r>
        <w:rPr>
          <w:rFonts w:ascii="Cambria" w:cs="Cambria" w:eastAsia="Cambria" w:hAnsi="Cambria"/>
          <w:color w:val="E6007E"/>
          <w:sz w:val="24"/>
          <w:szCs w:val="24"/>
        </w:rPr>
        <w:t xml:space="preserve">In this representation, I represents identity-related information associated with the relevant participants,</w:t>
      </w:r>
      <w:r>
        <w:rPr>
          <w:rFonts w:ascii="Cambria" w:cs="Cambria" w:eastAsia="Cambria" w:hAnsi="Cambria"/>
          <w:sz w:val="24"/>
          <w:szCs w:val="24"/>
        </w:rPr>
        <w:t xml:space="preserve"> A represents the authorisation requirements that must be satisfied before access can be granted, P represents the policy conditions governing purpose and healthcare data scope, and E represents the evidence generated throughout the authorisation process.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w:t>
      </w:r>
      <w:r>
        <w:rPr>
          <w:rFonts w:ascii="Cambria" w:cs="Cambria" w:eastAsia="Cambria" w:hAnsi="Cambria"/>
          <w:color w:val="E6007E"/>
          <w:sz w:val="24"/>
          <w:szCs w:val="24"/>
        </w:rPr>
        <w:t xml:space="preserve">Let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denote the set of approvals submitted by participants whose identities and authority have been successfully verified,</w:t>
      </w:r>
      <w:r>
        <w:rPr>
          <w:rFonts w:ascii="Cambria" w:cs="Cambria" w:eastAsia="Cambria" w:hAnsi="Cambria"/>
          <w:sz w:val="24"/>
          <w:szCs w:val="24"/>
        </w:rPr>
        <w:t xml:space="preserve"> and let N denote the minimum required approval threshold. The authorisation condition can then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(37)</w:t>
      </w:r>
    </w:p>
    <w:p>
      <w:pPr>
        <w:spacing w:after="140" w:line="300"/>
        <w:jc w:val="both"/>
      </w:pPr>
      <w:r>
        <w:rPr>
          <w:rFonts w:ascii="Cambria" w:cs="Cambria" w:eastAsia="Cambria" w:hAnsi="Cambria"/>
          <w:sz w:val="24"/>
          <w:szCs w:val="24"/>
        </w:rP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 The policy component P 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 Let SC denote the healthcare data scope authorised by the consent object and SR denote the scope requested by an entity. Policy compliance requires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w:t>
      </w:r>
      <w:r>
        <w:rPr>
          <w:rFonts w:ascii="Cambria" w:cs="Cambria" w:eastAsia="Cambria" w:hAnsi="Cambria"/>
          <w:color w:val="E6007E"/>
          <w:sz w:val="24"/>
          <w:szCs w:val="24"/>
        </w:rPr>
        <w:t xml:space="preserve">A conventional immutable record may demonstrate that a transaction was stored [2, 10],</w:t>
      </w:r>
      <w:r>
        <w:rPr>
          <w:rFonts w:ascii="Cambria" w:cs="Cambria" w:eastAsia="Cambria" w:hAnsi="Cambria"/>
          <w:sz w:val="24"/>
          <w:szCs w:val="24"/>
        </w:rPr>
        <w:t xml:space="preserve">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Heading2"/>
        <w:spacing w:after="160" w:before="280"/>
      </w:pPr>
      <w:r>
        <w:rPr>
          <w:rFonts w:ascii="Cambria" w:cs="Cambria" w:eastAsia="Cambria" w:hAnsi="Cambria"/>
          <w:sz w:val="24"/>
          <w:szCs w:val="24"/>
        </w:rP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rPr>
          <w:rFonts w:ascii="Cambria" w:cs="Cambria" w:eastAsia="Cambria" w:hAnsi="Cambria"/>
          <w:sz w:val="24"/>
          <w:szCs w:val="24"/>
        </w:rP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(41)</w:t>
      </w:r>
    </w:p>
    <w:p>
      <w:pPr>
        <w:spacing w:after="140" w:line="300"/>
        <w:jc w:val="both"/>
      </w:pPr>
      <w:r>
        <w:rPr>
          <w:rFonts w:ascii="Cambria" w:cs="Cambria" w:eastAsia="Cambria" w:hAnsi="Cambria"/>
          <w:color w:val="E6007E"/>
          <w:sz w:val="24"/>
          <w:szCs w:val="24"/>
        </w:rPr>
        <w:t xml:space="preserve">The foundational authorisation decision for RO1–RO4 is therefore determined by the conjunction of the three core trust conditions, to which the temporal and jurisdictional predicates of Eq. (31) are added in the complete model:</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rPr>
          <w:rFonts w:ascii="Cambria" w:cs="Cambria" w:eastAsia="Cambria" w:hAnsi="Cambria"/>
          <w:sz w:val="24"/>
          <w:szCs w:val="24"/>
        </w:rP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spacing w:after="140" w:line="300"/>
        <w:jc w:val="both"/>
      </w:pPr>
      <w:r>
        <w:rPr>
          <w:rFonts w:ascii="Cambria" w:cs="Cambria" w:eastAsia="Cambria" w:hAnsi="Cambria"/>
          <w:color w:val="0000CC"/>
          <w:sz w:val="24"/>
          <w:szCs w:val="24"/>
        </w:rPr>
        <w:t xml:space="preserve">In Eq. (45),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(ai) denotes the identity predicate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(u) of Eq. (39) evaluated for the participant u who submitted approval ai, and Authority(ai) = Valid denotes that the role of that participant matches the role required by the consent, corresponding to the Authority(u, C) condition of Section 6.2.</w:t>
      </w:r>
    </w:p>
    <w:p>
      <w:pPr>
        <w:pStyle w:val="Heading2"/>
        <w:spacing w:after="160" w:before="280"/>
      </w:pPr>
      <w:r>
        <w:rPr>
          <w:rFonts w:ascii="Cambria" w:cs="Cambria" w:eastAsia="Cambria" w:hAnsi="Cambria"/>
          <w:sz w:val="24"/>
          <w:szCs w:val="24"/>
        </w:rP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w:t>
      </w:r>
      <w:r>
        <w:rPr>
          <w:rFonts w:ascii="Cambria" w:cs="Cambria" w:eastAsia="Cambria" w:hAnsi="Cambria"/>
          <w:color w:val="000000"/>
          <w:sz w:val="24"/>
          <w:szCs w:val="24"/>
        </w:rPr>
        <w:t xml:space="preserv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(46)</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(47)</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(49)</w:t>
      </w:r>
    </w:p>
    <w:p>
      <w:pPr>
        <w:spacing w:after="140" w:line="300"/>
        <w:jc w:val="both"/>
      </w:pPr>
      <w:r>
        <w:rPr>
          <w:rFonts w:ascii="Cambria" w:cs="Cambria" w:eastAsia="Cambria" w:hAnsi="Cambria"/>
          <w:sz w:val="24"/>
          <w:szCs w:val="24"/>
        </w:rPr>
        <w:t xml:space="preserve">This property is important because conventional authentication and role-based access control mechanisms may determine that an entity is generally authorised to access a category of healthcare information </w:t>
      </w:r>
      <w:r>
        <w:rPr>
          <w:rFonts w:ascii="Cambria" w:cs="Cambria" w:eastAsia="Cambria" w:hAnsi="Cambria"/>
          <w:color w:val="E6007E"/>
          <w:sz w:val="24"/>
          <w:szCs w:val="24"/>
        </w:rPr>
        <w:t xml:space="preserve">without adequately considering the specific policy conditions associated with an individual patient’s consent [11, 25].</w:t>
      </w:r>
      <w:r>
        <w:rPr>
          <w:rFonts w:ascii="Cambria" w:cs="Cambria" w:eastAsia="Cambria" w:hAnsi="Cambria"/>
          <w:sz w:val="24"/>
          <w:szCs w:val="24"/>
        </w:rPr>
        <w:t xml:space="preserve">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rPr>
          <w:rFonts w:ascii="Cambria" w:cs="Cambria" w:eastAsia="Cambria" w:hAnsi="Cambria"/>
          <w:sz w:val="24"/>
          <w:szCs w:val="24"/>
        </w:rPr>
        <w:t xml:space="preserve">5.8  Authorisation Evidence and Auditability</w:t>
      </w:r>
    </w:p>
    <w:p>
      <w:pPr>
        <w:spacing w:after="140" w:line="300"/>
        <w:jc w:val="both"/>
      </w:pPr>
      <w:r>
        <w:rPr>
          <w:rFonts w:ascii="Cambria" w:cs="Cambria" w:eastAsia="Cambria" w:hAnsi="Cambria"/>
          <w:color w:val="000000"/>
          <w:sz w:val="24"/>
          <w:szCs w:val="24"/>
        </w:rPr>
        <w:t xml:space="preserve">In the implementation, consent activation and revocation are anchored on the Sepolia blockchain through the ConsentSBTv3 soulbound contract. This anchoring is performed asynchronously, and the audit ledger records the transaction hash and block number of each anchoring operation, thereby providing tamper-resistant evidence of the consent state.</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where ID represents identity-verification evidence, Credential represents authority or roleverification evidence, Approval represents the verified multi-party approval state, P olicy represents the result of policy evaluation, Decision represents the final access outcome, and Audit represents the associated event record. 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However, the blockchain itself is not treated as the source of trust. </w:t>
      </w:r>
      <w:r>
        <w:rPr>
          <w:rFonts w:ascii="Cambria" w:cs="Cambria" w:eastAsia="Cambria" w:hAnsi="Cambria"/>
          <w:color w:val="E6007E"/>
          <w:sz w:val="24"/>
          <w:szCs w:val="24"/>
        </w:rPr>
        <w:t xml:space="preserve">Its role is to strengthen integrity, non-repudiation, and auditability of the evidence generated by the authorisation process [2, 28].</w:t>
      </w:r>
      <w:r>
        <w:rPr>
          <w:rFonts w:ascii="Cambria" w:cs="Cambria" w:eastAsia="Cambria" w:hAnsi="Cambria"/>
          <w:sz w:val="24"/>
          <w:szCs w:val="24"/>
        </w:rPr>
        <w:t xml:space="preserve"> The trustworthiness of the access decision instead originates from the coordinated enforcement of identity, authority, multi-party approval, and policy conditions.</w:t>
      </w:r>
    </w:p>
    <w:p>
      <w:pPr>
        <w:spacing w:after="140" w:line="300"/>
        <w:jc w:val="both"/>
      </w:pPr>
      <w:r>
        <w:rPr>
          <w:rFonts w:ascii="Cambria" w:cs="Cambria" w:eastAsia="Cambria" w:hAnsi="Cambria"/>
          <w:color w:val="0000CC"/>
          <w:sz w:val="24"/>
          <w:szCs w:val="24"/>
        </w:rPr>
        <w:t xml:space="preserve">The record ER is the per-request instance of the evidence component E of the consent object C, and in the implementation it corresponds to the event rows of the audit ledger, which for on-chain events additionally carry the Sepolia transaction hash and block number, as described in Section 6.8.8.</w:t>
      </w:r>
    </w:p>
    <w:p>
      <w:pPr>
        <w:pStyle w:val="Heading2"/>
        <w:spacing w:after="160" w:before="280"/>
      </w:pPr>
      <w:r>
        <w:rPr>
          <w:rFonts w:ascii="Cambria" w:cs="Cambria" w:eastAsia="Cambria" w:hAnsi="Cambria"/>
          <w:sz w:val="24"/>
          <w:szCs w:val="24"/>
        </w:rP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w:t>
      </w:r>
      <w:r>
        <w:rPr>
          <w:rFonts w:ascii="Cambria" w:cs="Cambria" w:eastAsia="Cambria" w:hAnsi="Cambria"/>
          <w:color w:val="E6007E"/>
          <w:sz w:val="24"/>
          <w:szCs w:val="24"/>
        </w:rPr>
        <w:t xml:space="preserve">These properties, together with the separation of interaction and enforcement established in Section 5.1.4, are summarised in Table 12, in which collective authorisation integrity and decision accountability appear as multi-party authorisation integrity and authorisation evidence respectively.</w:t>
      </w:r>
    </w:p>
    <w:p>
      <w:pPr>
        <w:pStyle w:val="Heading2"/>
        <w:spacing w:after="160" w:before="280"/>
      </w:pPr>
      <w:r>
        <w:rPr>
          <w:rFonts w:ascii="Cambria" w:cs="Cambria" w:eastAsia="Cambria" w:hAnsi="Cambria"/>
          <w:sz w:val="24"/>
          <w:szCs w:val="24"/>
        </w:rP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13,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spacing w:after="140" w:line="300"/>
        <w:jc w:val="both"/>
      </w:pPr>
      <w:r>
        <w:rPr>
          <w:rFonts w:ascii="Cambria" w:cs="Cambria" w:eastAsia="Cambria" w:hAnsi="Cambria"/>
          <w:color w:val="0000CC"/>
          <w:sz w:val="24"/>
          <w:szCs w:val="24"/>
        </w:rPr>
        <w:t xml:space="preserve">RO5 is realised through the temporal and lifecycle state held in the Model and the corresponding predicates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and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evaluated by the Controller before any access decision is produced. RO6 operates across all three layers, since the evidence generated by the Controller and stored in the Model is what the empirical validation and the independent verifier examine.</w:t>
      </w:r>
    </w:p>
    <w:p>
      <w:pPr>
        <w:pStyle w:val="Heading2"/>
        <w:spacing w:after="160" w:before="280"/>
      </w:pPr>
      <w:r>
        <w:rPr>
          <w:rFonts w:ascii="Cambria" w:cs="Cambria" w:eastAsia="Cambria" w:hAnsi="Cambria"/>
          <w:sz w:val="24"/>
          <w:szCs w:val="24"/>
        </w:rP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 For the current stage, the </w:t>
      </w:r>
      <w:r>
        <w:rPr>
          <w:rFonts w:ascii="Cambria" w:cs="Cambria" w:eastAsia="Cambria" w:hAnsi="Cambria"/>
          <w:color w:val="E6007E"/>
          <w:sz w:val="24"/>
          <w:szCs w:val="24"/>
        </w:rPr>
        <w:t xml:space="preserve">architecture therefore establishes the mechanisms required to answer RQ1–RQ5, while RQ6 is addressed empirically through the prototype evaluation in Section 6.8 and formally in the next stage.</w:t>
      </w:r>
      <w:r>
        <w:rPr>
          <w:rFonts w:ascii="Cambria" w:cs="Cambria" w:eastAsia="Cambria" w:hAnsi="Cambria"/>
          <w:sz w:val="24"/>
          <w:szCs w:val="24"/>
        </w:rPr>
        <w:t xml:space="preserve"> The implemented HALAH prototype provides the practical</w:t>
      </w:r>
    </w:p>
    <w:p>
      <w:pPr>
        <w:keepNext/>
        <w:spacing w:after="80" w:before="160"/>
        <w:jc w:val="center"/>
      </w:pPr>
      <w:r>
        <w:rPr>
          <w:rFonts w:ascii="Cambria" w:cs="Cambria" w:eastAsia="Cambria" w:hAnsi="Cambria"/>
          <w:b/>
          <w:bCs/>
          <w:color w:val="000000"/>
          <w:sz w:val="21"/>
          <w:szCs w:val="21"/>
        </w:rPr>
        <w:t xml:space="preserve">Table 12: </w:t>
      </w:r>
      <w:r>
        <w:rPr>
          <w:rFonts w:ascii="Cambria" w:cs="Cambria" w:eastAsia="Cambria" w:hAnsi="Cambria"/>
          <w:color w:val="000000"/>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unverified entities from being treated as legitimate participants.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successful authentication from being interpreted as unrestricted authorisation.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a single participant from unilaterally activating sensitive healthcare data access when collective approval is required.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otherwise valid identities and approvals from being used to obtain data beyond the authorised scope.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provide</w:t>
            </w:r>
            <w:r>
              <w:rPr>
                <w:rFonts w:ascii="Cambria" w:cs="Cambria" w:eastAsia="Cambria" w:hAnsi="Cambria"/>
                <w:b w:val="false"/>
                <w:bCs w:val="false"/>
                <w:sz w:val="19"/>
                <w:szCs w:val="19"/>
              </w:rPr>
              <w:t xml:space="preserve"> traceability and </w:t>
            </w:r>
            <w:r>
              <w:rPr>
                <w:rFonts w:ascii="Cambria" w:cs="Cambria" w:eastAsia="Cambria" w:hAnsi="Cambria"/>
                <w:b w:val="false"/>
                <w:bCs w:val="false"/>
                <w:color w:val="000000"/>
                <w:sz w:val="19"/>
                <w:szCs w:val="19"/>
              </w:rPr>
              <w:t xml:space="preserve">support</w:t>
            </w:r>
            <w:r>
              <w:rPr>
                <w:rFonts w:ascii="Cambria" w:cs="Cambria" w:eastAsia="Cambria" w:hAnsi="Cambria"/>
                <w:b w:val="false"/>
                <w:bCs w:val="false"/>
                <w:sz w:val="19"/>
                <w:szCs w:val="19"/>
              </w:rPr>
              <w:t xml:space="preserve"> accountability, auditing, and future verification.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user-interface actions from being interpreted directly as trusted authorisation outcomes.</w:t>
            </w:r>
          </w:p>
        </w:tc>
      </w:tr>
    </w:tbl>
    <w:p>
      <w:pPr>
        <w:spacing w:after="180"/>
      </w:pPr>
    </w:p>
    <w:p>
      <w:pPr>
        <w:keepNext/>
        <w:spacing w:after="80" w:before="160"/>
        <w:jc w:val="center"/>
      </w:pPr>
      <w:r>
        <w:rPr>
          <w:rFonts w:ascii="Cambria" w:cs="Cambria" w:eastAsia="Cambria" w:hAnsi="Cambria"/>
          <w:b/>
          <w:bCs/>
          <w:color w:val="000000"/>
          <w:sz w:val="21"/>
          <w:szCs w:val="21"/>
        </w:rPr>
        <w:t xml:space="preserve">Table 13: </w:t>
      </w:r>
      <w:r>
        <w:rPr>
          <w:rFonts w:ascii="Cambria" w:cs="Cambria" w:eastAsia="Cambria" w:hAnsi="Cambria"/>
          <w:color w:val="000000"/>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Will provide formal assurance (next stage)</w:t>
            </w:r>
            <w:r>
              <w:rPr>
                <w:rFonts w:ascii="Cambria" w:cs="Cambria" w:eastAsia="Cambria" w:hAnsi="Cambria"/>
                <w:b w:val="false"/>
                <w:bCs w:val="false"/>
                <w:sz w:val="19"/>
                <w:szCs w:val="19"/>
              </w:rPr>
              <w:t xml:space="preserve"> of the defined trust and authorisation properties and empirically evaluates whether the implemented framework correctly enforces authorised and unauthorised healthcare data-access decisions.</w:t>
            </w:r>
          </w:p>
        </w:tc>
      </w:tr>
    </w:tbl>
    <w:p>
      <w:pPr>
        <w:spacing w:after="180"/>
      </w:pP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stage will extend the architecture beyond the current foundational authorisation model. </w:t>
      </w:r>
      <w:r>
        <w:rPr>
          <w:rFonts w:ascii="Cambria" w:cs="Cambria" w:eastAsia="Cambria" w:hAnsi="Cambria"/>
          <w:color w:val="E6007E"/>
          <w:sz w:val="24"/>
          <w:szCs w:val="24"/>
        </w:rPr>
        <w:t xml:space="preserve">The consent Model already includes temporal validity, expiration, revocation, and controlled lifecycle transitions, as defined in Section 5.3 and realised in the implemented prototype described in Section 6.8.</w:t>
      </w:r>
      <w:r>
        <w:rPr>
          <w:rFonts w:ascii="Cambria" w:cs="Cambria" w:eastAsia="Cambria" w:hAnsi="Cambria"/>
          <w:sz w:val="24"/>
          <w:szCs w:val="24"/>
        </w:rPr>
        <w:t xml:space="preserve"> </w:t>
      </w:r>
      <w:r>
        <w:rPr>
          <w:rFonts w:ascii="Cambria" w:cs="Cambria" w:eastAsia="Cambria" w:hAnsi="Cambria"/>
          <w:color w:val="E6007E"/>
          <w:sz w:val="24"/>
          <w:szCs w:val="24"/>
        </w:rPr>
        <w:t xml:space="preserve">The Controller therefore already evaluates the corresponding temporal predicate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(C, t) and jurisdictional predicate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within the authorisation decision, as expressed in Eq. (31) and enforced in the prototype.</w:t>
      </w:r>
      <w:r>
        <w:rPr>
          <w:rFonts w:ascii="Cambria" w:cs="Cambria" w:eastAsia="Cambria" w:hAnsi="Cambria"/>
          <w:sz w:val="24"/>
          <w:szCs w:val="24"/>
        </w:rPr>
        <w:t xml:space="preserve"> In addition, the complete decision model will be subjected to formal security analysis and broader empirical validation. Accordingly, the current stage architecture establishes the foundational security core of the research, while </w:t>
      </w:r>
      <w:r>
        <w:rPr>
          <w:rFonts w:ascii="Cambria" w:cs="Cambria" w:eastAsia="Cambria" w:hAnsi="Cambria"/>
          <w:color w:val="000000"/>
          <w:sz w:val="24"/>
          <w:szCs w:val="24"/>
        </w:rPr>
        <w:t xml:space="preserve">the next stage will</w:t>
      </w:r>
      <w:r>
        <w:rPr>
          <w:rFonts w:ascii="Cambria" w:cs="Cambria" w:eastAsia="Cambria" w:hAnsi="Cambria"/>
          <w:sz w:val="24"/>
          <w:szCs w:val="24"/>
        </w:rPr>
        <w:t xml:space="preserve"> investigate whether this core can maintain trust dynamically over time </w:t>
      </w:r>
      <w:r>
        <w:rPr>
          <w:rFonts w:ascii="Cambria" w:cs="Cambria" w:eastAsia="Cambria" w:hAnsi="Cambria"/>
          <w:color w:val="000000"/>
          <w:sz w:val="24"/>
          <w:szCs w:val="24"/>
        </w:rPr>
        <w:t xml:space="preserve">beyond the lifecycle mechanisms already demonstrated in the prototype</w:t>
      </w:r>
      <w:r>
        <w:rPr>
          <w:rFonts w:ascii="Cambria" w:cs="Cambria" w:eastAsia="Cambria" w:hAnsi="Cambria"/>
          <w:sz w:val="24"/>
          <w:szCs w:val="24"/>
        </w:rPr>
        <w:t xml:space="preserve">,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rPr>
          <w:rFonts w:ascii="Cambria" w:cs="Cambria" w:eastAsia="Cambria" w:hAnsi="Cambria"/>
          <w:sz w:val="24"/>
          <w:szCs w:val="24"/>
        </w:rPr>
        <w:t xml:space="preserve">6  Proposed Solution</w:t>
      </w:r>
    </w:p>
    <w:p>
      <w:pPr>
        <w:spacing w:after="140" w:line="300"/>
        <w:jc w:val="both"/>
      </w:pPr>
      <w:r>
        <w:rPr>
          <w:rFonts w:ascii="Cambria" w:cs="Cambria" w:eastAsia="Cambria" w:hAnsi="Cambria"/>
          <w:color w:val="0000CC"/>
          <w:sz w:val="24"/>
          <w:szCs w:val="24"/>
        </w:rPr>
        <w:t xml:space="preserve">This chapter presents the proposed solution as six mechanisms, one for each research objective. Sections 6.1 to 6.6 define, for each objective, the formal condition, the workflow, the step-wise procedure and the corresponding algorithm, and each section also states which part of the mechanism is exercised by the current prototype and which part is reserved for the next stage. Section 6.7 relates the six algorithms to the research objectives, and Section 6.8 presents the implementation and the live demonstration of the framework on the Ethereum Sepolia testnet. Throughout the chapter, C denotes the consent object, G the guardian set, N the approval threshold, D the authorised doctor, R an access request and t the evaluation time.</w:t>
      </w:r>
    </w:p>
    <w:p>
      <w:pPr>
        <w:pStyle w:val="Heading2"/>
        <w:spacing w:after="160" w:before="280"/>
      </w:pPr>
      <w:r>
        <w:rPr>
          <w:rFonts w:ascii="Cambria" w:cs="Cambria" w:eastAsia="Cambria" w:hAnsi="Cambria"/>
          <w:sz w:val="24"/>
          <w:szCs w:val="24"/>
        </w:rP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(51)</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w:t>
      </w:r>
    </w:p>
    <w:p>
      <w:pPr>
        <w:spacing w:after="140" w:line="300"/>
        <w:jc w:val="both"/>
      </w:pPr>
      <w:r>
        <w:rPr>
          <w:rFonts w:ascii="Cambria" w:cs="Cambria" w:eastAsia="Cambria" w:hAnsi="Cambria"/>
          <w:color w:val="E6007E"/>
          <w:sz w:val="24"/>
          <w:szCs w:val="24"/>
        </w:rPr>
        <w:t xml:space="preserve">In addition, I represents patient and participant identity information, A represents authorisation requirements, P represents policy constraints, and E represents authorisation evidence. The temporal component defines the interval during which the consent may be exercised, and the jurisdictional component defines the territory in which it may be exercised.</w:t>
      </w:r>
      <w:r>
        <w:rPr>
          <w:rFonts w:ascii="Cambria" w:cs="Cambria" w:eastAsia="Cambria" w:hAnsi="Cambria"/>
          <w:sz w:val="24"/>
          <w:szCs w:val="24"/>
        </w:rPr>
        <w:t xml:space="preserv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rPr>
          <w:rFonts w:ascii="Cambria" w:cs="Cambria" w:eastAsia="Cambria" w:hAnsi="Cambria"/>
          <w:sz w:val="24"/>
          <w:szCs w:val="24"/>
        </w:rP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keepNext/>
        <w:spacing w:after="60" w:before="140"/>
        <w:jc w:val="center"/>
      </w:pPr>
      <w:r>
        <w:drawing>
          <wp:inline distT="0" distB="0" distL="0" distR="0">
            <wp:extent cx="3619500" cy="6410325"/>
            <wp:effectExtent t="0" r="0" b="0" l="0"/>
            <wp:docPr id="1" name="gfig7.png" descr="Figure 10: RO1 workflow for trust-centric consent creation" title="Figure 10: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6410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RO1 workflow for trust-centric consent creation</w:t>
      </w:r>
    </w:p>
    <w:p>
      <w:pPr>
        <w:spacing w:after="140" w:line="300"/>
        <w:jc w:val="both"/>
      </w:pPr>
      <w:r>
        <w:rPr>
          <w:rFonts w:ascii="Cambria" w:cs="Cambria" w:eastAsia="Cambria" w:hAnsi="Cambria"/>
          <w:color w:val="000000"/>
          <w:sz w:val="24"/>
          <w:szCs w:val="24"/>
        </w:rPr>
        <w:t xml:space="preserve">Whereas Figure 10 describes the behaviour of consent creation, Figure 11 presents the structure of the resulting consent object. It shows each of the six components of C = (I, A, P, T, L, E), the content that each component holds in the HALAH system, and the party that supplies it. The patient supplies the identity, authority, policy, temporal and jurisdictional components; the threshold N = |G| and the consent identifier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are generated by the system; and the evidence component is accumulated by the audit layer, the guardians' signatures and the blockchain as the consent progresses.</w:t>
      </w:r>
    </w:p>
    <w:p>
      <w:pPr>
        <w:keepNext/>
        <w:spacing w:after="60" w:before="140"/>
        <w:jc w:val="center"/>
      </w:pPr>
      <w:r>
        <w:drawing>
          <wp:inline distT="0" distB="0" distL="0" distR="0">
            <wp:extent cx="5715000" cy="3162300"/>
            <wp:effectExtent t="0" r="0" b="0" l="0"/>
            <wp:docPr id="1" name="gfig_hub.png" descr="Figure 11: Six-component trust-centric consent model C = (I, A, P, T, L, E), showing the content and the supplier of each component, the system-generated consent identifier, and the lifecycle state carried by the consent object." title="Figure 11: Six-component trust-centric consent model C = (I, A, P, T, L, E), showing the content and the supplier of each component, the system-generated consent identifier, and the lifecycle state carried by the cons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11: Six-component trust-centric consent model C = (I, A, P, T, L, E), showing the content and the supplier of each component, the system-generated consent identifier, and the lifecycle state carried by the consent object.</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140" w:line="300"/>
        <w:jc w:val="both"/>
      </w:pPr>
      <w:r>
        <w:rPr>
          <w:rFonts w:ascii="Cambria" w:cs="Cambria" w:eastAsia="Cambria" w:hAnsi="Cambria"/>
          <w:color w:val="000000"/>
          <w:sz w:val="24"/>
          <w:szCs w:val="24"/>
        </w:rPr>
        <w:t xml:space="preserve">The declared jurisdiction L is validated as a well-formed ISO alpha-2 territory code, AU in the demonstrated transactions, and is bound to the consent object at creation. This is important because the subsequent access decision is evaluated against it. Consequently, the construction sequence becomes I</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D → G → P</w:t>
      </w:r>
      <w:r>
        <w:rPr>
          <w:rFonts w:ascii="Cambria" w:cs="Cambria" w:eastAsia="Cambria" w:hAnsi="Cambria"/>
          <w:color w:val="000000"/>
          <w:sz w:val="24"/>
          <w:szCs w:val="24"/>
          <w:vertAlign w:val="subscript"/>
        </w:rPr>
        <w:t xml:space="preserve">u</w:t>
      </w:r>
      <w:r>
        <w:rPr>
          <w:rFonts w:ascii="Cambria" w:cs="Cambria" w:eastAsia="Cambria" w:hAnsi="Cambria"/>
          <w:color w:val="000000"/>
          <w:sz w:val="24"/>
          <w:szCs w:val="24"/>
        </w:rPr>
        <w:t xml:space="preserve"> →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T → L → A →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C → E.</w:t>
      </w:r>
    </w:p>
    <w:p>
      <w:pPr>
        <w:pStyle w:val="Heading3"/>
        <w:spacing w:after="160" w:before="280"/>
      </w:pPr>
      <w:r>
        <w:rPr>
          <w:rFonts w:ascii="Cambria" w:cs="Cambria" w:eastAsia="Cambria" w:hAnsi="Cambria"/>
          <w:sz w:val="24"/>
          <w:szCs w:val="24"/>
        </w:rP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140" w:line="300"/>
        <w:jc w:val="both"/>
      </w:pPr>
      <w:r>
        <w:rPr>
          <w:rFonts w:ascii="Cambria" w:cs="Cambria" w:eastAsia="Cambria" w:hAnsi="Cambria"/>
          <w:color w:val="E6007E"/>
          <w:sz w:val="24"/>
          <w:szCs w:val="24"/>
        </w:rPr>
        <w:t xml:space="preserve">In the current prototype the identity validation of Steps 1 to 3 is a structural check that each identifier constitutes a well-formed DID.</w:t>
      </w:r>
      <w:r>
        <w:rPr>
          <w:rFonts w:ascii="Cambria" w:cs="Cambria" w:eastAsia="Cambria" w:hAnsi="Cambria"/>
          <w:color w:val="000000"/>
          <w:sz w:val="24"/>
          <w:szCs w:val="24"/>
        </w:rPr>
        <w:t xml:space="preserve"> The doctor is not independently authenticated at this stage, and credential-based verification of the presented identity is deferred to the production design.</w:t>
      </w:r>
    </w:p>
    <w:p>
      <w:pPr>
        <w:spacing w:after="140" w:line="300"/>
        <w:jc w:val="both"/>
      </w:pPr>
      <w:r>
        <w:rPr>
          <w:rFonts w:ascii="Cambria" w:cs="Cambria" w:eastAsia="Cambria" w:hAnsi="Cambria"/>
          <w:color w:val="0000CC"/>
          <w:sz w:val="24"/>
          <w:szCs w:val="24"/>
        </w:rPr>
        <w:t xml:space="preserve">The declared jurisdiction L is then validated as a well-formed ISO alpha-2 territory code and bound to the consent object, as described in Section 6.1.1, so that the subsequent jurisdictional check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can be evaluated against it.</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000000"/>
          <w:sz w:val="24"/>
          <w:szCs w:val="24"/>
        </w:rPr>
        <w:t xml:space="preserve">The identifier is not supplied by any participant: it is generated by the Consent Service at the moment the patient submits the consent, as a universally unique identifier (UUID). It is then displayed to the patient, who shares it with the designated guardians and the authorised doctor so that they can approve the consent or request access. Possession of the identifier alone grants no access, because every subsequent request is evaluated by the complete decision rule, and the on-chain token identifier is assigned separately by the smart contract only when the consent is activated.</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The validated information is combined to construct the consent object </w:t>
      </w:r>
      <w:r>
        <w:rPr>
          <w:rFonts w:ascii="Cambria" w:cs="Cambria" w:eastAsia="Cambria" w:hAnsi="Cambria"/>
          <w:color w:val="000000"/>
          <w:sz w:val="24"/>
          <w:szCs w:val="24"/>
        </w:rPr>
        <w:t xml:space="preserve">C = (I, A, P, T, L, E)</w:t>
      </w:r>
      <w:r>
        <w:rPr>
          <w:rFonts w:ascii="Cambria" w:cs="Cambria" w:eastAsia="Cambria" w:hAnsi="Cambria"/>
          <w:sz w:val="24"/>
          <w:szCs w:val="24"/>
        </w:rPr>
        <w:t xml:space="preserve">, where I represents the verified identity information, A represents the authorisation requirements, P represents the consent purpose and associated permissions, and E represents the evidence associated with the consent decision. The resulting object therefore captures not only the patient’s preference but also the evidence required to support subsequent authorisation decisions.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w:t>
      </w:r>
      <w:r>
        <w:rPr>
          <w:rFonts w:ascii="Cambria" w:cs="Cambria" w:eastAsia="Cambria" w:hAnsi="Cambria"/>
          <w:color w:val="000000"/>
          <w:sz w:val="24"/>
          <w:szCs w:val="24"/>
        </w:rPr>
        <w:t xml:space="preserve">L → </w:t>
      </w:r>
      <w:r>
        <w:rPr>
          <w:rFonts w:ascii="Cambria" w:cs="Cambria" w:eastAsia="Cambria" w:hAnsi="Cambria"/>
          <w:sz w:val="24"/>
          <w:szCs w:val="24"/>
        </w:rPr>
        <w:t xml:space="preserve">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color w:val="E6007E"/>
          <w:sz w:val="21"/>
          <w:szCs w:val="21"/>
        </w:rPr>
        <w:t xml:space="preserve">Patient identity I</w:t>
      </w:r>
      <w:r>
        <w:rPr>
          <w:rFonts w:ascii="Cambria" w:cs="Cambria" w:eastAsia="Cambria" w:hAnsi="Cambria"/>
          <w:color w:val="E6007E"/>
          <w:sz w:val="21"/>
          <w:szCs w:val="21"/>
          <w:vertAlign w:val="subscript"/>
        </w:rPr>
        <w:t xml:space="preserve">p</w:t>
      </w:r>
      <w:r>
        <w:rPr>
          <w:rFonts w:ascii="Cambria" w:cs="Cambria" w:eastAsia="Cambria" w:hAnsi="Cambria"/>
          <w:color w:val="E6007E"/>
          <w:sz w:val="21"/>
          <w:szCs w:val="21"/>
        </w:rPr>
        <w:t xml:space="preserve">, authorised doctor D, guardian set G, purpose P</w:t>
      </w:r>
      <w:r>
        <w:rPr>
          <w:rFonts w:ascii="Cambria" w:cs="Cambria" w:eastAsia="Cambria" w:hAnsi="Cambria"/>
          <w:color w:val="E6007E"/>
          <w:sz w:val="21"/>
          <w:szCs w:val="21"/>
          <w:vertAlign w:val="subscript"/>
        </w:rPr>
        <w:t xml:space="preserve">u</w:t>
      </w:r>
      <w:r>
        <w:rPr>
          <w:rFonts w:ascii="Cambria" w:cs="Cambria" w:eastAsia="Cambria" w:hAnsi="Cambria"/>
          <w:color w:val="E6007E"/>
          <w:sz w:val="21"/>
          <w:szCs w:val="21"/>
        </w:rPr>
        <w:t xml:space="preserve">, data scope S</w:t>
      </w:r>
      <w:r>
        <w:rPr>
          <w:rFonts w:ascii="Cambria" w:cs="Cambria" w:eastAsia="Cambria" w:hAnsi="Cambria"/>
          <w:color w:val="E6007E"/>
          <w:sz w:val="21"/>
          <w:szCs w:val="21"/>
          <w:vertAlign w:val="subscript"/>
        </w:rPr>
        <w:t xml:space="preserve">C</w:t>
      </w:r>
      <w:r>
        <w:rPr>
          <w:rFonts w:ascii="Cambria" w:cs="Cambria" w:eastAsia="Cambria" w:hAnsi="Cambria"/>
          <w:color w:val="E6007E"/>
          <w:sz w:val="21"/>
          <w:szCs w:val="21"/>
        </w:rPr>
        <w:t xml:space="preserve">, validity interval T, jurisdiction L</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000000"/>
          <w:sz w:val="18"/>
          <w:szCs w:val="18"/>
        </w:rPr>
        <w:t xml:space="preserve">15:  </w:t>
      </w:r>
      <w:r>
        <w:rPr>
          <w:rFonts w:ascii="Cambria" w:cs="Cambria" w:eastAsia="Cambria" w:hAnsi="Cambria"/>
          <w:color w:val="000000"/>
          <w:sz w:val="21"/>
          <w:szCs w:val="21"/>
        </w:rPr>
        <w:t xml:space="preserve">Construct C = (I, A, P, T, L,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000000"/>
          <w:sz w:val="18"/>
          <w:szCs w:val="18"/>
        </w:rPr>
        <w:t xml:space="preserve">17:  </w:t>
      </w:r>
      <w:r>
        <w:rPr>
          <w:rFonts w:ascii="Cambria" w:cs="Cambria" w:eastAsia="Cambria" w:hAnsi="Cambria"/>
          <w:color w:val="000000"/>
          <w:sz w:val="21"/>
          <w:szCs w:val="21"/>
        </w:rPr>
        <w:t xml:space="preserve">state ← PENDING_SIGNATURE   ▷ nothing is anchored on-chain until all guardians approve</w:t>
      </w:r>
    </w:p>
    <w:p>
      <w:pPr>
        <w:spacing w:after="20"/>
        <w:ind w:left="24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consent creation evidence</w:t>
      </w:r>
    </w:p>
    <w:p>
      <w:pPr>
        <w:spacing w:after="20"/>
        <w:ind w:left="24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pBdr>
          <w:bottom w:val="single" w:color="000000" w:sz="12"/>
        </w:pBdr>
        <w:spacing w:after="60"/>
      </w:pPr>
    </w:p>
    <w:p>
      <w:pPr>
        <w:spacing w:after="160"/>
      </w:pPr>
    </w:p>
    <w:p>
      <w:pPr>
        <w:pStyle w:val="Heading3"/>
        <w:spacing w:after="160" w:before="280"/>
      </w:pPr>
      <w:r>
        <w:rPr>
          <w:rFonts w:ascii="Cambria" w:cs="Cambria" w:eastAsia="Cambria" w:hAnsi="Cambria"/>
          <w:sz w:val="24"/>
          <w:szCs w:val="24"/>
        </w:rP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rPr>
          <w:rFonts w:ascii="Cambria" w:cs="Cambria" w:eastAsia="Cambria" w:hAnsi="Cambria"/>
          <w:sz w:val="24"/>
          <w:szCs w:val="24"/>
        </w:rP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(52)</w:t>
      </w:r>
    </w:p>
    <w:p>
      <w:pPr>
        <w:spacing w:after="140" w:line="300"/>
        <w:jc w:val="both"/>
      </w:pPr>
      <w:r>
        <w:rPr>
          <w:rFonts w:ascii="Cambria" w:cs="Cambria" w:eastAsia="Cambria" w:hAnsi="Cambria"/>
          <w:color w:val="E6007E"/>
          <w:sz w:val="24"/>
          <w:szCs w:val="24"/>
        </w:rPr>
        <w:t xml:space="preserve">A valid DID provides an identity reference, while a valid VC provides evidence associated with a participant’s role, authority, or other relevant attribute [20].</w:t>
      </w:r>
      <w:r>
        <w:rPr>
          <w:rFonts w:ascii="Cambria" w:cs="Cambria" w:eastAsia="Cambria" w:hAnsi="Cambria"/>
          <w:sz w:val="24"/>
          <w:szCs w:val="24"/>
        </w:rPr>
        <w:t xml:space="preserv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rPr>
          <w:rFonts w:ascii="Cambria" w:cs="Cambria" w:eastAsia="Cambria" w:hAnsi="Cambria"/>
          <w:sz w:val="24"/>
          <w:szCs w:val="24"/>
        </w:rP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The output of RO2 is not an access-grant decision. It is a verified identity and authority result that can be consumed by RO3 and RO4. This separation prevents a participant from obtaining access merely by presenting a valid identity credential.</w:t>
      </w:r>
    </w:p>
    <w:p>
      <w:pPr>
        <w:pStyle w:val="Heading3"/>
        <w:spacing w:after="160" w:before="280"/>
      </w:pPr>
      <w:r>
        <w:rPr>
          <w:rFonts w:ascii="Cambria" w:cs="Cambria" w:eastAsia="Cambria" w:hAnsi="Cambria"/>
          <w:sz w:val="24"/>
          <w:szCs w:val="24"/>
        </w:rP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000500" cy="5495925"/>
            <wp:effectExtent t="0" r="0" b="0" l="0"/>
            <wp:docPr id="1" name="gfig8.png" descr="Figure 12: RO2 workflow for decentralised identity and authority verification" title="Figure 12: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5495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RO2 workflow for decentralised identity and authority verification</w:t>
      </w:r>
    </w:p>
    <w:p>
      <w:pPr>
        <w:jc w:val="center"/>
      </w:pPr>
      <w:r>
        <w:rPr>
          <w:rFonts w:ascii="Cambria" w:cs="Cambria" w:eastAsia="Cambria" w:hAnsi="Cambria"/>
          <w:i/>
          <w:iCs/>
          <w:sz w:val="20"/>
          <w:szCs w:val="20"/>
        </w:rPr>
        <w:t xml:space="preserve">[Figure 12: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w:t>
      </w:r>
      <w:r>
        <w:rPr>
          <w:rFonts w:ascii="Cambria" w:cs="Cambria" w:eastAsia="Cambria" w:hAnsi="Cambria"/>
          <w:color w:val="000000"/>
          <w:sz w:val="24"/>
          <w:szCs w:val="24"/>
        </w:rPr>
        <w:t xml:space="preserve">In the target design the retrieved VC is cryptographically and semantically validated; the current prototype performs a structural check of the credential reference, and full cryptographic validation is specified as the production behaviour.</w:t>
      </w:r>
      <w:r>
        <w:rPr>
          <w:rFonts w:ascii="Cambria" w:cs="Cambria" w:eastAsia="Cambria" w:hAnsi="Cambria"/>
          <w:sz w:val="24"/>
          <w:szCs w:val="24"/>
        </w:rPr>
        <w:t xml:space="preserve">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140" w:line="300"/>
        <w:jc w:val="both"/>
      </w:pPr>
      <w:r>
        <w:rPr>
          <w:rFonts w:ascii="Cambria" w:cs="Cambria" w:eastAsia="Cambria" w:hAnsi="Cambria"/>
          <w:color w:val="000000"/>
          <w:sz w:val="24"/>
          <w:szCs w:val="24"/>
        </w:rPr>
        <w:t xml:space="preserve">This condition defines the target verification model rather than the behaviour presently exercised. The current prototype implements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(u) as a structural DID-format check and records its outcome in the audit ledger; cryptographic validation of verifiable credentials against the four conditions above is specified here as the production behaviour and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rPr>
          <w:rFonts w:ascii="Cambria" w:cs="Cambria" w:eastAsia="Cambria" w:hAnsi="Cambria"/>
          <w:sz w:val="24"/>
          <w:szCs w:val="24"/>
        </w:rP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pStyle w:val="Heading2"/>
        <w:spacing w:after="160" w:before="280"/>
      </w:pPr>
      <w:r>
        <w:rPr>
          <w:rFonts w:ascii="Cambria" w:cs="Cambria" w:eastAsia="Cambria" w:hAnsi="Cambria"/>
          <w:sz w:val="24"/>
          <w:szCs w:val="24"/>
        </w:rP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(54)</w:t>
      </w:r>
    </w:p>
    <w:p>
      <w:pPr>
        <w:spacing w:after="140" w:line="300"/>
        <w:jc w:val="both"/>
      </w:pPr>
      <w:r>
        <w:rPr>
          <w:rFonts w:ascii="Cambria" w:cs="Cambria" w:eastAsia="Cambria" w:hAnsi="Cambria"/>
          <w:color w:val="E6007E"/>
          <w:sz w:val="24"/>
          <w:szCs w:val="24"/>
        </w:rPr>
        <w:t xml:space="preserve">The threshold mechanism establishes collective authorisation. It follows the threshold-committee principle used in decentralised identity systems [4, 33], but applies it to consent approval rather than to credential issuance.</w:t>
      </w:r>
      <w:r>
        <w:rPr>
          <w:rFonts w:ascii="Cambria" w:cs="Cambria" w:eastAsia="Cambria" w:hAnsi="Cambria"/>
          <w:sz w:val="24"/>
          <w:szCs w:val="24"/>
        </w:rPr>
        <w:t xml:space="preserve"> For example, a consent may require two valid guardian approvals. In this case, one valid approval is insufficient, whereas two valid approvals satisfy the threshold.</w:t>
      </w:r>
    </w:p>
    <w:p>
      <w:pPr>
        <w:spacing w:after="140" w:line="300"/>
        <w:jc w:val="both"/>
      </w:pPr>
      <w:r>
        <w:rPr>
          <w:rFonts w:ascii="Cambria" w:cs="Cambria" w:eastAsia="Cambria" w:hAnsi="Cambria"/>
          <w:color w:val="000000"/>
          <w:sz w:val="24"/>
          <w:szCs w:val="24"/>
        </w:rPr>
        <w:t xml:space="preserve">In the current implementation the threshold is fixed to the full guardian set, N = |G|, so that every designated guardian must approve before the consent is activated; the demonstrated configuration is therefore 2-of-2. </w:t>
      </w:r>
      <w:r>
        <w:rPr>
          <w:rFonts w:ascii="Cambria" w:cs="Cambria" w:eastAsia="Cambria" w:hAnsi="Cambria"/>
          <w:color w:val="E6007E"/>
          <w:sz w:val="24"/>
          <w:szCs w:val="24"/>
        </w:rPr>
        <w:t xml:space="preserve">The N-of-N configuration was adopted for the prototype because it is the most conservative instantiation of the threshold condition, in which no designated guardian can be bypassed, and because it allows the mechanism to be demonstrated without the quorum-selection and key-management questions that a general k-of-n threshold introduces. A configurable k-of-n threshold, while a direct generalisation of the implemented mechanism, is therefore left to future work.</w:t>
      </w:r>
    </w:p>
    <w:p>
      <w:pPr>
        <w:pStyle w:val="Heading3"/>
        <w:spacing w:after="160" w:before="280"/>
      </w:pPr>
      <w:r>
        <w:rPr>
          <w:rFonts w:ascii="Cambria" w:cs="Cambria" w:eastAsia="Cambria" w:hAnsi="Cambria"/>
          <w:sz w:val="24"/>
          <w:szCs w:val="24"/>
        </w:rP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spacing w:after="140" w:line="300"/>
        <w:jc w:val="both"/>
      </w:pPr>
      <w:r>
        <w:rPr>
          <w:rFonts w:ascii="Cambria" w:cs="Cambria" w:eastAsia="Cambria" w:hAnsi="Cambria"/>
          <w:color w:val="000000"/>
          <w:sz w:val="24"/>
          <w:szCs w:val="24"/>
        </w:rPr>
        <w:t xml:space="preserve">In the HALAH implementation, the guardian's authority is evidenced by an EIP-712 typed-data signature bound to the consent identifier, the guardian DID and the Sepolia chain identifier, and verified through off-chain signer recovery. The VC verification that precedes it is presently a DID-format check, and the signing keys are derived deterministically from the guardian DIDs in place of wallet-held keys, a substitution acknowledged as a prototype limitation.</w:t>
      </w:r>
    </w:p>
    <w:p>
      <w:pPr>
        <w:pStyle w:val="Heading3"/>
        <w:spacing w:after="160" w:before="280"/>
      </w:pPr>
      <w:r>
        <w:rPr>
          <w:rFonts w:ascii="Cambria" w:cs="Cambria" w:eastAsia="Cambria" w:hAnsi="Cambria"/>
          <w:sz w:val="24"/>
          <w:szCs w:val="24"/>
        </w:rP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191000" cy="5981700"/>
            <wp:effectExtent t="0" r="0" b="0" l="0"/>
            <wp:docPr id="1" name="gfig9.png" descr="Figure 13: RO3 workflow for threshold-based multi-party authorisation" title="Figure 13: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598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13: RO3 workflow for threshold-based multi-party authorisation</w:t>
      </w:r>
    </w:p>
    <w:p>
      <w:pPr>
        <w:jc w:val="center"/>
      </w:pPr>
      <w:r>
        <w:rPr>
          <w:rFonts w:ascii="Cambria" w:cs="Cambria" w:eastAsia="Cambria" w:hAnsi="Cambria"/>
          <w:i/>
          <w:iCs/>
          <w:sz w:val="20"/>
          <w:szCs w:val="20"/>
        </w:rPr>
        <w:t xml:space="preserve">[Figure 13: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Formally, for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that u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Importantly, only approvals that have passed identity, authority, membership, and duplicate checks are included in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w:t>
      </w:r>
      <w:r>
        <w:rPr>
          <w:rFonts w:ascii="Cambria" w:cs="Cambria" w:eastAsia="Cambria" w:hAnsi="Cambria"/>
          <w:color w:val="E6007E"/>
          <w:sz w:val="24"/>
          <w:szCs w:val="24"/>
        </w:rPr>
        <w:t xml:space="preserve">Authorisation(C) = { ACTIVATED,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N; PENDING,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&lt; N }</w:t>
      </w:r>
      <w:r>
        <w:rPr>
          <w:rFonts w:ascii="Cambria" w:cs="Cambria" w:eastAsia="Cambria" w:hAnsi="Cambria"/>
          <w:sz w:val="24"/>
          <w:szCs w:val="24"/>
        </w:rPr>
        <w:t xml:space="preserve">.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 { ALLOW; PENDING }</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Authorisation(C) = ALLOW.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(56)</w:t>
      </w:r>
    </w:p>
    <w:p>
      <w:pPr>
        <w:pStyle w:val="Heading3"/>
        <w:spacing w:after="160" w:before="280"/>
      </w:pPr>
      <w:r>
        <w:rPr>
          <w:rFonts w:ascii="Cambria" w:cs="Cambria" w:eastAsia="Cambria" w:hAnsi="Cambria"/>
          <w:sz w:val="24"/>
          <w:szCs w:val="24"/>
        </w:rP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color w:val="000000"/>
          <w:sz w:val="21"/>
          <w:szCs w:val="21"/>
        </w:rPr>
        <w:t xml:space="preserve">Require: </w:t>
      </w:r>
      <w:r>
        <w:rPr>
          <w:rFonts w:ascii="Cambria" w:cs="Cambria" w:eastAsia="Cambria" w:hAnsi="Cambria"/>
          <w:color w:val="000000"/>
          <w:sz w:val="21"/>
          <w:szCs w:val="21"/>
        </w:rPr>
        <w:t xml:space="preserve">Consent object C, participant approval a</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000000"/>
          <w:sz w:val="18"/>
          <w:szCs w:val="18"/>
        </w:rPr>
        <w:t xml:space="preserve">2:  </w:t>
      </w:r>
      <w:r>
        <w:rPr>
          <w:rFonts w:ascii="Cambria" w:cs="Cambria" w:eastAsia="Cambria" w:hAnsi="Cambria"/>
          <w:color w:val="000000"/>
          <w:sz w:val="21"/>
          <w:szCs w:val="21"/>
        </w:rPr>
        <w:t xml:space="preserve">N ← |G|</w:t>
      </w:r>
    </w:p>
    <w:p>
      <w:pPr>
        <w:spacing w:after="20"/>
        <w:ind w:left="240"/>
      </w:pPr>
      <w:r>
        <w:rPr>
          <w:rFonts w:ascii="Cambria" w:cs="Cambria" w:eastAsia="Cambria" w:hAnsi="Cambria"/>
          <w:color w:val="000000"/>
          <w:sz w:val="18"/>
          <w:szCs w:val="18"/>
        </w:rPr>
        <w:t xml:space="preserve">3:  </w:t>
      </w:r>
      <w:r>
        <w:rPr>
          <w:rFonts w:ascii="Cambria" w:cs="Cambria" w:eastAsia="Cambria" w:hAnsi="Cambria"/>
          <w:color w:val="000000"/>
          <w:sz w:val="21"/>
          <w:szCs w:val="21"/>
        </w:rPr>
        <w:t xml:space="preserve">signer ← RecoverEIP712(domain, {id</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g, APPROVE},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   ▷ off-chain recovery</w:t>
      </w:r>
    </w:p>
    <w:p>
      <w:pPr>
        <w:spacing w:after="20"/>
        <w:ind w:left="240"/>
      </w:pPr>
      <w:r>
        <w:rPr>
          <w:rFonts w:ascii="Cambria" w:cs="Cambria" w:eastAsia="Cambria" w:hAnsi="Cambria"/>
          <w:color w:val="000000"/>
          <w:sz w:val="18"/>
          <w:szCs w:val="18"/>
        </w:rPr>
        <w:t xml:space="preserve">4: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signer ≠ Addr(g), or the signature binds a different consent, guardian, or chain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5: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16:  </w:t>
      </w:r>
      <w:r>
        <w:rPr>
          <w:rFonts w:ascii="Cambria" w:cs="Cambria" w:eastAsia="Cambria" w:hAnsi="Cambria"/>
          <w:color w:val="000000"/>
          <w:sz w:val="21"/>
          <w:szCs w:val="21"/>
        </w:rPr>
        <w:t xml:space="preserve">Record signature_data[g] ← (signer,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000000"/>
          <w:sz w:val="18"/>
          <w:szCs w:val="18"/>
        </w:rPr>
        <w:t xml:space="preserve">20:  </w:t>
      </w:r>
      <w:r>
        <w:rPr>
          <w:rFonts w:ascii="Cambria" w:cs="Cambria" w:eastAsia="Cambria" w:hAnsi="Cambria"/>
          <w:color w:val="000000"/>
          <w:sz w:val="21"/>
          <w:szCs w:val="21"/>
        </w:rPr>
        <w:t xml:space="preserve">state ← PENDING_TOKEN</w:t>
      </w:r>
    </w:p>
    <w:p>
      <w:pPr>
        <w:spacing w:after="20"/>
        <w:ind w:left="600"/>
      </w:pPr>
      <w:r>
        <w:rPr>
          <w:rFonts w:ascii="Cambria" w:cs="Cambria" w:eastAsia="Cambria" w:hAnsi="Cambria"/>
          <w:color w:val="000000"/>
          <w:sz w:val="18"/>
          <w:szCs w:val="18"/>
        </w:rPr>
        <w:t xml:space="preserve">21:  </w:t>
      </w:r>
      <w:r>
        <w:rPr>
          <w:rFonts w:ascii="Cambria" w:cs="Cambria" w:eastAsia="Cambria" w:hAnsi="Cambria"/>
          <w:color w:val="000000"/>
          <w:sz w:val="21"/>
          <w:szCs w:val="21"/>
        </w:rPr>
        <w:t xml:space="preserve">submit mintConsentV3(addr</w:t>
      </w:r>
      <w:r>
        <w:rPr>
          <w:rFonts w:ascii="Cambria" w:cs="Cambria" w:eastAsia="Cambria" w:hAnsi="Cambria"/>
          <w:color w:val="000000"/>
          <w:sz w:val="21"/>
          <w:szCs w:val="21"/>
          <w:vertAlign w:val="subscript"/>
        </w:rPr>
        <w:t xml:space="preserve">p</w:t>
      </w:r>
      <w:r>
        <w:rPr>
          <w:rFonts w:ascii="Cambria" w:cs="Cambria" w:eastAsia="Cambria" w:hAnsi="Cambria"/>
          <w:color w:val="000000"/>
          <w:sz w:val="21"/>
          <w:szCs w:val="21"/>
        </w:rPr>
        <w:t xml:space="preserve">, addr</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keccak(P</w:t>
      </w:r>
      <w:r>
        <w:rPr>
          <w:rFonts w:ascii="Cambria" w:cs="Cambria" w:eastAsia="Cambria" w:hAnsi="Cambria"/>
          <w:color w:val="000000"/>
          <w:sz w:val="21"/>
          <w:szCs w:val="21"/>
          <w:vertAlign w:val="subscript"/>
        </w:rPr>
        <w:t xml:space="preserve">u</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L, burnAuth) via the owner account   ▷ background job; reconciled on next lookup</w:t>
      </w:r>
    </w:p>
    <w:p>
      <w:pPr>
        <w:spacing w:after="20"/>
        <w:ind w:left="600"/>
      </w:pPr>
      <w:r>
        <w:rPr>
          <w:rFonts w:ascii="Cambria" w:cs="Cambria" w:eastAsia="Cambria" w:hAnsi="Cambria"/>
          <w:color w:val="000000"/>
          <w:sz w:val="18"/>
          <w:szCs w:val="18"/>
        </w:rPr>
        <w:t xml:space="preserve">22:  </w:t>
      </w:r>
      <w:r>
        <w:rPr>
          <w:rFonts w:ascii="Cambria" w:cs="Cambria" w:eastAsia="Cambria" w:hAnsi="Cambria"/>
          <w:color w:val="000000"/>
          <w:sz w:val="21"/>
          <w:szCs w:val="21"/>
        </w:rPr>
        <w:t xml:space="preserve">on confirmation: state ← ACTIVE; record the token identifier</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000000"/>
          <w:sz w:val="18"/>
          <w:szCs w:val="18"/>
        </w:rPr>
        <w:t xml:space="preserve">24: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ACTIVATED   ▷ activation is distinct from the access decision</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26: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27: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28: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spacing w:after="20"/>
        <w:ind w:left="24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end if</w:t>
      </w:r>
    </w:p>
    <w:p>
      <w:pPr>
        <w:pBdr>
          <w:bottom w:val="single" w:color="000000" w:sz="12"/>
        </w:pBdr>
        <w:spacing w:after="60"/>
      </w:pPr>
    </w:p>
    <w:p>
      <w:pPr>
        <w:spacing w:after="160"/>
      </w:pPr>
    </w:p>
    <w:p>
      <w:pPr>
        <w:pStyle w:val="Heading2"/>
        <w:spacing w:after="160" w:before="280"/>
      </w:pPr>
      <w:r>
        <w:rPr>
          <w:rFonts w:ascii="Cambria" w:cs="Cambria" w:eastAsia="Cambria" w:hAnsi="Cambria"/>
          <w:sz w:val="24"/>
          <w:szCs w:val="24"/>
        </w:rP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(58)</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w:t>
      </w:r>
      <w:r>
        <w:rPr>
          <w:rFonts w:ascii="Cambria" w:cs="Cambria" w:eastAsia="Cambria" w:hAnsi="Cambria"/>
          <w:color w:val="E6007E"/>
          <w:sz w:val="24"/>
          <w:szCs w:val="24"/>
        </w:rPr>
        <w:t xml:space="preserve">The complete authorisation decision enforced by the implemented system is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color w:val="000000"/>
          <w:sz w:val="22"/>
          <w:szCs w:val="22"/>
        </w:rPr>
        <w:t xml:space="preserve">	(59)</w:t>
      </w:r>
    </w:p>
    <w:p>
      <w:pPr>
        <w:spacing w:after="140" w:line="300"/>
        <w:jc w:val="both"/>
      </w:pPr>
      <w:r>
        <w:rPr>
          <w:rFonts w:ascii="Cambria" w:cs="Cambria" w:eastAsia="Cambria" w:hAnsi="Cambria"/>
          <w:color w:val="000000"/>
          <w:sz w:val="24"/>
          <w:szCs w:val="24"/>
        </w:rPr>
        <w:t xml:space="preserve">where the five verification functions are evaluated at every access request, and the resulting decision matrix is recorded in the audit ledger together with each GRANTED or DENIED outcome.</w:t>
      </w:r>
    </w:p>
    <w:p>
      <w:pPr>
        <w:pStyle w:val="Heading3"/>
        <w:spacing w:after="160" w:before="280"/>
      </w:pPr>
      <w:r>
        <w:rPr>
          <w:rFonts w:ascii="Cambria" w:cs="Cambria" w:eastAsia="Cambria" w:hAnsi="Cambria"/>
          <w:sz w:val="24"/>
          <w:szCs w:val="24"/>
        </w:rP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For example, if</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(61)</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3810000" cy="6943725"/>
            <wp:effectExtent t="0" r="0" b="0" l="0"/>
            <wp:docPr id="1" name="gfig10.png" descr="Figure 14: RO4 workflow for policy- and context-aware access control" title="Figure 14: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694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14: RO4 workflow for policy- and context-aware access control</w:t>
      </w:r>
    </w:p>
    <w:p>
      <w:pPr>
        <w:jc w:val="center"/>
      </w:pPr>
      <w:r>
        <w:rPr>
          <w:rFonts w:ascii="Cambria" w:cs="Cambria" w:eastAsia="Cambria" w:hAnsi="Cambria"/>
          <w:i/>
          <w:iCs/>
          <w:sz w:val="20"/>
          <w:szCs w:val="20"/>
        </w:rPr>
        <w:t xml:space="preserve">[Figure 14: RO4 workflow for policy- and context-aware access control]</w:t>
      </w:r>
    </w:p>
    <w:p>
      <w:pPr>
        <w:pStyle w:val="Heading3"/>
        <w:spacing w:after="160" w:before="280"/>
      </w:pPr>
      <w:r>
        <w:rPr>
          <w:rFonts w:ascii="Cambria" w:cs="Cambria" w:eastAsia="Cambria" w:hAnsi="Cambria"/>
          <w:sz w:val="24"/>
          <w:szCs w:val="24"/>
        </w:rPr>
        <w:t xml:space="preserve">6.4.2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color w:val="E6007E"/>
          <w:sz w:val="21"/>
          <w:szCs w:val="21"/>
        </w:rPr>
        <w:t xml:space="preserve">Consent object C, access request R = (u, P</w:t>
      </w:r>
      <w:r>
        <w:rPr>
          <w:rFonts w:ascii="Cambria" w:cs="Cambria" w:eastAsia="Cambria" w:hAnsi="Cambria"/>
          <w:color w:val="E6007E"/>
          <w:sz w:val="21"/>
          <w:szCs w:val="21"/>
          <w:vertAlign w:val="subscript"/>
        </w:rPr>
        <w:t xml:space="preserve">R</w:t>
      </w:r>
      <w:r>
        <w:rPr>
          <w:rFonts w:ascii="Cambria" w:cs="Cambria" w:eastAsia="Cambria" w:hAnsi="Cambria"/>
          <w:color w:val="E6007E"/>
          <w:sz w:val="21"/>
          <w:szCs w:val="21"/>
        </w:rPr>
        <w:t xml:space="preserve">, S</w:t>
      </w:r>
      <w:r>
        <w:rPr>
          <w:rFonts w:ascii="Cambria" w:cs="Cambria" w:eastAsia="Cambria" w:hAnsi="Cambria"/>
          <w:color w:val="E6007E"/>
          <w:sz w:val="21"/>
          <w:szCs w:val="21"/>
          <w:vertAlign w:val="subscript"/>
        </w:rPr>
        <w:t xml:space="preserve">R</w:t>
      </w:r>
      <w:r>
        <w:rPr>
          <w:rFonts w:ascii="Cambria" w:cs="Cambria" w:eastAsia="Cambria" w:hAnsi="Cambria"/>
          <w:color w:val="E6007E"/>
          <w:sz w:val="21"/>
          <w:szCs w:val="21"/>
        </w:rPr>
        <w:t xml:space="preserve">, Jur(R)), requesting participant u, current time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000000"/>
          <w:sz w:val="18"/>
          <w:szCs w:val="18"/>
        </w:rPr>
        <w:t xml:space="preserve">22: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 or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S</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26: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t &lt;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or t &gt;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27: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Jur(R) ≠ Jur(C)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28:  </w:t>
      </w:r>
      <w:r>
        <w:rPr>
          <w:rFonts w:ascii="Cambria" w:cs="Cambria" w:eastAsia="Cambria" w:hAnsi="Cambria"/>
          <w:color w:val="000000"/>
          <w:sz w:val="21"/>
          <w:szCs w:val="21"/>
        </w:rPr>
        <w:t xml:space="preserve">Generate and verify a Groth16 proof that Poseidon(secret, expiry) equals the public commitment and that t ≤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record proof_mode = groth16</w:t>
      </w:r>
    </w:p>
    <w:p>
      <w:pPr>
        <w:spacing w:after="20"/>
        <w:ind w:left="240"/>
      </w:pPr>
      <w:r>
        <w:rPr>
          <w:rFonts w:ascii="Cambria" w:cs="Cambria" w:eastAsia="Cambria" w:hAnsi="Cambria"/>
          <w:color w:val="555555"/>
          <w:sz w:val="18"/>
          <w:szCs w:val="18"/>
        </w:rPr>
        <w:t xml:space="preserve">29: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30:  </w:t>
      </w:r>
      <w:r>
        <w:rPr>
          <w:rFonts w:ascii="Cambria" w:cs="Cambria" w:eastAsia="Cambria" w:hAnsi="Cambria"/>
          <w:sz w:val="21"/>
          <w:szCs w:val="21"/>
        </w:rPr>
        <w:t xml:space="preserve">Record granted decision</w:t>
      </w:r>
    </w:p>
    <w:p>
      <w:pPr>
        <w:spacing w:after="20"/>
        <w:ind w:left="240"/>
      </w:pPr>
      <w:r>
        <w:rPr>
          <w:rFonts w:ascii="Cambria" w:cs="Cambria" w:eastAsia="Cambria" w:hAnsi="Cambria"/>
          <w:color w:val="555555"/>
          <w:sz w:val="18"/>
          <w:szCs w:val="18"/>
        </w:rPr>
        <w:t xml:space="preserve">31: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pBdr>
          <w:bottom w:val="single" w:color="000000" w:sz="12"/>
        </w:pBdr>
        <w:spacing w:after="60"/>
      </w:pPr>
    </w:p>
    <w:p>
      <w:pPr>
        <w:spacing w:after="160"/>
      </w:pP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p>
      <w:pPr>
        <w:pStyle w:val="Heading3"/>
        <w:spacing w:after="160" w:before="280"/>
      </w:pPr>
      <w:r>
        <w:rPr>
          <w:rFonts w:ascii="Cambria" w:cs="Cambria" w:eastAsia="Cambria" w:hAnsi="Cambria"/>
          <w:sz w:val="24"/>
          <w:szCs w:val="24"/>
        </w:rPr>
        <w:t xml:space="preserve">6.4.3  Procedure for Policy-Aware Access Decision</w:t>
      </w:r>
    </w:p>
    <w:p>
      <w:pPr>
        <w:spacing w:after="140" w:line="300"/>
        <w:jc w:val="both"/>
      </w:pPr>
      <w:r>
        <w:rPr>
          <w:rFonts w:ascii="Cambria" w:cs="Cambria" w:eastAsia="Cambria" w:hAnsi="Cambria"/>
          <w:sz w:val="24"/>
          <w:szCs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represented as R = (u,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w:t>
      </w:r>
      <w:r>
        <w:rPr>
          <w:rFonts w:ascii="Cambria" w:cs="Cambria" w:eastAsia="Cambria" w:hAnsi="Cambria"/>
          <w:color w:val="E6007E"/>
          <w:sz w:val="24"/>
          <w:szCs w:val="24"/>
        </w:rPr>
        <w:t xml:space="preserve">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 P</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which means the requested</w:t>
      </w:r>
      <w:r>
        <w:rPr>
          <w:rFonts w:ascii="Cambria" w:cs="Cambria" w:eastAsia="Cambria" w:hAnsi="Cambria"/>
          <w:color w:val="000000"/>
          <w:sz w:val="24"/>
          <w:szCs w:val="24"/>
        </w:rPr>
        <w:t xml:space="preserve"> purpose is required to satisfy the privacy constraint P</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before access can proceed.</w:t>
      </w:r>
      <w:r>
        <w:rPr>
          <w:rFonts w:ascii="Cambria" w:cs="Cambria" w:eastAsia="Cambria" w:hAnsi="Cambria"/>
          <w:sz w:val="24"/>
          <w:szCs w:val="24"/>
        </w:rPr>
        <w:t xml:space="preserve"> </w:t>
      </w:r>
      <w:r>
        <w:rPr>
          <w:rFonts w:ascii="Cambria" w:cs="Cambria" w:eastAsia="Cambria" w:hAnsi="Cambria"/>
          <w:color w:val="000000"/>
          <w:sz w:val="24"/>
          <w:szCs w:val="24"/>
        </w:rPr>
        <w:t xml:space="preserve">The evaluation pipeline is designed so that a request violating the privacy constraint is refused before any data is released; a formal proof of this property forms part of the next stage security analysis.</w:t>
      </w:r>
      <w:r>
        <w:rPr>
          <w:rFonts w:ascii="Cambria" w:cs="Cambria" w:eastAsia="Cambria" w:hAnsi="Cambria"/>
          <w:sz w:val="24"/>
          <w:szCs w:val="24"/>
        </w:rPr>
        <w:t xml:space="preserve">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w:t>
      </w:r>
      <w:r>
        <w:rPr>
          <w:rFonts w:ascii="Cambria" w:cs="Cambria" w:eastAsia="Cambria" w:hAnsi="Cambria"/>
          <w:color w:val="E6007E"/>
          <w:sz w:val="24"/>
          <w:szCs w:val="24"/>
        </w:rPr>
        <w:t xml:space="preserve">PurposeMatch(P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P</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 ScopeMatch(S</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S</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 (t</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 t ≤ t</w:t>
      </w:r>
      <w:r>
        <w:rPr>
          <w:rFonts w:ascii="Cambria" w:cs="Cambria" w:eastAsia="Cambria" w:hAnsi="Cambria"/>
          <w:color w:val="E6007E"/>
          <w:sz w:val="24"/>
          <w:szCs w:val="24"/>
          <w:vertAlign w:val="subscript"/>
        </w:rPr>
        <w:t xml:space="preserve">e</w:t>
      </w:r>
      <w:r>
        <w:rPr>
          <w:rFonts w:ascii="Cambria" w:cs="Cambria" w:eastAsia="Cambria" w:hAnsi="Cambria"/>
          <w:color w:val="E6007E"/>
          <w:sz w:val="24"/>
          <w:szCs w:val="24"/>
        </w:rPr>
        <w:t xml:space="preserve">) ∧ (Jur(R) = Jur(C))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R → DID/VC → Consent State → Threshold → Purpose → Scope → Policy Eval. → Evidence → Data Retr. → { ALLOW; DENY }</w:t>
      </w:r>
    </w:p>
    <w:p>
      <w:pPr>
        <w:spacing w:after="140" w:line="300"/>
        <w:jc w:val="both"/>
      </w:pPr>
      <w:r>
        <w:rPr>
          <w:rFonts w:ascii="Cambria" w:cs="Cambria" w:eastAsia="Cambria" w:hAnsi="Cambria"/>
          <w:color w:val="000000"/>
          <w:sz w:val="24"/>
          <w:szCs w:val="24"/>
        </w:rPr>
        <w:t xml:space="preserve">In the implemented system the approval threshold is N-of-N: N = |G|, so that every designated guardian must sign, and the evaluated configuration is accordingly 2-of-2. Consequently, a configurable k-of-n threshold remains an item of future work rather than a property of the demonstrated prototype.</w:t>
      </w:r>
    </w:p>
    <w:p>
      <w:pPr>
        <w:spacing w:after="140" w:line="300"/>
        <w:jc w:val="both"/>
      </w:pPr>
      <w:r>
        <w:rPr>
          <w:rFonts w:ascii="Cambria" w:cs="Cambria" w:eastAsia="Cambria" w:hAnsi="Cambria"/>
          <w:color w:val="000000"/>
          <w:sz w:val="24"/>
          <w:szCs w:val="24"/>
        </w:rPr>
        <w:t xml:space="preserve">In the demonstrated prototype, purpose compatibility is evaluated as an exact match against the consent purpose, which is stored on-chain as keccak256(purpose). </w:t>
      </w:r>
      <w:r>
        <w:rPr>
          <w:rFonts w:ascii="Cambria" w:cs="Cambria" w:eastAsia="Cambria" w:hAnsi="Cambria"/>
          <w:color w:val="E6007E"/>
          <w:sz w:val="24"/>
          <w:szCs w:val="24"/>
        </w:rPr>
        <w:t xml:space="preserve">A formal proof that no execution path can violate the privacy policy is, however, deliberately left to future work.</w:t>
      </w:r>
    </w:p>
    <w:p>
      <w:pPr>
        <w:spacing w:after="140" w:line="300"/>
        <w:jc w:val="both"/>
      </w:pPr>
      <w:r>
        <w:rPr>
          <w:rFonts w:ascii="Cambria" w:cs="Cambria" w:eastAsia="Cambria" w:hAnsi="Cambria"/>
          <w:sz w:val="24"/>
          <w:szCs w:val="24"/>
        </w:rPr>
        <w:t xml:space="preserve">The final access decision can be formally expressed as ALLOW ⟺ Identity ∧ Consent ∧ Authority ∧ Threshold ∧ Purpose ∧ Scope ∧ Evidence where the individual conditions represent verified participant identity, active consent, sufficient authority, satisfied multi-party approval, compatible purpose, authorised data scope, and sufficient decision evidence, respectively.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p>
    <w:p>
      <w:pPr>
        <w:spacing w:after="140" w:line="300"/>
        <w:jc w:val="both"/>
      </w:pPr>
      <w:r>
        <w:rPr>
          <w:rFonts w:ascii="Cambria" w:cs="Cambria" w:eastAsia="Cambria" w:hAnsi="Cambria"/>
          <w:sz w:val="24"/>
          <w:szCs w:val="24"/>
        </w:rP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p>
      <w:pPr>
        <w:pStyle w:val="Heading2"/>
        <w:spacing w:after="160" w:before="280"/>
      </w:pPr>
      <w:r>
        <w:rPr>
          <w:rFonts w:ascii="Cambria" w:cs="Cambria" w:eastAsia="Cambria" w:hAnsi="Cambria"/>
          <w:sz w:val="24"/>
          <w:szCs w:val="24"/>
        </w:rPr>
        <w:t xml:space="preserve">6.5  Temporal and Lifecycle Trust for RO5</w:t>
      </w:r>
    </w:p>
    <w:p>
      <w:pPr>
        <w:spacing w:after="140" w:line="300"/>
        <w:jc w:val="both"/>
      </w:pPr>
      <w:r>
        <w:rPr>
          <w:rFonts w:ascii="Cambria" w:cs="Cambria" w:eastAsia="Cambria" w:hAnsi="Cambria"/>
          <w:sz w:val="24"/>
          <w:szCs w:val="24"/>
        </w:rPr>
        <w:t xml:space="preserve">RO5 addresses RQ5 and extends the foundational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model with temporal validity and consent lifecycle controls. </w:t>
      </w:r>
      <w:r>
        <w:rPr>
          <w:rFonts w:ascii="Cambria" w:cs="Cambria" w:eastAsia="Cambria" w:hAnsi="Cambria"/>
          <w:color w:val="E6007E"/>
          <w:sz w:val="24"/>
          <w:szCs w:val="24"/>
        </w:rPr>
        <w:t xml:space="preserve">Although this objective was originally planned for the next stage (CA3), it has been realised in the current prototype; it investigates how an authorisation remains trustworthy as time passes and as the consent state changes.</w:t>
      </w:r>
      <w:r>
        <w:rPr>
          <w:rFonts w:ascii="Cambria" w:cs="Cambria" w:eastAsia="Cambria" w:hAnsi="Cambria"/>
          <w:sz w:val="24"/>
          <w:szCs w:val="24"/>
        </w:rPr>
        <w:t xml:space="preserve"> The current stage model evaluates identity, collective authorisation, and policy compliance. RO5 extends this model by introducing temporal and lifecycle conditions that</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(63)</w:t>
      </w:r>
    </w:p>
    <w:p>
      <w:pPr>
        <w:spacing w:after="140" w:line="300"/>
        <w:jc w:val="both"/>
      </w:pPr>
      <w:r>
        <w:rPr>
          <w:rFonts w:ascii="Cambria" w:cs="Cambria" w:eastAsia="Cambria" w:hAnsi="Cambria"/>
          <w:color w:val="E6007E"/>
          <w:sz w:val="24"/>
          <w:szCs w:val="24"/>
        </w:rPr>
        <w:t xml:space="preserve">The jurisdictional condition, written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R) here and abbreviated to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in the decision rules that follow because the request R is understood, can be expressed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L</w:t>
      </w:r>
      <w:r>
        <w:rPr>
          <w:rFonts w:ascii="Cambria Math" w:cs="Cambria Math" w:eastAsia="Cambria Math" w:hAnsi="Cambria Math"/>
          <w:i/>
          <w:iCs/>
          <w:color w:val="000000"/>
          <w:sz w:val="22"/>
          <w:szCs w:val="22"/>
        </w:rPr>
        <w:t xml:space="preserve">(C, R) = 1 ⟺ Jur(R) = Jur(C) ∨ Jur(C) = ∅</w:t>
      </w:r>
      <w:r>
        <w:rPr>
          <w:rFonts w:ascii="Cambria" w:cs="Cambria" w:eastAsia="Cambria" w:hAnsi="Cambria"/>
          <w:color w:val="000000"/>
          <w:sz w:val="22"/>
          <w:szCs w:val="22"/>
        </w:rPr>
        <w:t xml:space="preserve">	(64)</w:t>
      </w:r>
    </w:p>
    <w:p>
      <w:pPr>
        <w:spacing w:after="140" w:line="300"/>
        <w:jc w:val="both"/>
      </w:pPr>
      <w:r>
        <w:rPr>
          <w:rFonts w:ascii="Cambria" w:cs="Cambria" w:eastAsia="Cambria" w:hAnsi="Cambria"/>
          <w:color w:val="000000"/>
          <w:sz w:val="24"/>
          <w:szCs w:val="24"/>
        </w:rPr>
        <w:t xml:space="preserve">where Jur(·) denotes the jurisdiction attribute, recorded on-chain as a two-letter ISO code, and where lifecycle state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rather than within this predicate. This is important because it is precisely this check that produced the demonstrated denial in which a request declaring jurisdiction SA was refused against a consent issued for AU. </w:t>
      </w:r>
      <w:r>
        <w:rPr>
          <w:rFonts w:ascii="Cambria" w:cs="Cambria" w:eastAsia="Cambria" w:hAnsi="Cambria"/>
          <w:color w:val="0000CC"/>
          <w:sz w:val="24"/>
          <w:szCs w:val="24"/>
        </w:rPr>
        <w:t xml:space="preserve">It should be noted that, because the jurisdiction L is validated and bound at consent creation (Section 6.1.1), the disjunct Jur(C) = ∅ is not reached for any consent created through the current interface, so that in the demonstrated system the predicate reduces to strict equality, as Section 6.8.5 confirms.</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rPr>
          <w:rFonts w:ascii="Cambria" w:cs="Cambria" w:eastAsia="Cambria" w:hAnsi="Cambria"/>
          <w:sz w:val="24"/>
          <w:szCs w:val="24"/>
        </w:rPr>
        <w:t xml:space="preserve">6.5.1  RO5 Temporal and Lifecycle Workflow</w:t>
      </w:r>
    </w:p>
    <w:p>
      <w:pPr>
        <w:spacing w:after="140" w:line="300"/>
        <w:jc w:val="both"/>
      </w:pPr>
      <w:r>
        <w:rPr>
          <w:rFonts w:ascii="Cambria" w:cs="Cambria" w:eastAsia="Cambria" w:hAnsi="Cambria"/>
          <w:color w:val="000000"/>
          <w:sz w:val="24"/>
          <w:szCs w:val="24"/>
        </w:rPr>
        <w:t xml:space="preserve">Temporal and lifecycle enforcement is implemented in the demonstrated prototype. In particular, the Consent Engine evaluates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 t ≤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at every access request, the deployed contract stores the notBefore and expiry fields and exposes the checkValid and checkValidAt functions, and revocation is executed both in the application state and as an on-chain revoke transaction confirmed in block 11,771,307.</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implemented</w:t>
      </w:r>
      <w:r>
        <w:rPr>
          <w:rFonts w:ascii="Cambria" w:cs="Cambria" w:eastAsia="Cambria" w:hAnsi="Cambria"/>
          <w:sz w:val="24"/>
          <w:szCs w:val="24"/>
        </w:rPr>
        <w:t xml:space="preserve">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Heading3"/>
        <w:spacing w:after="160" w:before="280"/>
      </w:pPr>
      <w:r>
        <w:rPr>
          <w:rFonts w:ascii="Cambria" w:cs="Cambria" w:eastAsia="Cambria" w:hAnsi="Cambria"/>
          <w:sz w:val="24"/>
          <w:szCs w:val="24"/>
        </w:rPr>
        <w:t xml:space="preserve">6.5.2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140" w:line="300"/>
        <w:jc w:val="both"/>
      </w:pPr>
      <w:r>
        <w:rPr>
          <w:rFonts w:ascii="Cambria" w:cs="Cambria" w:eastAsia="Cambria" w:hAnsi="Cambria"/>
          <w:color w:val="000000"/>
          <w:sz w:val="24"/>
          <w:szCs w:val="24"/>
        </w:rPr>
        <w:t xml:space="preserve">The implemented lifecycle states are PENDING_SIGNATURE, PENDING_TOKEN, NOT_STARTED, ACTIVE, EXPIRED and REVOKED.</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 </w:t>
      </w:r>
      <w:r>
        <w:rPr>
          <w:rFonts w:ascii="Cambria" w:cs="Cambria" w:eastAsia="Cambria" w:hAnsi="Cambria"/>
          <w:color w:val="E6007E"/>
          <w:sz w:val="24"/>
          <w:szCs w:val="24"/>
        </w:rPr>
        <w:t xml:space="preserve">It should be noted that the symbol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in this section denotes the composite temporal–state predicate of Eq. (18), which the implementation evaluates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and that it must not be confused with the data-scope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R) of Eq. (57); for this reason the lifecycle predicate is always written with three arguments,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t, q), in this section. It is evaluated by this procedure</w:t>
      </w:r>
      <w:r>
        <w:rPr>
          <w:rFonts w:ascii="Cambria" w:cs="Cambria" w:eastAsia="Cambria" w:hAnsi="Cambria"/>
          <w:color w:val="000000"/>
          <w:sz w:val="24"/>
          <w:szCs w:val="24"/>
        </w:rPr>
        <w:t xml:space="preserve">; it is distinct from the jurisdictional predicate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of the decision rule, which is evaluated separately.</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VALID. If any mandatory condition fails, the procedure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overall flow can therefore be summarised as Consent → Identity → Authority → Policy → Temporal/Lifecycle Validation → Access</w:t>
      </w:r>
    </w:p>
    <w:p>
      <w:pPr>
        <w:spacing w:after="140" w:line="300"/>
        <w:jc w:val="both"/>
      </w:pPr>
      <w:r>
        <w:rPr>
          <w:rFonts w:ascii="Cambria" w:cs="Cambria" w:eastAsia="Cambria" w:hAnsi="Cambria"/>
          <w:color w:val="000000"/>
          <w:sz w:val="24"/>
          <w:szCs w:val="24"/>
        </w:rPr>
        <w:t xml:space="preserve">the lifecycle validation mechanism can therefore be interpreted as a per-request validity layer: validity is re-established at each evaluated access request and recorded as a STATE_CHECK event in the audit ledger, rather than being assumed to persist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w:t>
      </w:r>
      <w:r>
        <w:rPr>
          <w:rFonts w:ascii="Cambria" w:cs="Cambria" w:eastAsia="Cambria" w:hAnsi="Cambria"/>
          <w:color w:val="E6007E"/>
          <w:sz w:val="24"/>
          <w:szCs w:val="24"/>
        </w:rPr>
        <w:t xml:space="preserve">for dynamic consent environments [13, 24] in which permissions may expire, be revoked, suspended, renewed, or otherwise modified</w:t>
      </w:r>
      <w:r>
        <w:rPr>
          <w:rFonts w:ascii="Cambria" w:cs="Cambria" w:eastAsia="Cambria" w:hAnsi="Cambria"/>
          <w:sz w:val="24"/>
          <w:szCs w:val="24"/>
        </w:rPr>
        <w:t xml:space="preserve"> during the lifecycle of a healthcare data-sharing relationship.</w:t>
      </w:r>
    </w:p>
    <w:p>
      <w:pPr>
        <w:pStyle w:val="Heading3"/>
        <w:spacing w:after="160" w:before="280"/>
      </w:pPr>
      <w:r>
        <w:rPr>
          <w:rFonts w:ascii="Cambria" w:cs="Cambria" w:eastAsia="Cambria" w:hAnsi="Cambria"/>
          <w:sz w:val="24"/>
          <w:szCs w:val="24"/>
        </w:rPr>
        <w:t xml:space="preserve">6.5.3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spacing w:after="140" w:line="300"/>
        <w:jc w:val="both"/>
      </w:pPr>
      <w:r>
        <w:rPr>
          <w:rFonts w:ascii="Cambria" w:cs="Cambria" w:eastAsia="Cambria" w:hAnsi="Cambria"/>
          <w:color w:val="000000"/>
          <w:sz w:val="24"/>
          <w:szCs w:val="24"/>
        </w:rPr>
        <w:t xml:space="preserve">Algorithm 5 is implemented in the current prototype. Its checks are executed at every access request and recorded as STATE_CHECK events in the audit ledger, so that expiration, revocation and controlled state transitions already condition the demonstrated access decisions rather than awaiting a later implementation stage.</w:t>
      </w:r>
    </w:p>
    <w:p>
      <w:pPr>
        <w:keepNext/>
        <w:spacing w:after="60" w:before="140"/>
        <w:jc w:val="center"/>
      </w:pPr>
      <w:r>
        <w:drawing>
          <wp:inline distT="0" distB="0" distL="0" distR="0">
            <wp:extent cx="4095750" cy="5876925"/>
            <wp:effectExtent t="0" r="0" b="0" l="0"/>
            <wp:docPr id="1" name="gfig11.png" descr="Figure 15: RO5 workflow for temporal and consent lifecycle trust" title="Figure 15: 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5876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15: RO5 workflow for temporal and consent lifecycle trust</w:t>
      </w:r>
    </w:p>
    <w:p>
      <w:pPr>
        <w:jc w:val="center"/>
      </w:pPr>
      <w:r>
        <w:rPr>
          <w:rFonts w:ascii="Cambria" w:cs="Cambria" w:eastAsia="Cambria" w:hAnsi="Cambria"/>
          <w:i/>
          <w:iCs/>
          <w:sz w:val="20"/>
          <w:szCs w:val="20"/>
        </w:rPr>
        <w:t xml:space="preserve">[Figure 15: RO5 workflow for temporal and consent lifecycle trust]</w:t>
      </w:r>
    </w:p>
    <w:p>
      <w:pPr>
        <w:spacing w:after="140" w:line="300"/>
        <w:jc w:val="both"/>
      </w:pPr>
      <w:r>
        <w:rPr>
          <w:rFonts w:ascii="Cambria" w:cs="Cambria" w:eastAsia="Cambria" w:hAnsi="Cambria"/>
          <w:sz w:val="24"/>
          <w:szCs w:val="24"/>
        </w:rPr>
        <w:t xml:space="preserve">Algorithm 5 extends the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decision process by ensuring that consent validity is dynamic rather than permanent.</w:t>
      </w:r>
    </w:p>
    <w:p>
      <w:pPr>
        <w:pStyle w:val="Heading2"/>
        <w:spacing w:after="160" w:before="280"/>
      </w:pPr>
      <w:r>
        <w:rPr>
          <w:rFonts w:ascii="Cambria" w:cs="Cambria" w:eastAsia="Cambria" w:hAnsi="Cambria"/>
          <w:sz w:val="24"/>
          <w:szCs w:val="24"/>
        </w:rP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w:t>
      </w:r>
      <w:r>
        <w:rPr>
          <w:rFonts w:ascii="Cambria" w:cs="Cambria" w:eastAsia="Cambria" w:hAnsi="Cambria"/>
          <w:color w:val="E6007E"/>
          <w:sz w:val="24"/>
          <w:szCs w:val="24"/>
        </w:rPr>
        <w:t xml:space="preserve">The formal decision model is expressed in Equation (66) below.</w:t>
      </w:r>
    </w:p>
    <w:p>
      <w:pPr>
        <w:spacing w:after="140" w:line="300"/>
        <w:jc w:val="both"/>
      </w:pPr>
      <w:r>
        <w:rPr>
          <w:rFonts w:ascii="Cambria" w:cs="Cambria" w:eastAsia="Cambria" w:hAnsi="Cambria"/>
          <w:color w:val="000000"/>
          <w:sz w:val="24"/>
          <w:szCs w:val="24"/>
        </w:rPr>
        <w:t xml:space="preserve">The empirical half of this objective has been carried out on the demonstrated prototype, whereas formal proofs and model checking of the authorisation properties remain future work. Figure 16 accordingly presents the RO6 workflow for security assurance, in which the empirical branch has been executed and the formal branch remains planned. </w:t>
      </w:r>
      <w:r>
        <w:rPr>
          <w:rFonts w:ascii="Cambria" w:cs="Cambria" w:eastAsia="Cambria" w:hAnsi="Cambria"/>
          <w:color w:val="0000CC"/>
          <w:sz w:val="24"/>
          <w:szCs w:val="24"/>
        </w:rPr>
        <w:t xml:space="preserve">The empirical evidence comprises the 23 automated tests that exercise per-dimension failures of the decision matrix, invalid EIP-712 guardian signatures and tampered or expired proofs, the live jurisdiction-based denial and the revocation followed by refusal on Sepolia, and the independent re-verification of every recorded transaction against the chain, all of which are presented in Section 6.8.</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(66)</w:t>
      </w:r>
    </w:p>
    <w:p>
      <w:pPr>
        <w:spacing w:after="140" w:line="300"/>
        <w:jc w:val="both"/>
      </w:pPr>
      <w:r>
        <w:rPr>
          <w:rFonts w:ascii="Cambria" w:cs="Cambria" w:eastAsia="Cambria" w:hAnsi="Cambria"/>
          <w:color w:val="E6007E"/>
          <w:sz w:val="24"/>
          <w:szCs w:val="24"/>
        </w:rPr>
        <w:t xml:space="preserve">The soundness property actually validated is Decision(C, R, t) = ALLOW ⇒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of which Equations (67) and (68) give the foundational three-predicate form; each conjunct of the five-predicate rule</w:t>
      </w:r>
      <w:r>
        <w:rPr>
          <w:rFonts w:ascii="Cambria" w:cs="Cambria" w:eastAsia="Cambria" w:hAnsi="Cambria"/>
          <w:color w:val="000000"/>
          <w:sz w:val="24"/>
          <w:szCs w:val="24"/>
        </w:rPr>
        <w:t xml:space="preserve"> each conjunct is exercised by a dedicated per-dimension failure test that confirms access is denied when that predicate alone fails.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(68)</w:t>
      </w:r>
    </w:p>
    <w:p>
      <w:pPr>
        <w:pStyle w:val="Heading3"/>
        <w:spacing w:after="160" w:before="280"/>
      </w:pPr>
      <w:r>
        <w:rPr>
          <w:rFonts w:ascii="Cambria" w:cs="Cambria" w:eastAsia="Cambria" w:hAnsi="Cambria"/>
          <w:sz w:val="24"/>
          <w:szCs w:val="24"/>
        </w:rPr>
        <w:t xml:space="preserve">6.6.1  RO6 Assurance and Validation Workflow</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HALAH prototype provides the implementation basis for this evaluation. The current system includes separate patient, guardian, doctor, and auditor interfaces. It also records consent creation, guardian approval, token minting, state checks, and data-access events.</w:t>
      </w:r>
    </w:p>
    <w:p>
      <w:pPr>
        <w:pStyle w:val="Heading3"/>
        <w:spacing w:after="160" w:before="280"/>
      </w:pPr>
      <w:r>
        <w:rPr>
          <w:rFonts w:ascii="Cambria" w:cs="Cambria" w:eastAsia="Cambria" w:hAnsi="Cambria"/>
          <w:sz w:val="24"/>
          <w:szCs w:val="24"/>
        </w:rP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762500" cy="5343525"/>
            <wp:effectExtent t="0" r="0" b="0" l="0"/>
            <wp:docPr id="1" name="gfig12.png" descr="Figure 16: RO6 workflow for formal security assurance and empirical validation" title="Figure 16: 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5343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16: RO6 workflow for formal security assurance and empirical validation</w:t>
      </w:r>
    </w:p>
    <w:p>
      <w:pPr>
        <w:jc w:val="center"/>
      </w:pPr>
      <w:r>
        <w:rPr>
          <w:rFonts w:ascii="Cambria" w:cs="Cambria" w:eastAsia="Cambria" w:hAnsi="Cambria"/>
          <w:i/>
          <w:iCs/>
          <w:sz w:val="20"/>
          <w:szCs w:val="20"/>
        </w:rPr>
        <w:t xml:space="preserve">[Figure 16: RO6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policy compliance, scope enforcement, temporal consistency, and audit consistency. Formally, P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The adversarial test set is particularly important because a framework should not only demonstrate that legitimate requests succeed, but also demonstrate resilience against foreseeable attempts to bypass its security controls.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The expected threshold property is Authorisation(C) = ALLOW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The resulting validation methodology provides empirical evidence that the proposed authorisation model is not merely conceptually defined but is operationally enforceable and testable under legitimate, invalid, and adversarial conditions.</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 ∗ 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 ∗ 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 ∗ 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 ∗ valid ∪ S ∗ negative ∪ S ∗ adv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pBdr>
          <w:bottom w:val="single" w:color="000000" w:sz="12"/>
        </w:pBdr>
        <w:spacing w:after="60"/>
      </w:pPr>
    </w:p>
    <w:p>
      <w:pPr>
        <w:spacing w:after="160"/>
      </w:pPr>
    </w:p>
    <w:p>
      <w:pPr>
        <w:pStyle w:val="Heading3"/>
        <w:spacing w:after="160" w:before="280"/>
      </w:pPr>
      <w:r>
        <w:rPr>
          <w:rFonts w:ascii="Cambria" w:cs="Cambria" w:eastAsia="Cambria" w:hAnsi="Cambria"/>
          <w:sz w:val="24"/>
          <w:szCs w:val="24"/>
        </w:rP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rPr>
          <w:rFonts w:ascii="Cambria" w:cs="Cambria" w:eastAsia="Cambria" w:hAnsi="Cambria"/>
          <w:sz w:val="24"/>
          <w:szCs w:val="24"/>
        </w:rP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This structure reflects the staged research design in which </w:t>
      </w:r>
      <w:r>
        <w:rPr>
          <w:rFonts w:ascii="Cambria" w:cs="Cambria" w:eastAsia="Cambria" w:hAnsi="Cambria"/>
          <w:color w:val="E6007E"/>
          <w:sz w:val="24"/>
          <w:szCs w:val="24"/>
        </w:rPr>
        <w:t xml:space="preserve">the current stage establishes the foundational authorisation mechanisms together with their dynamic validity, and CA3 completes their formal</w:t>
      </w:r>
    </w:p>
    <w:p>
      <w:pPr>
        <w:spacing w:after="140" w:line="300"/>
        <w:jc w:val="both"/>
      </w:pPr>
      <w:r>
        <w:rPr>
          <w:rFonts w:ascii="Cambria" w:cs="Cambria" w:eastAsia="Cambria" w:hAnsi="Cambria"/>
          <w:sz w:val="24"/>
          <w:szCs w:val="24"/>
        </w:rPr>
        <w:t xml:space="preserve">dynamic validity, security assurance, and comprehensive practical effectiveness. The overall trust-oriented authorisation process can therefore be summarised as Trustworthy Access with </w:t>
      </w:r>
      <w:r>
        <w:rPr>
          <w:rFonts w:ascii="Cambria" w:cs="Cambria" w:eastAsia="Cambria" w:hAnsi="Cambria"/>
          <w:color w:val="000000"/>
          <w:sz w:val="24"/>
          <w:szCs w:val="24"/>
        </w:rPr>
        <w:t xml:space="preserve">1) Identity Trust,</w:t>
      </w:r>
      <w:r>
        <w:rPr>
          <w:rFonts w:ascii="Cambria" w:cs="Cambria" w:eastAsia="Cambria" w:hAnsi="Cambria"/>
          <w:sz w:val="24"/>
          <w:szCs w:val="24"/>
        </w:rPr>
        <w:t xml:space="preserve"> </w:t>
      </w:r>
      <w:r>
        <w:rPr>
          <w:rFonts w:ascii="Cambria" w:cs="Cambria" w:eastAsia="Cambria" w:hAnsi="Cambria"/>
          <w:color w:val="000000"/>
          <w:sz w:val="24"/>
          <w:szCs w:val="24"/>
        </w:rPr>
        <w:t xml:space="preserve">2)</w:t>
      </w:r>
      <w:r>
        <w:rPr>
          <w:rFonts w:ascii="Cambria" w:cs="Cambria" w:eastAsia="Cambria" w:hAnsi="Cambria"/>
          <w:sz w:val="24"/>
          <w:szCs w:val="24"/>
        </w:rPr>
        <w:t xml:space="preserve"> Authority Trust, </w:t>
      </w:r>
      <w:r>
        <w:rPr>
          <w:rFonts w:ascii="Cambria" w:cs="Cambria" w:eastAsia="Cambria" w:hAnsi="Cambria"/>
          <w:color w:val="000000"/>
          <w:sz w:val="24"/>
          <w:szCs w:val="24"/>
        </w:rPr>
        <w:t xml:space="preserve">3)</w:t>
      </w:r>
      <w:r>
        <w:rPr>
          <w:rFonts w:ascii="Cambria" w:cs="Cambria" w:eastAsia="Cambria" w:hAnsi="Cambria"/>
          <w:sz w:val="24"/>
          <w:szCs w:val="24"/>
        </w:rPr>
        <w:t xml:space="preserve"> Collective Authorisation, </w:t>
      </w:r>
      <w:r>
        <w:rPr>
          <w:rFonts w:ascii="Cambria" w:cs="Cambria" w:eastAsia="Cambria" w:hAnsi="Cambria"/>
          <w:color w:val="E6007E"/>
          <w:sz w:val="24"/>
          <w:szCs w:val="24"/>
        </w:rPr>
        <w:t xml:space="preserve">4) Policy Compliance, 5) Temporal, Jurisdictional and Lifecycle Trust, and 6) Formal and Empirical Assurance of the complete decision.</w:t>
      </w:r>
      <w:r>
        <w:rPr>
          <w:rFonts w:ascii="Cambria" w:cs="Cambria" w:eastAsia="Cambria" w:hAnsi="Cambria"/>
          <w:sz w:val="24"/>
          <w:szCs w:val="24"/>
        </w:rPr>
        <w:t xml:space="preserve"> </w:t>
      </w:r>
      <w:r>
        <w:rPr>
          <w:rFonts w:ascii="Cambria" w:cs="Cambria" w:eastAsia="Cambria" w:hAnsi="Cambria"/>
          <w:color w:val="E6007E"/>
          <w:sz w:val="24"/>
          <w:szCs w:val="24"/>
        </w:rPr>
        <w:t xml:space="preserve">For the current stage implementation, the operational decision was originally based on the three-predicate rule of Equation (69), which the five-predicate rule of Equation (70) now supersedes in the implemented system.</w:t>
      </w:r>
    </w:p>
    <w:p>
      <w:pPr>
        <w:spacing w:after="140" w:line="300"/>
        <w:jc w:val="both"/>
      </w:pPr>
      <w:r>
        <w:rPr>
          <w:rFonts w:ascii="Cambria" w:cs="Cambria" w:eastAsia="Cambria" w:hAnsi="Cambria"/>
          <w:color w:val="000000"/>
          <w:sz w:val="24"/>
          <w:szCs w:val="24"/>
        </w:rPr>
        <w:t xml:space="preserve">Algorithms 1–5 are all realised in the current prototype, and the empirical branch of Algorithm 6 has been executed against it. Consequently, only the formal-assurance branch, together with configurable k-of-n thresholds and authenticated requesters, remains for the next stage.</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The CA3 extension incorporates temporal and lifecycle conditions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(70)</w:t>
      </w:r>
    </w:p>
    <w:p>
      <w:pPr>
        <w:spacing w:after="140" w:line="300"/>
        <w:jc w:val="both"/>
      </w:pPr>
      <w:r>
        <w:rPr>
          <w:rFonts w:ascii="Cambria" w:cs="Cambria" w:eastAsia="Cambria" w:hAnsi="Cambria"/>
          <w:color w:val="000000"/>
          <w:sz w:val="24"/>
          <w:szCs w:val="24"/>
        </w:rPr>
        <w:t xml:space="preserve">The implemented system enforces the complete rule of Equation (70): access is granted only when all five predicates hold, revocation is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and every decision, whether granted or denied, is logged together with the full decision matrix; Equation (69) is retained as the historical current-stage formulation.</w:t>
      </w:r>
    </w:p>
    <w:p>
      <w:pPr>
        <w:spacing w:after="140" w:line="300"/>
        <w:jc w:val="both"/>
      </w:pPr>
      <w:r>
        <w:rPr>
          <w:rFonts w:ascii="Cambria" w:cs="Cambria" w:eastAsia="Cambria" w:hAnsi="Cambria"/>
          <w:sz w:val="24"/>
          <w:szCs w:val="24"/>
        </w:rPr>
        <w:t xml:space="preserve">These equations demonstrate that trust is not provided by blockchain alone. </w:t>
      </w:r>
      <w:r>
        <w:rPr>
          <w:rFonts w:ascii="Cambria" w:cs="Cambria" w:eastAsia="Cambria" w:hAnsi="Cambria"/>
          <w:color w:val="E6007E"/>
          <w:sz w:val="24"/>
          <w:szCs w:val="24"/>
        </w:rPr>
        <w:t xml:space="preserve">Blockchain contributes integrity, tamper resistance, persistence, and auditability [2], [18].</w:t>
      </w:r>
      <w:r>
        <w:rPr>
          <w:rFonts w:ascii="Cambria" w:cs="Cambria" w:eastAsia="Cambria" w:hAnsi="Cambria"/>
          <w:sz w:val="24"/>
          <w:szCs w:val="24"/>
        </w:rPr>
        <w:t xml:space="preserve">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spacing w:after="140" w:line="300"/>
        <w:jc w:val="both"/>
      </w:pPr>
      <w:r>
        <w:rPr>
          <w:rFonts w:ascii="Cambria" w:cs="Cambria" w:eastAsia="Cambria" w:hAnsi="Cambria"/>
          <w:color w:val="000000"/>
          <w:sz w:val="24"/>
          <w:szCs w:val="24"/>
        </w:rPr>
        <w:t xml:space="preserve">The remainder of this chapter moves from the formal design to its realisation. Section 6.8 presents the implemented HALAH system and its live demonstration on the Sepolia test network, so that every algorithm introduced above can be traced to observable behaviour and to publicly verifiable on-chain transactions.</w:t>
      </w:r>
    </w:p>
    <w:p>
      <w:pPr>
        <w:pStyle w:val="Heading2"/>
        <w:pageBreakBefore/>
        <w:spacing w:after="160" w:before="280"/>
      </w:pPr>
      <w:r>
        <w:rPr>
          <w:color w:val="000000"/>
        </w:rPr>
        <w:t xml:space="preserve">6.8  Implementation and Live Demonstration of the Proposed Solution</w:t>
      </w:r>
    </w:p>
    <w:p>
      <w:pPr>
        <w:spacing w:after="140" w:line="300"/>
        <w:jc w:val="both"/>
      </w:pPr>
      <w:r>
        <w:rPr>
          <w:rFonts w:ascii="Cambria" w:cs="Cambria" w:eastAsia="Cambria" w:hAnsi="Cambria"/>
          <w:color w:val="000000"/>
          <w:sz w:val="24"/>
          <w:szCs w:val="24"/>
        </w:rP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It is then continuously checked for validity, subsequently used to control access to specific </w:t>
      </w:r>
      <w:r>
        <w:rPr>
          <w:rFonts w:ascii="Cambria" w:cs="Cambria" w:eastAsia="Cambria" w:hAnsi="Cambria"/>
          <w:color w:val="E6007E"/>
          <w:sz w:val="24"/>
          <w:szCs w:val="24"/>
        </w:rPr>
        <w:t xml:space="preserve">electronic medical record (EMR) modules, the term used by the implementation for the electronic health record (EHR) components discussed in the earlier chapters, and finally revoked by the patient</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000000"/>
          <w:sz w:val="24"/>
          <w:szCs w:val="24"/>
        </w:rPr>
        <w:t xml:space="preserve">The activation and revocation of a consent are not confined to the application. Instead, they are executed as real transactions on the </w:t>
      </w:r>
      <w:r>
        <w:rPr>
          <w:rFonts w:ascii="Cambria" w:cs="Cambria" w:eastAsia="Cambria" w:hAnsi="Cambria"/>
          <w:b/>
          <w:bCs/>
          <w:color w:val="000000"/>
          <w:sz w:val="24"/>
          <w:szCs w:val="24"/>
        </w:rPr>
        <w:t xml:space="preserve">Ethereum Sepolia</w:t>
      </w:r>
      <w:r>
        <w:rPr>
          <w:rFonts w:ascii="Cambria" w:cs="Cambria" w:eastAsia="Cambria" w:hAnsi="Cambria"/>
          <w:color w:val="000000"/>
          <w:sz w:val="24"/>
          <w:szCs w:val="24"/>
        </w:rP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color w:val="000000"/>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color w:val="000000"/>
          <w:sz w:val="22"/>
          <w:szCs w:val="22"/>
        </w:rPr>
        <w:t xml:space="preserve">→ Doctor Access → Consent Revocation → Independent Audit</w:t>
      </w:r>
    </w:p>
    <w:p>
      <w:pPr>
        <w:spacing w:after="140" w:line="300"/>
        <w:jc w:val="both"/>
      </w:pPr>
      <w:r>
        <w:rPr>
          <w:rFonts w:ascii="Cambria" w:cs="Cambria" w:eastAsia="Cambria" w:hAnsi="Cambria"/>
          <w:color w:val="000000"/>
          <w:sz w:val="24"/>
          <w:szCs w:val="24"/>
        </w:rP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spacing w:after="140" w:line="300"/>
        <w:jc w:val="both"/>
      </w:pPr>
      <w:r>
        <w:rPr>
          <w:rFonts w:ascii="Cambria" w:cs="Cambria" w:eastAsia="Cambria" w:hAnsi="Cambria"/>
          <w:color w:val="000000"/>
          <w:sz w:val="24"/>
          <w:szCs w:val="24"/>
        </w:rPr>
        <w:t xml:space="preserve">This operational sequence realises the trust-oriented authorisation model developed in the preceding sections of this chapter. The consent object of Eq. (51), the identity and authority verification of Algorithm 2, the threshold-based multi-party authorisation of Algorithm 3, and the trust-predicate evaluation of Figure 8 </w:t>
      </w:r>
      <w:r>
        <w:rPr>
          <w:rFonts w:ascii="Cambria" w:cs="Cambria" w:eastAsia="Cambria" w:hAnsi="Cambria"/>
          <w:color w:val="E6007E"/>
          <w:sz w:val="24"/>
          <w:szCs w:val="24"/>
        </w:rPr>
        <w:t xml:space="preserve">are each exercised in this workflow, and the resulting activation and revocation are anchored by real transactions on the Ethereum Sepolia test network, so the conceptual model and the running system can be verified against one another</w:t>
      </w:r>
      <w:r>
        <w:rPr>
          <w:rFonts w:ascii="Cambria" w:cs="Cambria" w:eastAsia="Cambria" w:hAnsi="Cambria"/>
          <w:color w:val="000000"/>
          <w:sz w:val="24"/>
          <w:szCs w:val="24"/>
        </w:rPr>
        <w:t xml:space="preserve">.</w:t>
      </w:r>
    </w:p>
    <w:p>
      <w:pPr>
        <w:pStyle w:val="Heading3"/>
        <w:spacing w:after="160" w:before="280"/>
      </w:pPr>
      <w:r>
        <w:rPr>
          <w:color w:val="000000"/>
        </w:rPr>
        <w:t xml:space="preserve">6.8.1  The HALAH System</w:t>
      </w:r>
    </w:p>
    <w:p>
      <w:pPr>
        <w:spacing w:after="140" w:line="300"/>
        <w:jc w:val="both"/>
      </w:pPr>
      <w:r>
        <w:rPr>
          <w:rFonts w:ascii="Cambria" w:cs="Cambria" w:eastAsia="Cambria" w:hAnsi="Cambria"/>
          <w:color w:val="000000"/>
          <w:sz w:val="24"/>
          <w:szCs w:val="24"/>
        </w:rP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40" w:line="300"/>
        <w:jc w:val="both"/>
      </w:pPr>
      <w:r>
        <w:rPr>
          <w:rFonts w:ascii="Cambria" w:cs="Cambria" w:eastAsia="Cambria" w:hAnsi="Cambria"/>
          <w:color w:val="000000"/>
          <w:sz w:val="24"/>
          <w:szCs w:val="24"/>
        </w:rP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40" w:line="300"/>
        <w:jc w:val="both"/>
      </w:pPr>
      <w:r>
        <w:rPr>
          <w:rFonts w:ascii="Cambria" w:cs="Cambria" w:eastAsia="Cambria" w:hAnsi="Cambria"/>
          <w:color w:val="000000"/>
          <w:sz w:val="24"/>
          <w:szCs w:val="24"/>
        </w:rPr>
        <w:t xml:space="preserve">This design corresponds to the overall HALAH architecture, in which </w:t>
      </w:r>
      <w:r>
        <w:rPr>
          <w:rFonts w:ascii="Cambria" w:cs="Cambria" w:eastAsia="Cambria" w:hAnsi="Cambria"/>
          <w:color w:val="E6007E"/>
          <w:sz w:val="24"/>
          <w:szCs w:val="24"/>
        </w:rPr>
        <w:t xml:space="preserve">decentralised identifiers (DIDs) [20] provide identity pointers</w:t>
      </w:r>
      <w:r>
        <w:rPr>
          <w:rFonts w:ascii="Cambria" w:cs="Cambria" w:eastAsia="Cambria" w:hAnsi="Cambria"/>
          <w:color w:val="000000"/>
          <w:sz w:val="24"/>
          <w:szCs w:val="24"/>
        </w:rPr>
        <w:t xml:space="preserve">, the consent object defines the authorisation conditions, cryptographic signatures provide evidence of approval, and the blockchain-based ledger provides lifecycle traceability.</w:t>
      </w:r>
    </w:p>
    <w:p>
      <w:pPr>
        <w:keepNext/>
        <w:spacing w:after="60" w:before="140"/>
        <w:jc w:val="center"/>
      </w:pPr>
      <w:r>
        <w:drawing>
          <wp:inline distT="0" distB="0" distL="0" distR="0">
            <wp:extent cx="5715000" cy="3257550"/>
            <wp:effectExtent t="0" r="0" b="0" l="0"/>
            <wp:docPr id="1" name="n_compile.png" descr="Figure 17: Compilation of ConsentSBTv3 in Remix: the compiler reports a successful compilation and the contract is selected for deployment." title="Figure 17: Compilation of ConsentSBTv3 in Remix: the compiler reports a successful compilation and the contract is selected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17: Compilation of ConsentSBTv3 in Remix: the compiler reports a successful compilation and the contract is selected for deployment.</w:t>
      </w:r>
    </w:p>
    <w:p>
      <w:pPr>
        <w:spacing w:after="140" w:line="300"/>
        <w:jc w:val="both"/>
      </w:pPr>
      <w:r>
        <w:rPr>
          <w:rFonts w:ascii="Cambria" w:cs="Cambria" w:eastAsia="Cambria" w:hAnsi="Cambria"/>
          <w:color w:val="000000"/>
          <w:sz w:val="24"/>
          <w:szCs w:val="24"/>
        </w:rPr>
        <w:t xml:space="preserve">As shown in the figure above, the consent token contract, </w:t>
      </w:r>
      <w:r>
        <w:rPr>
          <w:rFonts w:ascii="Cambria" w:cs="Cambria" w:eastAsia="Cambria" w:hAnsi="Cambria"/>
          <w:b/>
          <w:bCs/>
          <w:color w:val="000000"/>
          <w:sz w:val="24"/>
          <w:szCs w:val="24"/>
        </w:rPr>
        <w:t xml:space="preserve">ConsentSBTv3</w:t>
      </w:r>
      <w:r>
        <w:rPr>
          <w:rFonts w:ascii="Cambria" w:cs="Cambria" w:eastAsia="Cambria" w:hAnsi="Cambria"/>
          <w:color w:val="000000"/>
          <w:sz w:val="24"/>
          <w:szCs w:val="24"/>
        </w:rPr>
        <w:t xml:space="preserve">, was first compiled in Remix without errors; the deployment record lists solc 0.8.34 with the optimiser enabled. The contract was then deployed to the Sepolia test network from the project test wallet through MetaMask. The contract implements a soulbound ERC-721 token.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The purpose is stored only as a keccak256 hash, and no medical content is written to the chain; the plaintext purpose and the EMR data remain in the application.</w:t>
      </w:r>
    </w:p>
    <w:p>
      <w:pPr>
        <w:keepNext/>
        <w:spacing w:after="60" w:before="140"/>
        <w:jc w:val="center"/>
      </w:pPr>
      <w:r>
        <w:drawing>
          <wp:inline distT="0" distB="0" distL="0" distR="0">
            <wp:extent cx="5334000" cy="5124450"/>
            <wp:effectExtent t="0" r="0" b="0" l="0"/>
            <wp:docPr id="1" name="g_deploy.png" descr="Figure 18: Deployment of ConsentSBTv3 from Remix through MetaMask on the Sepolia network." title="Figure 18: Deployment of ConsentSBTv3 from Remix through MetaMask on the Sepoli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124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18: Deployment of ConsentSBTv3 from Remix through MetaMask on the Sepolia network.</w:t>
      </w:r>
    </w:p>
    <w:p>
      <w:pPr>
        <w:spacing w:after="140" w:line="300"/>
        <w:jc w:val="both"/>
      </w:pPr>
      <w:r>
        <w:rPr>
          <w:rFonts w:ascii="Cambria" w:cs="Cambria" w:eastAsia="Cambria" w:hAnsi="Cambria"/>
          <w:color w:val="000000"/>
          <w:sz w:val="24"/>
          <w:szCs w:val="24"/>
        </w:rPr>
        <w:t xml:space="preserve">As shown in the figure above, the deployment is an ordinary Ethereum transaction that the wallet owner must explicitly confirm: the project test wallet (displayed as BNHP Ministry Test Wallet) shows the target network (Sepolia), the estimated network fee and the account nonce before the contract is created. This is important because it demonstrates that consent activation in HALAH ultimately rests on the same transaction-signing discipline as any other blockchain operation.</w:t>
      </w:r>
    </w:p>
    <w:p>
      <w:pPr>
        <w:keepNext/>
        <w:spacing w:after="60" w:before="140"/>
        <w:jc w:val="center"/>
      </w:pPr>
      <w:r>
        <w:drawing>
          <wp:inline distT="0" distB="0" distL="0" distR="0">
            <wp:extent cx="5524500" cy="4105275"/>
            <wp:effectExtent t="0" r="0" b="0" l="0"/>
            <wp:docPr id="1" name="n_verified.png" descr="Figure 19: Remix after deployment: the contract appears under Deployed Contracts and the source verification service reports Verification Successful." title="Figure 19: Remix after deployment: the contract appears under Deployed Contracts and the source verification service reports Verification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4105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19: Remix after deployment: the contract appears under Deployed Contracts and the source verification service reports Verification Successful.</w:t>
      </w:r>
    </w:p>
    <w:p>
      <w:pPr>
        <w:spacing w:after="140" w:line="300"/>
        <w:jc w:val="both"/>
      </w:pPr>
      <w:r>
        <w:rPr>
          <w:rFonts w:ascii="Cambria" w:cs="Cambria" w:eastAsia="Cambria" w:hAnsi="Cambria"/>
          <w:color w:val="000000"/>
          <w:sz w:val="24"/>
          <w:szCs w:val="24"/>
        </w:rPr>
        <w:t xml:space="preserve">As shown in the figure above, the deployed instance is listed in Remix under Deployed Contracts, and the source code was submitted for verification, which completed with Verification Successful. This is important because it ties the published bytecode on Sepolia to the audited Solidity source, so any party can confirm which rules the consent registry actually enforces.</w:t>
      </w:r>
    </w:p>
    <w:p>
      <w:pPr>
        <w:keepNext/>
        <w:spacing w:after="60" w:before="140"/>
        <w:jc w:val="center"/>
      </w:pPr>
      <w:r>
        <w:drawing>
          <wp:inline distT="0" distB="0" distL="0" distR="0">
            <wp:extent cx="5715000" cy="2486025"/>
            <wp:effectExtent t="0" r="0" b="0" l="0"/>
            <wp:docPr id="1" name="g_etherscan.png" descr="Figure 20: The deployed contract on Sepolia Etherscan, with the creator wallet, the MedicalConsent (CONSENT) token tracker and the first mint transaction." title="Figure 20: The deployed contract on Sepolia Etherscan, with the creator wallet, the MedicalConsent (CONSENT) token tracker and the first mint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20: The deployed contract on Sepolia Etherscan, with the creator wallet, the MedicalConsent (CONSENT) token tracker and the first mint transaction.</w:t>
      </w:r>
    </w:p>
    <w:p>
      <w:pPr>
        <w:spacing w:after="140" w:line="300"/>
        <w:jc w:val="both"/>
      </w:pPr>
      <w:r>
        <w:rPr>
          <w:rFonts w:ascii="Cambria" w:cs="Cambria" w:eastAsia="Cambria" w:hAnsi="Cambria"/>
          <w:color w:val="000000"/>
          <w:sz w:val="24"/>
          <w:szCs w:val="24"/>
        </w:rPr>
        <w:t xml:space="preserve">As shown in the figure above, the deployed contract is publicly listed at 0x0EC3617581DEC63A7f2bb162DC14d088916ADc73 on Sepolia Etherscan, together with its creator wallet and the token tracker MedicalConsent (CONSENT). Consequently, the existence of the consent registry itself, and every activation or revocation recorded on it, can be inspected independently of the HALAH application.</w:t>
      </w:r>
    </w:p>
    <w:p>
      <w:pPr>
        <w:pStyle w:val="Heading3"/>
        <w:spacing w:after="160" w:before="280"/>
      </w:pPr>
      <w:r>
        <w:rPr>
          <w:color w:val="000000"/>
        </w:rPr>
        <w:t xml:space="preserve">6.8.2  Create Smart Consent Contract: Patient Subsystem</w:t>
      </w:r>
    </w:p>
    <w:p>
      <w:pPr>
        <w:spacing w:after="140" w:line="300"/>
        <w:jc w:val="both"/>
      </w:pPr>
      <w:r>
        <w:rPr>
          <w:rFonts w:ascii="Cambria" w:cs="Cambria" w:eastAsia="Cambria" w:hAnsi="Cambria"/>
          <w:color w:val="000000"/>
          <w:sz w:val="24"/>
          <w:szCs w:val="24"/>
        </w:rPr>
        <w:t xml:space="preserve">The first functional subsystem is the Create Smart Consent Contract module. This module represents the patient-side initiation of a consent transaction and corresponds directly to the construction of the proposed consent object.</w:t>
      </w:r>
    </w:p>
    <w:p>
      <w:pPr>
        <w:spacing w:after="140" w:line="300"/>
        <w:jc w:val="both"/>
      </w:pPr>
      <w:r>
        <w:rPr>
          <w:rFonts w:ascii="Cambria" w:cs="Cambria" w:eastAsia="Cambria" w:hAnsi="Cambria"/>
          <w:color w:val="000000"/>
          <w:sz w:val="24"/>
          <w:szCs w:val="24"/>
        </w:rP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color w:val="000000"/>
          <w:sz w:val="22"/>
          <w:szCs w:val="22"/>
        </w:rPr>
        <w:t xml:space="preserve">C = (I, A, P, T, L, E)</w:t>
      </w:r>
    </w:p>
    <w:p>
      <w:pPr>
        <w:spacing w:after="140" w:line="300"/>
        <w:jc w:val="both"/>
      </w:pPr>
      <w:r>
        <w:rPr>
          <w:rFonts w:ascii="Cambria" w:cs="Cambria" w:eastAsia="Cambria" w:hAnsi="Cambria"/>
          <w:color w:val="000000"/>
          <w:sz w:val="24"/>
          <w:szCs w:val="24"/>
        </w:rPr>
        <w:t xml:space="preserve">where the identity of the patient is represented through a DID, the authorised actor is explicitly specified, the permitted data scope is constrained to selected EMR modules, the temporal fields define when the authorisation becomes valid and when it expires, the jurisdiction field constrains where the consent may be exercised, </w:t>
      </w:r>
      <w:r>
        <w:rPr>
          <w:rFonts w:ascii="Cambria" w:cs="Cambria" w:eastAsia="Cambria" w:hAnsi="Cambria"/>
          <w:color w:val="E6007E"/>
          <w:sz w:val="24"/>
          <w:szCs w:val="24"/>
        </w:rPr>
        <w:t xml:space="preserve">and the evidence component E records the authorisation evidence, including whether the consent remains active or has been revoked</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000000"/>
          <w:sz w:val="24"/>
          <w:szCs w:val="24"/>
        </w:rPr>
        <w:t xml:space="preserve">The form fields therefore instantiate the consent object defined in Section 6.1. </w:t>
      </w:r>
      <w:r>
        <w:rPr>
          <w:rFonts w:ascii="Cambria" w:cs="Cambria" w:eastAsia="Cambria" w:hAnsi="Cambria"/>
          <w:color w:val="000000"/>
          <w:sz w:val="24"/>
          <w:szCs w:val="24"/>
        </w:rPr>
        <w:t xml:space="preserve">The demonstrated representation realises the six-component object C = (I, A, P, T, L, E) of Eq. (51) and Figure 11</w:t>
      </w:r>
      <w:r>
        <w:rPr>
          <w:rFonts w:ascii="Cambria" w:cs="Cambria" w:eastAsia="Cambria" w:hAnsi="Cambria"/>
          <w:color w:val="000000"/>
          <w:sz w:val="24"/>
          <w:szCs w:val="24"/>
        </w:rPr>
        <w:t xml:space="preserve">, in which the temporal validity window T, captured through the Start Time and Expiry Time fields, and the jurisdiction L are stored on-chain by the deployed ConsentSBTv3 contract and evaluated at every access decision.</w:t>
      </w:r>
    </w:p>
    <w:p>
      <w:pPr>
        <w:keepNext/>
        <w:spacing w:after="60" w:before="140"/>
        <w:jc w:val="center"/>
      </w:pPr>
      <w:r>
        <w:drawing>
          <wp:inline distT="0" distB="0" distL="0" distR="0">
            <wp:extent cx="5334000" cy="3943350"/>
            <wp:effectExtent t="0" r="0" b="0" l="0"/>
            <wp:docPr id="1" name="M1.png" descr="Figure 21: The patient subsystem after consent creation: four EMR modules, two designated guardians, jurisdiction AU, and the state PENDING_SIGNATURE." title="Figure 21: The patient subsystem after consent creation: four EMR modules, two designated guardians, jurisdiction AU, and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21: The patient subsystem after consent creation: four EMR modules, two designated guardians, jurisdiction AU, and the state PENDING_SIGNATURE.</w:t>
      </w:r>
    </w:p>
    <w:p>
      <w:pPr>
        <w:spacing w:after="140" w:line="300"/>
        <w:jc w:val="both"/>
      </w:pPr>
      <w:r>
        <w:rPr>
          <w:rFonts w:ascii="Cambria" w:cs="Cambria" w:eastAsia="Cambria" w:hAnsi="Cambria"/>
          <w:color w:val="000000"/>
          <w:sz w:val="24"/>
          <w:szCs w:val="24"/>
        </w:rPr>
        <w:t xml:space="preserve">As shown in the figure above,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40" w:line="300"/>
        <w:jc w:val="both"/>
      </w:pPr>
      <w:r>
        <w:rPr>
          <w:rFonts w:ascii="Cambria" w:cs="Cambria" w:eastAsia="Cambria" w:hAnsi="Cambria"/>
          <w:color w:val="000000"/>
          <w:sz w:val="24"/>
          <w:szCs w:val="24"/>
        </w:rPr>
        <w:t xml:space="preserve">The Data Access Scope is particularly important to the proposed framework. Instead of granting access to the complete EMR, the patient selects particular modules; in the demonstrated transaction all four modules (Observation, Medication, Condition and Procedure) were selected. This implements the principle of purpose- and scope-limited consent and corresponds to the P component of the consent object. The implementation additionally validates the input before the consent is stored: a consent with an empty data scope is rejected, and every guardian entry must be a well-formed DID.</w:t>
      </w:r>
    </w:p>
    <w:p>
      <w:pPr>
        <w:spacing w:after="140" w:line="300"/>
        <w:jc w:val="both"/>
      </w:pPr>
      <w:r>
        <w:rPr>
          <w:rFonts w:ascii="Cambria" w:cs="Cambria" w:eastAsia="Cambria" w:hAnsi="Cambria"/>
          <w:color w:val="000000"/>
          <w:sz w:val="24"/>
          <w:szCs w:val="24"/>
        </w:rP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40" w:line="300"/>
        <w:jc w:val="both"/>
      </w:pPr>
      <w:r>
        <w:rPr>
          <w:rFonts w:ascii="Cambria" w:cs="Cambria" w:eastAsia="Cambria" w:hAnsi="Cambria"/>
          <w:color w:val="000000"/>
          <w:sz w:val="24"/>
          <w:szCs w:val="24"/>
        </w:rP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40" w:line="300"/>
        <w:jc w:val="both"/>
      </w:pPr>
      <w:r>
        <w:rPr>
          <w:rFonts w:ascii="Cambria" w:cs="Cambria" w:eastAsia="Cambria" w:hAnsi="Cambria"/>
          <w:color w:val="000000"/>
          <w:sz w:val="24"/>
          <w:szCs w:val="24"/>
        </w:rPr>
        <w:t xml:space="preserve">Two consent lifecycles appear in the demonstration and should be distinguished. The evaluated consent, f050c29a, was carried through the </w:t>
      </w:r>
      <w:r>
        <w:rPr>
          <w:rFonts w:ascii="Cambria" w:cs="Cambria" w:eastAsia="Cambria" w:hAnsi="Cambria"/>
          <w:color w:val="E6007E"/>
          <w:sz w:val="24"/>
          <w:szCs w:val="24"/>
        </w:rPr>
        <w:t xml:space="preserve">complete lifecycle (activation as token #1, granted access, refused access and final revocation), and all transaction evidence in this chapter follows it</w:t>
      </w:r>
      <w:r>
        <w:rPr>
          <w:rFonts w:ascii="Cambria" w:cs="Cambria" w:eastAsia="Cambria" w:hAnsi="Cambria"/>
          <w:color w:val="000000"/>
          <w:sz w:val="24"/>
          <w:szCs w:val="24"/>
        </w:rPr>
        <w:t xml:space="preserve">. Because a revoked consent cannot be photographed in its earlier states, the screenshots of consent creation, guardian approval and granted access were captured from a second lifecycle </w:t>
      </w:r>
      <w:r>
        <w:rPr>
          <w:rFonts w:ascii="Cambria" w:cs="Cambria" w:eastAsia="Cambria" w:hAnsi="Cambria"/>
          <w:color w:val="E6007E"/>
          <w:sz w:val="24"/>
          <w:szCs w:val="24"/>
        </w:rPr>
        <w:t xml:space="preserve">with the same configuration (the same four-module scope, the same guardians, jurisdiction, purpose and doctor), executed for a different demonstration patient</w:t>
      </w:r>
      <w:r>
        <w:rPr>
          <w:rFonts w:ascii="Cambria" w:cs="Cambria" w:eastAsia="Cambria" w:hAnsi="Cambria"/>
          <w:color w:val="000000"/>
          <w:sz w:val="24"/>
          <w:szCs w:val="24"/>
        </w:rPr>
        <w:t xml:space="preserve"> (consent 04da25f5, anchored as </w:t>
      </w:r>
      <w:r>
        <w:rPr>
          <w:rFonts w:ascii="Cambria" w:cs="Cambria" w:eastAsia="Cambria" w:hAnsi="Cambria"/>
          <w:b/>
          <w:bCs/>
          <w:color w:val="000000"/>
          <w:sz w:val="24"/>
          <w:szCs w:val="24"/>
        </w:rPr>
        <w:t xml:space="preserve">token #2</w:t>
      </w:r>
      <w:r>
        <w:rPr>
          <w:rFonts w:ascii="Cambria" w:cs="Cambria" w:eastAsia="Cambria" w:hAnsi="Cambria"/>
          <w:color w:val="000000"/>
          <w:sz w:val="24"/>
          <w:szCs w:val="24"/>
        </w:rPr>
        <w:t xml:space="preserve"> in block 11,771,581). The two lifecycles were executed with the same code and the same contract.</w:t>
      </w:r>
    </w:p>
    <w:p>
      <w:pPr>
        <w:spacing w:after="140" w:line="300"/>
        <w:jc w:val="both"/>
      </w:pPr>
      <w:r>
        <w:rPr>
          <w:rFonts w:ascii="Cambria" w:cs="Cambria" w:eastAsia="Cambria" w:hAnsi="Cambria"/>
          <w:color w:val="000000"/>
          <w:sz w:val="24"/>
          <w:szCs w:val="24"/>
        </w:rPr>
        <w:t xml:space="preserve">From a system perspective, this module therefore corresponds primarily to </w:t>
      </w:r>
      <w:r>
        <w:rPr>
          <w:rFonts w:ascii="Cambria" w:cs="Cambria" w:eastAsia="Cambria" w:hAnsi="Cambria"/>
          <w:b/>
          <w:bCs/>
          <w:color w:val="000000"/>
          <w:sz w:val="24"/>
          <w:szCs w:val="24"/>
        </w:rPr>
        <w:t xml:space="preserve">Consent Object Construction and Patient Initiation</w:t>
      </w:r>
      <w:r>
        <w:rPr>
          <w:rFonts w:ascii="Cambria" w:cs="Cambria" w:eastAsia="Cambria" w:hAnsi="Cambria"/>
          <w:color w:val="000000"/>
          <w:sz w:val="24"/>
          <w:szCs w:val="24"/>
        </w:rPr>
        <w:t xml:space="preserve">.</w:t>
      </w:r>
    </w:p>
    <w:p>
      <w:pPr>
        <w:pStyle w:val="Heading3"/>
        <w:spacing w:after="160" w:before="280"/>
      </w:pPr>
      <w:r>
        <w:rPr>
          <w:color w:val="000000"/>
        </w:rPr>
        <w:t xml:space="preserve">6.8.3  Guardian Cryptographic Approval</w:t>
      </w:r>
    </w:p>
    <w:p>
      <w:pPr>
        <w:spacing w:after="140" w:line="300"/>
        <w:jc w:val="both"/>
      </w:pPr>
      <w:r>
        <w:rPr>
          <w:rFonts w:ascii="Cambria" w:cs="Cambria" w:eastAsia="Cambria" w:hAnsi="Cambria"/>
          <w:color w:val="000000"/>
          <w:sz w:val="24"/>
          <w:szCs w:val="24"/>
        </w:rPr>
        <w:t xml:space="preserve">The second part is the Guardian Cryptographic Approval. As shown in the figure below, it operationalises the multi-party authorisation component of the proposed framework.</w:t>
      </w:r>
    </w:p>
    <w:p>
      <w:pPr>
        <w:keepNext/>
        <w:spacing w:after="60" w:before="140"/>
        <w:jc w:val="center"/>
      </w:pPr>
      <w:r>
        <w:drawing>
          <wp:inline distT="0" distB="0" distL="0" distR="0">
            <wp:extent cx="5334000" cy="1914525"/>
            <wp:effectExtent t="0" r="0" b="0" l="0"/>
            <wp:docPr id="1" name="n_guardA.png" descr="Figure 22: The guardian subsystem at the first approval: the EIP-712 signature of did:parent:A is verified and the multi-signature count is 1/2." title="Figure 22: The guardian subsystem at the first approval: the EIP-712 signature of did:parent:A is verified and the multi-signature count i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22: The guardian subsystem at the first approval: the EIP-712 signature of did:parent:A is verified and the multi-signature count is 1/2.</w:t>
      </w:r>
    </w:p>
    <w:p>
      <w:pPr>
        <w:spacing w:after="140" w:line="300"/>
        <w:jc w:val="both"/>
      </w:pPr>
      <w:r>
        <w:rPr>
          <w:rFonts w:ascii="Cambria" w:cs="Cambria" w:eastAsia="Cambria" w:hAnsi="Cambria"/>
          <w:color w:val="000000"/>
          <w:sz w:val="24"/>
          <w:szCs w:val="24"/>
        </w:rP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40"/>
        <w:jc w:val="center"/>
      </w:pPr>
      <w:r>
        <w:drawing>
          <wp:inline distT="0" distB="0" distL="0" distR="0">
            <wp:extent cx="5334000" cy="3133725"/>
            <wp:effectExtent t="0" r="0" b="0" l="0"/>
            <wp:docPr id="1" name="M2.png" descr="Figure 23: The guardian subsystem at the moment of the second approval: the EIP-712 signature is verified, the 2/2 threshold is reached, the SBT is minted in the local ledger and the Sepolia anchoring starts in the background." title="Figure 23: The guardian subsystem at the moment of the second approval: the EIP-712 signature is verified, the 2/2 threshold is reached, the SBT is minted in the local ledger and the Sepolia anchoring start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23: The guardian subsystem at the moment of the second approval: the EIP-712 signature is verified, the 2/2 threshold is reached, the SBT is minted in the local ledger and the Sepolia anchoring starts in the background.</w:t>
      </w:r>
    </w:p>
    <w:p>
      <w:pPr>
        <w:spacing w:after="140" w:line="300"/>
        <w:jc w:val="both"/>
      </w:pPr>
      <w:r>
        <w:rPr>
          <w:rFonts w:ascii="Cambria" w:cs="Cambria" w:eastAsia="Cambria" w:hAnsi="Cambria"/>
          <w:color w:val="000000"/>
          <w:sz w:val="24"/>
          <w:szCs w:val="24"/>
        </w:rP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spacing w:after="140" w:line="300"/>
        <w:jc w:val="both"/>
      </w:pPr>
      <w:r>
        <w:rPr>
          <w:rFonts w:ascii="Cambria" w:cs="Cambria" w:eastAsia="Cambria" w:hAnsi="Cambria"/>
          <w:color w:val="000000"/>
          <w:sz w:val="24"/>
          <w:szCs w:val="24"/>
        </w:rPr>
        <w:t xml:space="preserve">Each approval is evaluated by the procedure formalised in Algorithm 3. In the implemented configuration the authorisation threshold is derived from the designated guardian set as N = |G|, so that every listed guardian must produce a valid EIP-712 signature before activation; the demonstrated 2-of-2 ceremony is consequently an N-of-N instantiation of the threshold condition of Eq. (54).</w:t>
      </w:r>
    </w:p>
    <w:p>
      <w:pPr>
        <w:spacing w:after="140" w:line="300"/>
        <w:jc w:val="both"/>
      </w:pPr>
      <w:r>
        <w:rPr>
          <w:rFonts w:ascii="Cambria" w:cs="Cambria" w:eastAsia="Cambria" w:hAnsi="Cambria"/>
          <w:color w:val="000000"/>
          <w:sz w:val="24"/>
          <w:szCs w:val="24"/>
        </w:rPr>
        <w:t xml:space="preserve">The subsystem subsequently reports:</w:t>
      </w:r>
    </w:p>
    <w:p>
      <w:pPr>
        <w:spacing w:after="140" w:line="300"/>
        <w:jc w:val="both"/>
      </w:pPr>
      <w:r>
        <w:rPr>
          <w:rFonts w:ascii="Cambria" w:cs="Cambria" w:eastAsia="Cambria" w:hAnsi="Cambria"/>
          <w:color w:val="000000"/>
          <w:sz w:val="24"/>
          <w:szCs w:val="24"/>
        </w:rPr>
        <w:t xml:space="preserve">EIP-712 signature verified (signer 0x39B12b87…). Multi-sig: 2/2</w:t>
      </w:r>
    </w:p>
    <w:p>
      <w:pPr>
        <w:spacing w:after="140" w:line="300"/>
        <w:jc w:val="both"/>
      </w:pPr>
      <w:r>
        <w:rPr>
          <w:rFonts w:ascii="Cambria" w:cs="Cambria" w:eastAsia="Cambria" w:hAnsi="Cambria"/>
          <w:color w:val="000000"/>
          <w:sz w:val="24"/>
          <w:szCs w:val="24"/>
        </w:rPr>
        <w:t xml:space="preserve">This is an important implementation-level demonstration because the consent is not activated merely because the patient created it. Instead, the system requires the predefined guardian approval condition to be satisfied. </w:t>
      </w:r>
      <w:r>
        <w:rPr>
          <w:rFonts w:ascii="Cambria" w:cs="Cambria" w:eastAsia="Cambria" w:hAnsi="Cambria"/>
          <w:color w:val="E6007E"/>
          <w:sz w:val="24"/>
          <w:szCs w:val="24"/>
        </w:rPr>
        <w:t xml:space="preserve">The guardian approval establishes the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conjunct of the logical authorisation rule that the implementation enforces at every subsequent access request:</w:t>
      </w:r>
    </w:p>
    <w:p>
      <w:pPr>
        <w:spacing w:after="160" w:before="60"/>
        <w:jc w:val="center"/>
      </w:pPr>
      <w:r>
        <w:rPr>
          <w:rFonts w:ascii="Cambria Math" w:cs="Cambria Math" w:eastAsia="Cambria Math" w:hAnsi="Cambria Math"/>
          <w:i/>
          <w:iCs/>
          <w:color w:val="000000"/>
          <w:sz w:val="22"/>
          <w:szCs w:val="22"/>
        </w:rPr>
        <w:t xml:space="preserve">ALLOW = VI ∧ VA ∧ VP ∧ VT ∧ VL</w:t>
      </w:r>
    </w:p>
    <w:p>
      <w:pPr>
        <w:spacing w:after="140" w:line="300"/>
        <w:jc w:val="both"/>
      </w:pPr>
      <w:r>
        <w:rPr>
          <w:rFonts w:ascii="Cambria" w:cs="Cambria" w:eastAsia="Cambria" w:hAnsi="Cambria"/>
          <w:color w:val="000000"/>
          <w:sz w:val="24"/>
          <w:szCs w:val="24"/>
        </w:rP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color w:val="000000"/>
          <w:sz w:val="22"/>
          <w:szCs w:val="22"/>
        </w:rPr>
        <w:t xml:space="preserve">Σ g∈G  Sign(g, C)  ≥  |G| = 2</w:t>
      </w:r>
    </w:p>
    <w:p>
      <w:pPr>
        <w:spacing w:after="140" w:line="300"/>
        <w:jc w:val="both"/>
      </w:pPr>
      <w:r>
        <w:rPr>
          <w:rFonts w:ascii="Cambria" w:cs="Cambria" w:eastAsia="Cambria" w:hAnsi="Cambria"/>
          <w:color w:val="000000"/>
          <w:sz w:val="24"/>
          <w:szCs w:val="24"/>
        </w:rP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40"/>
        <w:jc w:val="center"/>
      </w:pPr>
      <w:r>
        <w:drawing>
          <wp:inline distT="0" distB="0" distL="0" distR="0">
            <wp:extent cx="5334000" cy="2657475"/>
            <wp:effectExtent t="0" r="0" b="0" l="0"/>
            <wp:docPr id="1" name="n_anchoring.png" descr="Figure 24: The guardian subsystem while the mint transaction is pending: the 2/2 threshold is reached but not yet anchored, the anchoring runs in the background, and a repeated signature from the same guardian is refused." title="Figure 24: The guardian subsystem while the mint transaction is pending: the 2/2 threshold is reached but not yet anchored, the anchoring runs in the background, and a repeated signature from the same guardian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24: The guardian subsystem while the mint transaction is pending: the 2/2 threshold is reached but not yet anchored, the anchoring runs in the background, and a repeated signature from the same guardian is refused.</w:t>
      </w:r>
    </w:p>
    <w:p>
      <w:pPr>
        <w:spacing w:after="140" w:line="300"/>
        <w:jc w:val="both"/>
      </w:pPr>
      <w:r>
        <w:rPr>
          <w:rFonts w:ascii="Cambria" w:cs="Cambria" w:eastAsia="Cambria" w:hAnsi="Cambria"/>
          <w:color w:val="000000"/>
          <w:sz w:val="24"/>
          <w:szCs w:val="24"/>
        </w:rPr>
        <w:t xml:space="preserve">As shown in the figure above,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40"/>
        <w:jc w:val="center"/>
      </w:pPr>
      <w:r>
        <w:drawing>
          <wp:inline distT="0" distB="0" distL="0" distR="0">
            <wp:extent cx="5143500" cy="1828800"/>
            <wp:effectExtent t="0" r="0" b="0" l="0"/>
            <wp:docPr id="1" name="M2b.png" descr="Figure 25: The guardian subsystem revisited after the background job has completed: 'Already anchored on Sepolia - token #2'." title="Figure 25: The guardian subsystem revisited after the background job has completed: 'Already anchored on Sepolia - tok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18288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25: The guardian subsystem revisited after the background job has completed: 'Already anchored on Sepolia - token #2'.</w:t>
      </w:r>
    </w:p>
    <w:p>
      <w:pPr>
        <w:spacing w:after="140" w:line="300"/>
        <w:jc w:val="both"/>
      </w:pPr>
      <w:r>
        <w:rPr>
          <w:rFonts w:ascii="Cambria" w:cs="Cambria" w:eastAsia="Cambria" w:hAnsi="Cambria"/>
          <w:color w:val="000000"/>
          <w:sz w:val="24"/>
          <w:szCs w:val="24"/>
        </w:rPr>
        <w:t xml:space="preserve">As shown in the figure above,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40"/>
        <w:jc w:val="center"/>
      </w:pPr>
      <w:r>
        <w:drawing>
          <wp:inline distT="0" distB="0" distL="0" distR="0">
            <wp:extent cx="5715000" cy="4181475"/>
            <wp:effectExtent t="0" r="0" b="0" l="0"/>
            <wp:docPr id="1" name="M3.png" descr="Figure 26: The anchoring transaction of the evaluated consent on Sepolia Etherscan: status Success, block 11,771,243, 'Mint 1 of MedicalConsent' to the pseudonymous patient address (function selector 0x1e1e7c76, mintConsentV3)." title="Figure 26: The anchoring transaction of the evaluated consent on Sepolia Etherscan: status Success, block 11,771,243, 'Mint 1 of MedicalConsent' to the pseudonymous patient address (function selector 0x1e1e7c76, mintConsent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26: The anchoring transaction of the evaluated consent on Sepolia Etherscan: status Success, block 11,771,243, 'Mint 1 of MedicalConsent' to the pseudonymous patient address (function selector 0x1e1e7c76, mintConsentV3).</w:t>
      </w:r>
    </w:p>
    <w:p>
      <w:pPr>
        <w:spacing w:after="140" w:line="300"/>
        <w:jc w:val="both"/>
      </w:pPr>
      <w:r>
        <w:rPr>
          <w:rFonts w:ascii="Cambria" w:cs="Cambria" w:eastAsia="Cambria" w:hAnsi="Cambria"/>
          <w:color w:val="000000"/>
          <w:sz w:val="24"/>
          <w:szCs w:val="24"/>
        </w:rP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on Sepolia Etherscan (mint transaction 0x8be1b99e…daf13d, listed in the verification links of Section 6.8.12). This provides an implementation-level demonstration that consent activation can be verified independently of the application.</w:t>
      </w:r>
    </w:p>
    <w:p>
      <w:pPr>
        <w:spacing w:after="140" w:line="300"/>
        <w:jc w:val="both"/>
      </w:pPr>
      <w:r>
        <w:rPr>
          <w:rFonts w:ascii="Cambria" w:cs="Cambria" w:eastAsia="Cambria" w:hAnsi="Cambria"/>
          <w:color w:val="000000"/>
          <w:sz w:val="24"/>
          <w:szCs w:val="24"/>
        </w:rPr>
        <w:t xml:space="preserve">The guardian subsystem consequently corresponds to </w:t>
      </w:r>
      <w:r>
        <w:rPr>
          <w:rFonts w:ascii="Cambria" w:cs="Cambria" w:eastAsia="Cambria" w:hAnsi="Cambria"/>
          <w:b/>
          <w:bCs/>
          <w:color w:val="000000"/>
          <w:sz w:val="24"/>
          <w:szCs w:val="24"/>
        </w:rPr>
        <w:t xml:space="preserve">Multi-Party Approval, Cryptographic Verification and Consent Activation</w:t>
      </w:r>
      <w:r>
        <w:rPr>
          <w:rFonts w:ascii="Cambria" w:cs="Cambria" w:eastAsia="Cambria" w:hAnsi="Cambria"/>
          <w:color w:val="000000"/>
          <w:sz w:val="24"/>
          <w:szCs w:val="24"/>
        </w:rPr>
        <w:t xml:space="preserve"> in the proposed architecture.</w:t>
      </w:r>
    </w:p>
    <w:p>
      <w:pPr>
        <w:pStyle w:val="Heading3"/>
        <w:spacing w:after="160" w:before="280"/>
      </w:pPr>
      <w:r>
        <w:rPr>
          <w:color w:val="000000"/>
        </w:rPr>
        <w:t xml:space="preserve">6.8.4  Secure Patient Data Access for the Doctor</w:t>
      </w:r>
    </w:p>
    <w:p>
      <w:pPr>
        <w:spacing w:after="140" w:line="300"/>
        <w:jc w:val="both"/>
      </w:pPr>
      <w:r>
        <w:rPr>
          <w:rFonts w:ascii="Cambria" w:cs="Cambria" w:eastAsia="Cambria" w:hAnsi="Cambria"/>
          <w:color w:val="000000"/>
          <w:sz w:val="24"/>
          <w:szCs w:val="24"/>
        </w:rPr>
        <w:t xml:space="preserve">The third module is the Secure Patient Data Access module and represents the healthcare-provider side of the authorisation process.</w:t>
      </w:r>
    </w:p>
    <w:p>
      <w:pPr>
        <w:spacing w:after="140" w:line="300"/>
        <w:jc w:val="both"/>
      </w:pPr>
      <w:r>
        <w:rPr>
          <w:rFonts w:ascii="Cambria" w:cs="Cambria" w:eastAsia="Cambria" w:hAnsi="Cambria"/>
          <w:color w:val="000000"/>
          <w:sz w:val="24"/>
          <w:szCs w:val="24"/>
        </w:rP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color w:val="000000"/>
          <w:sz w:val="22"/>
          <w:szCs w:val="22"/>
        </w:rPr>
        <w:t xml:space="preserve">State = ACTIVE</w:t>
      </w:r>
    </w:p>
    <w:p>
      <w:pPr>
        <w:spacing w:after="140" w:line="300"/>
        <w:jc w:val="both"/>
      </w:pPr>
      <w:r>
        <w:rPr>
          <w:rFonts w:ascii="Cambria" w:cs="Cambria" w:eastAsia="Cambria" w:hAnsi="Cambria"/>
          <w:color w:val="000000"/>
          <w:sz w:val="24"/>
          <w:szCs w:val="24"/>
        </w:rP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40"/>
        <w:jc w:val="center"/>
      </w:pPr>
      <w:r>
        <w:drawing>
          <wp:inline distT="0" distB="0" distL="0" distR="0">
            <wp:extent cx="5334000" cy="4200525"/>
            <wp:effectExtent t="0" r="0" b="0" l="0"/>
            <wp:docPr id="1" name="g_doc_au.png" descr="Figure 27: The doctor subsystem with requester jurisdiction AU (the evaluated consent f050c29a, captured before its revocation): all five checks report PASS, ALLOW = PASS, and the consent state is ACTIVE." title="Figure 27: The doctor subsystem with requester jurisdiction AU (the evaluated consent f050c29a, captured before its revocation): all five checks report PASS, ALLOW = PASS, and the consent state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27: The doctor subsystem with requester jurisdiction AU (the evaluated consent f050c29a, captured before its revocation): all five checks report PASS, ALLOW = PASS, and the consent state is ACTIVE.</w:t>
      </w:r>
    </w:p>
    <w:p>
      <w:pPr>
        <w:spacing w:after="140" w:line="300"/>
        <w:jc w:val="both"/>
      </w:pPr>
      <w:r>
        <w:rPr>
          <w:rFonts w:ascii="Cambria" w:cs="Cambria" w:eastAsia="Cambria" w:hAnsi="Cambria"/>
          <w:color w:val="000000"/>
          <w:sz w:val="24"/>
          <w:szCs w:val="24"/>
        </w:rP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60" w:before="60"/>
        <w:jc w:val="center"/>
      </w:pPr>
      <w:r>
        <w:rPr>
          <w:rFonts w:ascii="Cambria Math" w:cs="Cambria Math" w:eastAsia="Cambria Math" w:hAnsi="Cambria Math"/>
          <w:i/>
          <w:iCs/>
          <w:color w:val="000000"/>
          <w:sz w:val="22"/>
          <w:szCs w:val="22"/>
        </w:rPr>
        <w:t xml:space="preserve">Scope = { Observation, Medication, Condition, Procedure }</w:t>
      </w:r>
    </w:p>
    <w:p>
      <w:pPr>
        <w:spacing w:after="140" w:line="300"/>
        <w:jc w:val="both"/>
      </w:pPr>
      <w:r>
        <w:rPr>
          <w:rFonts w:ascii="Cambria" w:cs="Cambria" w:eastAsia="Cambria" w:hAnsi="Cambria"/>
          <w:color w:val="000000"/>
          <w:sz w:val="24"/>
          <w:szCs w:val="24"/>
        </w:rPr>
        <w:t xml:space="preserve">The five columns of the decision matrix are the operational form of the decision rule Decision(C, R) = ALLOW ⟺ VI(u) ∧ VA(C) ∧ VP(C, R) ∧ VT(C, t) ∧ VL(C), </w:t>
      </w:r>
      <w:r>
        <w:rPr>
          <w:rFonts w:ascii="Cambria" w:cs="Cambria" w:eastAsia="Cambria" w:hAnsi="Cambria"/>
          <w:color w:val="E6007E"/>
          <w:sz w:val="24"/>
          <w:szCs w:val="24"/>
        </w:rPr>
        <w:t xml:space="preserve">which is the complete decision rule of Eq. (59) and Eq. (65), extending the three-predicate rule of Eq. (69) with the temporal and jurisdictional verdicts</w:t>
      </w:r>
      <w:r>
        <w:rPr>
          <w:rFonts w:ascii="Cambria" w:cs="Cambria" w:eastAsia="Cambria" w:hAnsi="Cambria"/>
          <w:color w:val="000000"/>
          <w:sz w:val="24"/>
          <w:szCs w:val="24"/>
        </w:rPr>
        <w:t xml:space="preserve">. The jurisdiction predicate is satisfied if and only if the requester's declared jurisdiction equals the jurisdiction recorded in the consent, which the jurisdiction-violation demonstration below confirms empirically.</w:t>
      </w:r>
    </w:p>
    <w:p>
      <w:pPr>
        <w:keepNext/>
        <w:spacing w:after="60" w:before="140"/>
        <w:jc w:val="center"/>
      </w:pPr>
      <w:r>
        <w:drawing>
          <wp:inline distT="0" distB="0" distL="0" distR="0">
            <wp:extent cx="3429000" cy="4848225"/>
            <wp:effectExtent t="0" r="0" b="0" l="0"/>
            <wp:docPr id="1" name="predicate_flow.png" descr="Figure 28: ⦅Trust Predicate Evaluation and Authorisation Decision Flow of Figure 8, as enforced by the implemented Consent Engine.⦆" title="Figure 28: ⦅Trust Predicate Evaluation and Authorisation Decision Flow of Figure 8, as enforced by the implemented Consen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29000" cy="48482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28: </w:t>
      </w:r>
      <w:r>
        <w:rPr>
          <w:rFonts w:ascii="Cambria" w:cs="Cambria" w:eastAsia="Cambria" w:hAnsi="Cambria"/>
          <w:color w:val="E6007E"/>
          <w:sz w:val="20"/>
          <w:szCs w:val="20"/>
        </w:rPr>
        <w:t xml:space="preserve">Trust Predicate Evaluation and Authorisation Decision Flow of Figure 8, as enforced by the implemented Consent Engine.</w:t>
      </w:r>
    </w:p>
    <w:p>
      <w:pPr>
        <w:spacing w:after="140" w:line="300"/>
        <w:jc w:val="both"/>
      </w:pPr>
      <w:r>
        <w:rPr>
          <w:rFonts w:ascii="Cambria" w:cs="Cambria" w:eastAsia="Cambria" w:hAnsi="Cambria"/>
          <w:color w:val="000000"/>
          <w:sz w:val="24"/>
          <w:szCs w:val="24"/>
        </w:rPr>
        <w:t xml:space="preserve">The doctor must subsequently select the modules to request; the request must be a non-empty subset of the authorised scope. The system displays the requested modules and performs cryptographic verification before granting access. In this version, the verification also generates and verifies a Groth16 zero-knowledge proof, whose public inputs are a Poseidon commitment and the current time, and whose private witnesses are a secret and the expiry time; the proof establishes that the commitment is satisfied and that the current time does not exceed the expiry. Because the prover and the verifier currently run on the same server, the proof demonstrates the integration of the zero-knowledge toolchain rather than an additional privacy guarantee (see the limitations discussed at the end of this section). The audit ledger records the proof mode (groth16) with every access granted in the demonstrated lifecycles, and the subsystem then shows the message Cryptographic Verification Successful — Access Granted.</w:t>
      </w:r>
    </w:p>
    <w:p>
      <w:pPr>
        <w:keepNext/>
        <w:spacing w:after="60" w:before="140"/>
        <w:jc w:val="center"/>
      </w:pPr>
      <w:r>
        <w:drawing>
          <wp:inline distT="0" distB="0" distL="0" distR="0">
            <wp:extent cx="5334000" cy="6229350"/>
            <wp:effectExtent t="0" r="0" b="0" l="0"/>
            <wp:docPr id="1" name="M4.png" descr="Figure 29: The doctor subsystem after verification (the photographed lifecycle 04da25f5 introduced earlier): access granted and the authorised medical records displayed per EMR module; the Observation module's Download CSV control is visible." title="Figure 29: The doctor subsystem after verification (the photographed lifecycle 04da25f5 introduced earlier): access granted and the authorised medical records displayed per EMR module; the Observation module's Download CSV control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6229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29: The doctor subsystem after verification (the photographed lifecycle 04da25f5 introduced earlier): access granted and the authorised medical records displayed per EMR module; the Observation module's Download CSV control is visible.</w:t>
      </w:r>
    </w:p>
    <w:p>
      <w:pPr>
        <w:keepNext/>
        <w:spacing w:after="60" w:before="140"/>
        <w:jc w:val="center"/>
      </w:pPr>
      <w:r>
        <w:drawing>
          <wp:inline distT="0" distB="0" distL="0" distR="0">
            <wp:extent cx="5143500" cy="4314825"/>
            <wp:effectExtent t="0" r="0" b="0" l="0"/>
            <wp:docPr id="1" name="M4b.png" descr="Figure 30: The remaining authorised modules of the same request: the Condition and Procedure records, with the Condition module's export control visible." title="Figure 30: The remaining authorised modules of the same request: the Condition and Procedure records, with the Condition module's export control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43148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30: The remaining authorised modules of the same request: the Condition and Procedure records, with the Condition module's export control visible.</w:t>
      </w:r>
    </w:p>
    <w:p>
      <w:pPr>
        <w:spacing w:after="140" w:line="300"/>
        <w:jc w:val="both"/>
      </w:pPr>
      <w:r>
        <w:rPr>
          <w:rFonts w:ascii="Cambria" w:cs="Cambria" w:eastAsia="Cambria" w:hAnsi="Cambria"/>
          <w:color w:val="000000"/>
          <w:sz w:val="24"/>
          <w:szCs w:val="24"/>
        </w:rPr>
        <w:t xml:space="preserve">The two figures above demonstrate the transition from consent verification to data-access authorisation; the checks are recorded in the audit ledger as STATE_CHECK events, one for every evaluated access request, so validity is re-established at each request rather than assumed.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color w:val="000000"/>
          <w:sz w:val="22"/>
          <w:szCs w:val="22"/>
        </w:rPr>
        <w:t xml:space="preserve">Consent → Verification → AccessDecision</w:t>
      </w:r>
    </w:p>
    <w:p>
      <w:pPr>
        <w:spacing w:after="140" w:line="300"/>
        <w:jc w:val="both"/>
      </w:pPr>
      <w:r>
        <w:rPr>
          <w:rFonts w:ascii="Cambria" w:cs="Cambria" w:eastAsia="Cambria" w:hAnsi="Cambria"/>
          <w:color w:val="000000"/>
          <w:sz w:val="24"/>
          <w:szCs w:val="24"/>
        </w:rP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40" w:line="300"/>
        <w:jc w:val="both"/>
      </w:pPr>
      <w:r>
        <w:rPr>
          <w:rFonts w:ascii="Cambria" w:cs="Cambria" w:eastAsia="Cambria" w:hAnsi="Cambria"/>
          <w:color w:val="0000CC"/>
          <w:sz w:val="24"/>
          <w:szCs w:val="24"/>
        </w:rPr>
        <w:t xml:space="preserve">It should be noted that all medical records displayed in the demonstration are synthetic; no real patient data were used at any stage of the implementation or evaluation.</w:t>
      </w:r>
    </w:p>
    <w:p>
      <w:pPr>
        <w:spacing w:after="140" w:line="300"/>
        <w:jc w:val="both"/>
      </w:pPr>
      <w:r>
        <w:rPr>
          <w:rFonts w:ascii="Cambria" w:cs="Cambria" w:eastAsia="Cambria" w:hAnsi="Cambria"/>
          <w:color w:val="000000"/>
          <w:sz w:val="24"/>
          <w:szCs w:val="24"/>
        </w:rPr>
        <w:t xml:space="preserve">Thus, the doctor subsystem corresponds to </w:t>
      </w:r>
      <w:r>
        <w:rPr>
          <w:rFonts w:ascii="Cambria" w:cs="Cambria" w:eastAsia="Cambria" w:hAnsi="Cambria"/>
          <w:b/>
          <w:bCs/>
          <w:color w:val="000000"/>
          <w:sz w:val="24"/>
          <w:szCs w:val="24"/>
        </w:rPr>
        <w:t xml:space="preserve">Consent-State Validation, Scope Enforcement and Authorised Data Access</w:t>
      </w:r>
      <w:r>
        <w:rPr>
          <w:rFonts w:ascii="Cambria" w:cs="Cambria" w:eastAsia="Cambria" w:hAnsi="Cambria"/>
          <w:color w:val="000000"/>
          <w:sz w:val="24"/>
          <w:szCs w:val="24"/>
        </w:rPr>
        <w:t xml:space="preserve">.</w:t>
      </w:r>
    </w:p>
    <w:p>
      <w:pPr>
        <w:pStyle w:val="Heading3"/>
        <w:spacing w:after="160" w:before="280"/>
      </w:pPr>
      <w:r>
        <w:rPr>
          <w:color w:val="000000"/>
        </w:rPr>
        <w:t xml:space="preserve">6.8.5  Negative Demonstration: Jurisdiction Violation</w:t>
      </w:r>
    </w:p>
    <w:p>
      <w:pPr>
        <w:spacing w:after="140" w:line="300"/>
        <w:jc w:val="both"/>
      </w:pPr>
      <w:r>
        <w:rPr>
          <w:rFonts w:ascii="Cambria" w:cs="Cambria" w:eastAsia="Cambria" w:hAnsi="Cambria"/>
          <w:color w:val="000000"/>
          <w:sz w:val="24"/>
          <w:szCs w:val="24"/>
        </w:rPr>
        <w:t xml:space="preserve">The fourth part is the negative demonstration. This is important because a consent framework must be evaluated not only on whether it grants legitimate access, but also on whether it refuses illegitimate access. The same doctor therefore repeated the request for the evaluated consent while declaring the requester jurisdiction as SA, whereas the consent was issued for AU.</w:t>
      </w:r>
    </w:p>
    <w:p>
      <w:pPr>
        <w:keepNext/>
        <w:spacing w:after="60" w:before="140"/>
        <w:jc w:val="center"/>
      </w:pPr>
      <w:r>
        <w:drawing>
          <wp:inline distT="0" distB="0" distL="0" distR="0">
            <wp:extent cx="5334000" cy="4200525"/>
            <wp:effectExtent t="0" r="0" b="0" l="0"/>
            <wp:docPr id="1" name="g_doc_sa.png" descr="Figure 31: The doctor subsystem with requester jurisdiction SA: VL reports FAIL and consequently ALLOW = FAIL, although the consent state remains ACTIVE." title="Figure 31: The doctor subsystem with requester jurisdiction SA: VL reports FAIL and consequently ALLOW = FAIL, although the consent state remain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31: The doctor subsystem with requester jurisdiction SA: VL reports FAIL and consequently ALLOW = FAIL, although the consent state remains ACTIVE.</w:t>
      </w:r>
    </w:p>
    <w:p>
      <w:pPr>
        <w:spacing w:after="140" w:line="300"/>
        <w:jc w:val="both"/>
      </w:pPr>
      <w:r>
        <w:rPr>
          <w:rFonts w:ascii="Cambria" w:cs="Cambria" w:eastAsia="Cambria" w:hAnsi="Cambria"/>
          <w:color w:val="000000"/>
          <w:sz w:val="24"/>
          <w:szCs w:val="24"/>
        </w:rPr>
        <w:t xml:space="preserve">As shown in the figure above,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40"/>
        <w:jc w:val="center"/>
      </w:pPr>
      <w:r>
        <w:drawing>
          <wp:inline distT="0" distB="0" distL="0" distR="0">
            <wp:extent cx="5334000" cy="2638425"/>
            <wp:effectExtent t="0" r="0" b="0" l="0"/>
            <wp:docPr id="1" name="g_denied.png" descr="Figure 32: The refused request: 'Security Exception: Access Denied by ZK-Policy. Failed checks: VL'." title="Figure 32: The refused request: 'Security Exception: Access Denied by ZK-Policy. Failed checks: 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32: The refused request: 'Security Exception: Access Denied by ZK-Policy. Failed checks: VL'.</w:t>
      </w:r>
    </w:p>
    <w:p>
      <w:pPr>
        <w:spacing w:after="140" w:line="300"/>
        <w:jc w:val="both"/>
      </w:pPr>
      <w:r>
        <w:rPr>
          <w:rFonts w:ascii="Cambria" w:cs="Cambria" w:eastAsia="Cambria" w:hAnsi="Cambria"/>
          <w:color w:val="000000"/>
          <w:sz w:val="24"/>
          <w:szCs w:val="24"/>
        </w:rPr>
        <w:t xml:space="preserve">As shown in the figure above,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40" w:line="300"/>
        <w:jc w:val="both"/>
      </w:pPr>
      <w:r>
        <w:rPr>
          <w:rFonts w:ascii="Cambria" w:cs="Cambria" w:eastAsia="Cambria" w:hAnsi="Cambria"/>
          <w:color w:val="000000"/>
          <w:sz w:val="24"/>
          <w:szCs w:val="24"/>
        </w:rPr>
        <w:t xml:space="preserve">This demonstration corresponds to </w:t>
      </w:r>
      <w:r>
        <w:rPr>
          <w:rFonts w:ascii="Cambria" w:cs="Cambria" w:eastAsia="Cambria" w:hAnsi="Cambria"/>
          <w:b/>
          <w:bCs/>
          <w:color w:val="000000"/>
          <w:sz w:val="24"/>
          <w:szCs w:val="24"/>
        </w:rPr>
        <w:t xml:space="preserve">Jurisdictional Constraint Enforcement and Fail-Closed Access Control</w:t>
      </w:r>
      <w:r>
        <w:rPr>
          <w:rFonts w:ascii="Cambria" w:cs="Cambria" w:eastAsia="Cambria" w:hAnsi="Cambria"/>
          <w:color w:val="000000"/>
          <w:sz w:val="24"/>
          <w:szCs w:val="24"/>
        </w:rPr>
        <w:t xml:space="preserve">.</w:t>
      </w:r>
    </w:p>
    <w:p>
      <w:pPr>
        <w:pStyle w:val="Heading3"/>
        <w:spacing w:after="160" w:before="280"/>
      </w:pPr>
      <w:r>
        <w:rPr>
          <w:color w:val="000000"/>
        </w:rPr>
        <w:t xml:space="preserve">6.8.6  Consent Revocation</w:t>
      </w:r>
    </w:p>
    <w:p>
      <w:pPr>
        <w:spacing w:after="140" w:line="300"/>
        <w:jc w:val="both"/>
      </w:pPr>
      <w:r>
        <w:rPr>
          <w:rFonts w:ascii="Cambria" w:cs="Cambria" w:eastAsia="Cambria" w:hAnsi="Cambria"/>
          <w:color w:val="000000"/>
          <w:sz w:val="24"/>
          <w:szCs w:val="24"/>
        </w:rPr>
        <w:t xml:space="preserve">The fifth module is the Consent Revocation module. </w:t>
      </w:r>
      <w:r>
        <w:rPr>
          <w:rFonts w:ascii="Cambria" w:cs="Cambria" w:eastAsia="Cambria" w:hAnsi="Cambria"/>
          <w:color w:val="E6007E"/>
          <w:sz w:val="24"/>
          <w:szCs w:val="24"/>
        </w:rPr>
        <w:t xml:space="preserve">This module operationalises the revocation dimension of the evidence component E of the consent object, which requires</w:t>
      </w:r>
      <w:r>
        <w:rPr>
          <w:rFonts w:ascii="Cambria" w:cs="Cambria" w:eastAsia="Cambria" w:hAnsi="Cambria"/>
          <w:color w:val="000000"/>
          <w:sz w:val="24"/>
          <w:szCs w:val="24"/>
        </w:rPr>
        <w:t xml:space="preserve">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40"/>
        <w:jc w:val="center"/>
      </w:pPr>
      <w:r>
        <w:drawing>
          <wp:inline distT="0" distB="0" distL="0" distR="0">
            <wp:extent cx="5143500" cy="3714750"/>
            <wp:effectExtent t="0" r="0" b="0" l="0"/>
            <wp:docPr id="1" name="g_revoking.png" descr="Figure 33: The patient subsystem during revocation: 'Revoking on Sepolia - waiting for block confirmation…'." title="Figure 33: The patient subsystem during revocation: 'Revoking on Sepolia - waiting for block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33: The patient subsystem during revocation: 'Revoking on Sepolia - waiting for block confirmation…'.</w:t>
      </w:r>
    </w:p>
    <w:p>
      <w:pPr>
        <w:spacing w:after="140" w:line="300"/>
        <w:jc w:val="both"/>
      </w:pPr>
      <w:r>
        <w:rPr>
          <w:rFonts w:ascii="Cambria" w:cs="Cambria" w:eastAsia="Cambria" w:hAnsi="Cambria"/>
          <w:color w:val="000000"/>
          <w:sz w:val="24"/>
          <w:szCs w:val="24"/>
        </w:rPr>
        <w:t xml:space="preserve">As shown in the figure above, the withdrawal is submitted as a blockchain transaction and the subsystem waits for the block confirmation before reporting the final state.</w:t>
      </w:r>
    </w:p>
    <w:p>
      <w:pPr>
        <w:keepNext/>
        <w:spacing w:after="60" w:before="140"/>
        <w:jc w:val="center"/>
      </w:pPr>
      <w:r>
        <w:drawing>
          <wp:inline distT="0" distB="0" distL="0" distR="0">
            <wp:extent cx="5334000" cy="3533775"/>
            <wp:effectExtent t="0" r="0" b="0" l="0"/>
            <wp:docPr id="1" name="g_revoked.png" descr="Figure 34: The patient subsystem after revocation: the evaluated consent f050c29a is REVOKED with token #1 (displayed as SBT-1). The other rows are earlier trial consents." title="Figure 34: The patient subsystem after revocation: the evaluated consent f050c29a is REVOKED with token #1 (displayed as SBT-1). The other rows are earlier trial cons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34: The patient subsystem after revocation: the evaluated consent f050c29a is REVOKED with token #1 (displayed as SBT-1). The other rows are earlier trial consents.</w:t>
      </w:r>
    </w:p>
    <w:p>
      <w:pPr>
        <w:spacing w:after="140" w:line="300"/>
        <w:jc w:val="both"/>
      </w:pPr>
      <w:r>
        <w:rPr>
          <w:rFonts w:ascii="Cambria" w:cs="Cambria" w:eastAsia="Cambria" w:hAnsi="Cambria"/>
          <w:color w:val="000000"/>
          <w:sz w:val="24"/>
          <w:szCs w:val="24"/>
        </w:rPr>
        <w:t xml:space="preserve">As shown in the figure above,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spacing w:after="140" w:line="300"/>
        <w:jc w:val="both"/>
      </w:pPr>
      <w:r>
        <w:rPr>
          <w:rFonts w:ascii="Cambria" w:cs="Cambria" w:eastAsia="Cambria" w:hAnsi="Cambria"/>
          <w:color w:val="000000"/>
          <w:sz w:val="24"/>
          <w:szCs w:val="24"/>
        </w:rPr>
        <w:t xml:space="preserve">The demonstrated revocation completes the consent lifecycle anticipated by the temporal and lifecycle model of Section 6.5: </w:t>
      </w:r>
      <w:r>
        <w:rPr>
          <w:rFonts w:ascii="Cambria" w:cs="Cambria" w:eastAsia="Cambria" w:hAnsi="Cambria"/>
          <w:color w:val="E6007E"/>
          <w:sz w:val="24"/>
          <w:szCs w:val="24"/>
        </w:rPr>
        <w:t xml:space="preserve">the consent progresses through the controlled states PENDING_SIGNATURE, PENDING_TOKEN, NOT_STARTED, ACTIVE and REVOKED of the six-state lifecycle defined in Section 6.5, the EXPIRED state not being reached in the demonstration</w:t>
      </w:r>
      <w:r>
        <w:rPr>
          <w:rFonts w:ascii="Cambria" w:cs="Cambria" w:eastAsia="Cambria" w:hAnsi="Cambria"/>
          <w:color w:val="000000"/>
          <w:sz w:val="24"/>
          <w:szCs w:val="24"/>
        </w:rPr>
        <w:t xml:space="preserve">, and the activating and revoking transitions are themselves verifiable Sepolia transactions (blocks 11,771,243 and 11,771,307). Trust is therefore not treated as permanently established at the moment a consent is created, which is precisely the lifecycle-trust principle stated there.</w:t>
      </w:r>
    </w:p>
    <w:p>
      <w:pPr>
        <w:keepNext/>
        <w:spacing w:after="60" w:before="140"/>
        <w:jc w:val="center"/>
      </w:pPr>
      <w:r>
        <w:drawing>
          <wp:inline distT="0" distB="0" distL="0" distR="0">
            <wp:extent cx="5715000" cy="2009775"/>
            <wp:effectExtent t="0" r="0" b="0" l="0"/>
            <wp:docPr id="1" name="lifecycle_sm.png" descr="Figure 35: The implemented consent lifecycle: every consent progresses through controlled states, and the activating and revoking transitions are anchored as verifiable Sepolia transactions." title="Figure 35: The implemented consent lifecycle: every consent progresses through controlled states, and the activating and revoking transitions are anchored as verifiable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35: The implemented consent lifecycle: every consent progresses through controlled states, and the activating and revoking transitions are anchored as verifiable Sepolia transactions.</w:t>
      </w:r>
    </w:p>
    <w:p>
      <w:pPr>
        <w:keepNext/>
        <w:spacing w:after="60" w:before="140"/>
        <w:jc w:val="center"/>
      </w:pPr>
      <w:r>
        <w:drawing>
          <wp:inline distT="0" distB="0" distL="0" distR="0">
            <wp:extent cx="5334000" cy="2952750"/>
            <wp:effectExtent t="0" r="0" b="0" l="0"/>
            <wp:docPr id="1" name="M5.png" descr="Figure 36: The doctor subsystem after revocation: VA reports FAIL and the consent is reported as 'not active. Current state: REVOKED'." title="Figure 36: The doctor subsystem after revocation: VA reports FAIL and the consent is reported as 'not active. Current state: REV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36: The doctor subsystem after revocation: VA reports FAIL and the consent is reported as 'not active. Current state: REVOKED'.</w:t>
      </w:r>
    </w:p>
    <w:p>
      <w:pPr>
        <w:spacing w:after="140" w:line="300"/>
        <w:jc w:val="both"/>
      </w:pPr>
      <w:r>
        <w:rPr>
          <w:rFonts w:ascii="Cambria" w:cs="Cambria" w:eastAsia="Cambria" w:hAnsi="Cambria"/>
          <w:color w:val="000000"/>
          <w:sz w:val="24"/>
          <w:szCs w:val="24"/>
        </w:rPr>
        <w:t xml:space="preserve">As shown in the figure above, when the doctor subsequently enters the same Consent ID, the authorisation check VA fails and the subsystem reports that the consent is not active. Consequently, revocation is not merely a change of display: it removes the authorisation on which every later access decision depends.</w:t>
      </w:r>
    </w:p>
    <w:p>
      <w:pPr>
        <w:keepNext/>
        <w:spacing w:after="60" w:before="140"/>
        <w:jc w:val="center"/>
      </w:pPr>
      <w:r>
        <w:drawing>
          <wp:inline distT="0" distB="0" distL="0" distR="0">
            <wp:extent cx="5715000" cy="3752850"/>
            <wp:effectExtent t="0" r="0" b="0" l="0"/>
            <wp:docPr id="1" name="M6.png" descr="Figure 37: The revocation transaction on Sepolia Etherscan: status Success, block 11,771,307, decoded input 'Function: revoke(uint256 tokenId)' with tokenId = 1." title="Figure 37: The revocation transaction on Sepolia Etherscan: status Success, block 11,771,307, decoded input 'Function: revoke(uint256 tokenId)' with tokenId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37: The revocation transaction on Sepolia Etherscan: status Success, block 11,771,307, decoded input 'Function: revoke(uint256 tokenId)' with tokenId = 1.</w:t>
      </w:r>
    </w:p>
    <w:p>
      <w:pPr>
        <w:spacing w:after="140" w:line="300"/>
        <w:jc w:val="both"/>
      </w:pPr>
      <w:r>
        <w:rPr>
          <w:rFonts w:ascii="Cambria" w:cs="Cambria" w:eastAsia="Cambria" w:hAnsi="Cambria"/>
          <w:color w:val="000000"/>
          <w:sz w:val="24"/>
          <w:szCs w:val="24"/>
        </w:rPr>
        <w:t xml:space="preserve">As shown in the figure above, the revocation is again a publicly verifiable transaction, whose decoded input names the contract function revoke and the token identifier. The transaction can be inspected on Sepolia Etherscan (revoke transaction 0x017efb9d…dceaa, listed in the verification links of Section 6.8.12). The revocation subsystem therefore corresponds to </w:t>
      </w:r>
      <w:r>
        <w:rPr>
          <w:rFonts w:ascii="Cambria" w:cs="Cambria" w:eastAsia="Cambria" w:hAnsi="Cambria"/>
          <w:b/>
          <w:bCs/>
          <w:color w:val="000000"/>
          <w:sz w:val="24"/>
          <w:szCs w:val="24"/>
        </w:rPr>
        <w:t xml:space="preserve">Enforcement State Management and Consent Withdrawal</w:t>
      </w:r>
      <w:r>
        <w:rPr>
          <w:rFonts w:ascii="Cambria" w:cs="Cambria" w:eastAsia="Cambria" w:hAnsi="Cambria"/>
          <w:color w:val="000000"/>
          <w:sz w:val="24"/>
          <w:szCs w:val="24"/>
        </w:rPr>
        <w:t xml:space="preserve">.</w:t>
      </w:r>
    </w:p>
    <w:p>
      <w:pPr>
        <w:pStyle w:val="Heading3"/>
        <w:spacing w:after="160" w:before="280"/>
      </w:pPr>
      <w:r>
        <w:rPr>
          <w:color w:val="000000"/>
        </w:rPr>
        <w:t xml:space="preserve">6.8.7  Blockchain Audit and Consent Lifecycle for the Auditor</w:t>
      </w:r>
    </w:p>
    <w:p>
      <w:pPr>
        <w:spacing w:after="140" w:line="300"/>
        <w:jc w:val="both"/>
      </w:pPr>
      <w:r>
        <w:rPr>
          <w:rFonts w:ascii="Cambria" w:cs="Cambria" w:eastAsia="Cambria" w:hAnsi="Cambria"/>
          <w:color w:val="000000"/>
          <w:sz w:val="24"/>
          <w:szCs w:val="24"/>
        </w:rP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40"/>
        <w:jc w:val="center"/>
      </w:pPr>
      <w:r>
        <w:drawing>
          <wp:inline distT="0" distB="0" distL="0" distR="0">
            <wp:extent cx="5524500" cy="4019550"/>
            <wp:effectExtent t="0" r="0" b="0" l="0"/>
            <wp:docPr id="1" name="n_lifecycle.png" descr="Figure 38: The Consent Lifecycle reconstruction for the evaluated consent: the guardian signatures, MINT_SBT and ONCHAIN_MINT on the left, and the STATE_CHECK, DENIED, REVOKE_CONSENT and ONCHAIN_REVOKE events on the right." title="Figure 38: The Consent Lifecycle reconstruction for the evaluated consent: the guardian signatures, MINT_SBT and ONCHAIN_MINT on the left, and the STATE_CHECK, DENIED, REVOKE_CONSENT and ONCHAIN_REVOKE event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24500" cy="4019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38: The Consent Lifecycle reconstruction for the evaluated consent: the guardian signatures, MINT_SBT and ONCHAIN_MINT on the left, and the STATE_CHECK, DENIED, REVOKE_CONSENT and ONCHAIN_REVOKE events on the right.</w:t>
      </w:r>
    </w:p>
    <w:p>
      <w:pPr>
        <w:spacing w:after="140" w:line="300"/>
        <w:jc w:val="both"/>
      </w:pPr>
      <w:r>
        <w:rPr>
          <w:rFonts w:ascii="Cambria" w:cs="Cambria" w:eastAsia="Cambria" w:hAnsi="Cambria"/>
          <w:color w:val="000000"/>
          <w:sz w:val="24"/>
          <w:szCs w:val="24"/>
        </w:rPr>
        <w:t xml:space="preserve">As shown in the figure above, the lifecycle view presents each event as a card with its timestamp, actor, role, action and result, so the chronological sequence of the authorisation process can be read directly.</w:t>
      </w:r>
    </w:p>
    <w:p>
      <w:pPr>
        <w:keepNext/>
        <w:spacing w:after="60" w:before="140"/>
        <w:jc w:val="center"/>
      </w:pPr>
      <w:r>
        <w:drawing>
          <wp:inline distT="0" distB="0" distL="0" distR="0">
            <wp:extent cx="5715000" cy="3343275"/>
            <wp:effectExtent t="0" r="0" b="0" l="0"/>
            <wp:docPr id="1" name="M7.png" descr="Figure 39: The auditor subsystem with the evaluated consent selected: aggregate indicators and the Detailed Audit Records, in which the on-chain events carry their transaction hashes and block numbers." title="Figure 39: The auditor subsystem with the evaluated consent selected: aggregate indicators and the Detailed Audit Records, in which the on-chain events carry their transaction hashes and block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39: The auditor subsystem with the evaluated consent selected: aggregate indicators and the Detailed Audit Records, in which the on-chain events carry their transaction hashes and block numbers.</w:t>
      </w:r>
    </w:p>
    <w:p>
      <w:pPr>
        <w:spacing w:after="140" w:line="300"/>
        <w:jc w:val="both"/>
      </w:pPr>
      <w:r>
        <w:rPr>
          <w:rFonts w:ascii="Cambria" w:cs="Cambria" w:eastAsia="Cambria" w:hAnsi="Cambria"/>
          <w:color w:val="000000"/>
          <w:sz w:val="24"/>
          <w:szCs w:val="24"/>
        </w:rPr>
        <w:t xml:space="preserve">As shown in the figure above, the system first provides aggregate indicators including:</w:t>
      </w:r>
    </w:p>
    <w:p>
      <w:pPr>
        <w:spacing w:after="160" w:before="60"/>
        <w:jc w:val="center"/>
      </w:pPr>
      <w:r>
        <w:rPr>
          <w:rFonts w:ascii="Cambria Math" w:cs="Cambria Math" w:eastAsia="Cambria Math" w:hAnsi="Cambria Math"/>
          <w:i/>
          <w:iCs/>
          <w:color w:val="000000"/>
          <w:sz w:val="22"/>
          <w:szCs w:val="22"/>
        </w:rPr>
        <w:t xml:space="preserve">Total Events = 60    Consent Events = 8    Access Requests = 9    On-chain Anchors = 5</w:t>
      </w:r>
    </w:p>
    <w:p>
      <w:pPr>
        <w:spacing w:after="140" w:line="300"/>
        <w:jc w:val="both"/>
      </w:pPr>
      <w:r>
        <w:rPr>
          <w:rFonts w:ascii="Cambria" w:cs="Cambria" w:eastAsia="Cambria" w:hAnsi="Cambria"/>
          <w:color w:val="000000"/>
          <w:sz w:val="24"/>
          <w:szCs w:val="24"/>
        </w:rPr>
        <w:t xml:space="preserve">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w:t>
      </w:r>
      <w:r>
        <w:rPr>
          <w:rFonts w:ascii="Cambria" w:cs="Cambria" w:eastAsia="Cambria" w:hAnsi="Cambria"/>
          <w:color w:val="E6007E"/>
          <w:sz w:val="24"/>
          <w:szCs w:val="24"/>
        </w:rPr>
        <w:t xml:space="preserve">the nine access requests comprise the six granted and refused requests recorded across the two lifecycles together with three granted requests recorded for the earlier trial consents</w:t>
      </w:r>
      <w:r>
        <w:rPr>
          <w:rFonts w:ascii="Cambria" w:cs="Cambria" w:eastAsia="Cambria" w:hAnsi="Cambria"/>
          <w:color w:val="000000"/>
          <w:sz w:val="24"/>
          <w:szCs w:val="24"/>
        </w:rPr>
        <w:t xml:space="preserve">.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40" w:line="300"/>
        <w:jc w:val="both"/>
      </w:pPr>
      <w:r>
        <w:rPr>
          <w:rFonts w:ascii="Cambria" w:cs="Cambria" w:eastAsia="Cambria" w:hAnsi="Cambria"/>
          <w:color w:val="000000"/>
          <w:sz w:val="24"/>
          <w:szCs w:val="24"/>
        </w:rPr>
        <w:t xml:space="preserve">This audit reconstruction, together with the independent verification of every recorded transaction against the public chain, constitutes the empirical component of the security-assurance objective RO6 of Section 6.6: representative valid, invalid and adversarial scenarios have been executed against the running prototype, and the recorded evidence is consistent with the public chain. </w:t>
      </w:r>
      <w:r>
        <w:rPr>
          <w:rFonts w:ascii="Cambria" w:cs="Cambria" w:eastAsia="Cambria" w:hAnsi="Cambria"/>
          <w:color w:val="E6007E"/>
          <w:sz w:val="24"/>
          <w:szCs w:val="24"/>
        </w:rPr>
        <w:t xml:space="preserve">The formal component, namely proofs and model checking of the stated properties, remains next-stage work.</w:t>
      </w:r>
    </w:p>
    <w:p>
      <w:pPr>
        <w:spacing w:after="140" w:line="300"/>
        <w:jc w:val="both"/>
      </w:pPr>
      <w:r>
        <w:rPr>
          <w:rFonts w:ascii="Cambria" w:cs="Cambria" w:eastAsia="Cambria" w:hAnsi="Cambria"/>
          <w:color w:val="000000"/>
          <w:sz w:val="24"/>
          <w:szCs w:val="24"/>
        </w:rPr>
        <w:t xml:space="preserve">This produces an explicit chain of evidence as</w:t>
      </w:r>
    </w:p>
    <w:p>
      <w:pPr>
        <w:spacing w:after="160" w:before="60"/>
        <w:jc w:val="center"/>
      </w:pPr>
      <w:r>
        <w:rPr>
          <w:rFonts w:ascii="Cambria Math" w:cs="Cambria Math" w:eastAsia="Cambria Math" w:hAnsi="Cambria Math"/>
          <w:i/>
          <w:iCs/>
          <w:color w:val="000000"/>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color w:val="000000"/>
          <w:sz w:val="22"/>
          <w:szCs w:val="22"/>
        </w:rPr>
        <w:t xml:space="preserve">→ Doctor(DENIED) → Patient(revoke) → SmartContract(revoke)</w:t>
      </w:r>
    </w:p>
    <w:p>
      <w:pPr>
        <w:spacing w:after="140" w:line="300"/>
        <w:jc w:val="both"/>
      </w:pPr>
      <w:r>
        <w:rPr>
          <w:rFonts w:ascii="Cambria" w:cs="Cambria" w:eastAsia="Cambria" w:hAnsi="Cambria"/>
          <w:color w:val="000000"/>
          <w:sz w:val="24"/>
          <w:szCs w:val="24"/>
        </w:rPr>
        <w:t xml:space="preserve">The audit subsystem therefore allows an auditor to reconstruct not only who accessed the data, but also why that access was permitted or refused, because each access event can be associated with the preceding consent creation, guardian approvals, on-chain activation, state checks and the decision matrix that was in force at that moment.</w:t>
      </w:r>
    </w:p>
    <w:p>
      <w:pPr>
        <w:spacing w:after="140" w:line="300"/>
        <w:jc w:val="both"/>
      </w:pPr>
      <w:r>
        <w:rPr>
          <w:rFonts w:ascii="Cambria" w:cs="Cambria" w:eastAsia="Cambria" w:hAnsi="Cambria"/>
          <w:color w:val="000000"/>
          <w:sz w:val="24"/>
          <w:szCs w:val="24"/>
        </w:rPr>
        <w:t xml:space="preserve">This corresponds to the proposed requirement for </w:t>
      </w:r>
      <w:r>
        <w:rPr>
          <w:rFonts w:ascii="Cambria" w:cs="Cambria" w:eastAsia="Cambria" w:hAnsi="Cambria"/>
          <w:b/>
          <w:bCs/>
          <w:color w:val="000000"/>
          <w:sz w:val="24"/>
          <w:szCs w:val="24"/>
        </w:rPr>
        <w:t xml:space="preserve">traceability, accountability and non-repudiable consent evidence</w:t>
      </w:r>
      <w:r>
        <w:rPr>
          <w:rFonts w:ascii="Cambria" w:cs="Cambria" w:eastAsia="Cambria" w:hAnsi="Cambria"/>
          <w:color w:val="000000"/>
          <w:sz w:val="24"/>
          <w:szCs w:val="24"/>
        </w:rPr>
        <w:t xml:space="preserve">.</w:t>
      </w:r>
    </w:p>
    <w:p>
      <w:pPr>
        <w:pStyle w:val="Heading3"/>
        <w:spacing w:after="160" w:before="280"/>
      </w:pPr>
      <w:r>
        <w:rPr>
          <w:color w:val="000000"/>
        </w:rPr>
        <w:t xml:space="preserve">6.8.8  Detailed Audit Records</w:t>
      </w:r>
    </w:p>
    <w:p>
      <w:pPr>
        <w:spacing w:after="140" w:line="300"/>
        <w:jc w:val="both"/>
      </w:pPr>
      <w:r>
        <w:rPr>
          <w:rFonts w:ascii="Cambria" w:cs="Cambria" w:eastAsia="Cambria" w:hAnsi="Cambria"/>
          <w:color w:val="000000"/>
          <w:sz w:val="24"/>
          <w:szCs w:val="24"/>
        </w:rPr>
        <w:t xml:space="preserve">The Detailed Audit Records component provides a lower-level view of the events represented in the lifecycle subsystem.</w:t>
      </w:r>
    </w:p>
    <w:p>
      <w:pPr>
        <w:spacing w:after="140" w:line="300"/>
        <w:jc w:val="both"/>
      </w:pPr>
      <w:r>
        <w:rPr>
          <w:rFonts w:ascii="Cambria" w:cs="Cambria" w:eastAsia="Cambria" w:hAnsi="Cambria"/>
          <w:color w:val="000000"/>
          <w:sz w:val="24"/>
          <w:szCs w:val="24"/>
        </w:rP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As shown in the auditor figure above, the ONCHAIN_MINT and ONCHAIN_REVOKE rows carry the hashes of the two Sepolia transactions presented in Sections 6.8.3 and 6.8.6, so the ledger and the public chain describe the same events.</w:t>
      </w:r>
    </w:p>
    <w:p>
      <w:pPr>
        <w:spacing w:after="140" w:line="300"/>
        <w:jc w:val="both"/>
      </w:pPr>
      <w:r>
        <w:rPr>
          <w:rFonts w:ascii="Cambria" w:cs="Cambria" w:eastAsia="Cambria" w:hAnsi="Cambria"/>
          <w:color w:val="000000"/>
          <w:sz w:val="24"/>
          <w:szCs w:val="24"/>
        </w:rP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40" w:line="300"/>
        <w:jc w:val="both"/>
      </w:pPr>
      <w:r>
        <w:rPr>
          <w:rFonts w:ascii="Cambria" w:cs="Cambria" w:eastAsia="Cambria" w:hAnsi="Cambria"/>
          <w:color w:val="000000"/>
          <w:sz w:val="24"/>
          <w:szCs w:val="24"/>
        </w:rPr>
        <w:t xml:space="preserve">The subsystem therefore implements the distinction between operational access information and forensic/audit information.</w:t>
      </w:r>
    </w:p>
    <w:p>
      <w:pPr>
        <w:pStyle w:val="Heading3"/>
        <w:spacing w:after="160" w:before="280"/>
      </w:pPr>
      <w:r>
        <w:rPr>
          <w:color w:val="000000"/>
        </w:rPr>
        <w:t xml:space="preserve">6.8.9  Complete Audit Ledger and Independent Verification</w:t>
      </w:r>
    </w:p>
    <w:p>
      <w:pPr>
        <w:spacing w:after="140" w:line="300"/>
        <w:jc w:val="both"/>
      </w:pPr>
      <w:r>
        <w:rPr>
          <w:rFonts w:ascii="Cambria" w:cs="Cambria" w:eastAsia="Cambria" w:hAnsi="Cambria"/>
          <w:color w:val="000000"/>
          <w:sz w:val="24"/>
          <w:szCs w:val="24"/>
        </w:rPr>
        <w:t xml:space="preserve">The Complete Blockchain Audit Ledger provides the most comprehensive representation of the recorded consent history.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color w:val="000000"/>
          <w:sz w:val="22"/>
          <w:szCs w:val="22"/>
        </w:rPr>
        <w:t xml:space="preserve">Accountability + Traceability + Integrity + Non-repudiation</w:t>
      </w:r>
    </w:p>
    <w:p>
      <w:pPr>
        <w:spacing w:after="140" w:line="300"/>
        <w:jc w:val="both"/>
      </w:pPr>
      <w:r>
        <w:rPr>
          <w:rFonts w:ascii="Cambria" w:cs="Cambria" w:eastAsia="Cambria" w:hAnsi="Cambria"/>
          <w:color w:val="000000"/>
          <w:sz w:val="24"/>
          <w:szCs w:val="24"/>
        </w:rPr>
        <w:t xml:space="preserve">A ledger kept by the application could in principle contain fabricated entries. Consequently, the implementation provides an independent verification tool. The tool re-reads the ledger and, for every event that carries a transaction hash,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p>
    <w:p>
      <w:pPr>
        <w:keepNext/>
        <w:spacing w:after="60" w:before="140"/>
        <w:jc w:val="center"/>
      </w:pPr>
      <w:r>
        <w:drawing>
          <wp:inline distT="0" distB="0" distL="0" distR="0">
            <wp:extent cx="5334000" cy="571500"/>
            <wp:effectExtent t="0" r="0" b="0" l="0"/>
            <wp:docPr id="1" name="M8_clean.png" descr="Figure 40: The final verdict of the independent verification, re-executed after the second lifecycle: RESULT: ALL CHECKS PASSED." title="Figure 40: The final verdict of the independent verification, re-executed after the second lifecycle: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5715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40: The final verdict of the independent verification, re-executed after the second lifecycle: RESULT: ALL CHECKS PASSED.</w:t>
      </w:r>
    </w:p>
    <w:p>
      <w:pPr>
        <w:spacing w:after="140" w:line="300"/>
        <w:jc w:val="both"/>
      </w:pPr>
      <w:r>
        <w:rPr>
          <w:rFonts w:ascii="Cambria" w:cs="Cambria" w:eastAsia="Cambria" w:hAnsi="Cambria"/>
          <w:color w:val="000000"/>
          <w:sz w:val="24"/>
          <w:szCs w:val="24"/>
        </w:rP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spacing w:after="140" w:line="300"/>
        <w:jc w:val="both"/>
      </w:pPr>
      <w:r>
        <w:rPr>
          <w:rFonts w:ascii="Cambria" w:cs="Cambria" w:eastAsia="Cambria" w:hAnsi="Cambria"/>
          <w:color w:val="0000CC"/>
          <w:sz w:val="24"/>
          <w:szCs w:val="24"/>
        </w:rPr>
        <w:t xml:space="preserve">In addition to the live demonstration, the same decision logic is exercised by a suite of 23 automated tests covering per-dimension failures of the decision matrix, rejection of invalid EIP-712 guardian signatures and tampered or expired zero-knowledge proofs. The live Sepolia evidence and the automated tests together constitute the empirical validation reported in Section 7.6.</w:t>
      </w:r>
    </w:p>
    <w:p>
      <w:pPr>
        <w:pStyle w:val="Heading3"/>
        <w:spacing w:after="160" w:before="280"/>
      </w:pPr>
      <w:r>
        <w:rPr>
          <w:color w:val="000000"/>
        </w:rPr>
        <w:t xml:space="preserve">6.8.10  Correspondence Between the Subsystems and the Framework</w:t>
      </w:r>
    </w:p>
    <w:p>
      <w:pPr>
        <w:spacing w:after="140" w:line="300"/>
        <w:jc w:val="both"/>
      </w:pPr>
      <w:r>
        <w:rPr>
          <w:rFonts w:ascii="Cambria" w:cs="Cambria" w:eastAsia="Cambria" w:hAnsi="Cambria"/>
          <w:color w:val="000000"/>
          <w:sz w:val="24"/>
          <w:szCs w:val="24"/>
        </w:rPr>
        <w:t xml:space="preserve">The subsystems collectively implement the principal stages of the proposed framework:</w:t>
      </w:r>
    </w:p>
    <w:p>
      <w:pPr>
        <w:spacing w:after="140" w:line="300"/>
        <w:jc w:val="both"/>
      </w:pPr>
      <w:r>
        <w:rPr>
          <w:rFonts w:ascii="Cambria" w:cs="Cambria" w:eastAsia="Cambria" w:hAnsi="Cambria"/>
          <w:color w:val="0000CC"/>
          <w:sz w:val="24"/>
          <w:szCs w:val="24"/>
        </w:rPr>
        <w:t xml:space="preserve">Table 14 summarises the correspondence between the components of the framework and the subsystems of the implementation, and it is followed by the screenshots of each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HALAH Framework Component</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Implementation Subsystem</w:t>
            </w:r>
          </w:p>
        </w:tc>
        <w:tc>
          <w:tcPr>
            <w:tcW w:type="dxa" w:w="35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Main Function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Object Construction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Create Smart Consent Contract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Defines patient, authorised doctor, data scope, guardians, jurisdiction and temporal validity</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Identity &amp; Authorisation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guardian identities and EIP-712 signatures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Multi-party Consent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Implements the 2-of-2 approval condition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Activation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Mints the SBT on Sepolia and marks the consent as fully activated</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Consent-State Management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Checks whether the consent is ACTIVE</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Scope Enforcement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Restricts access to authorised EMR modules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Cryptographic Access Control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the request, including a Groth16 proof, before granting data</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Jurisdictional Constraint (L)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Refuses requests whose declared jurisdiction differs from the consent</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Healthcare Data Access</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the authorised Observation, Medication, Condition and Procedure records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Authorisation Evidence / Revocation (E)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My Consents (Patient)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Revokes the consent locally and on-chain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Traceability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Blockchain Audit &amp; Consent Lifecycle</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Reconstructs the chronological consent process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Accountability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Detailed Audit Records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event-level evidence with transaction hashes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Ledger Integrity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Complete Ledger + independent verification</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Confirms the recorded history against Sepolia</w:t>
            </w:r>
          </w:p>
        </w:tc>
      </w:tr>
    </w:tbl>
    <w:p>
      <w:pPr>
        <w:spacing w:after="160" w:before="60"/>
        <w:jc w:val="center"/>
      </w:pPr>
      <w:r>
        <w:rPr>
          <w:rFonts w:ascii="Cambria" w:cs="Cambria" w:eastAsia="Cambria" w:hAnsi="Cambria"/>
          <w:i/>
          <w:iCs/>
          <w:color w:val="000000"/>
          <w:sz w:val="19"/>
          <w:szCs w:val="19"/>
        </w:rPr>
        <w:t xml:space="preserve">Table 14: Correspondence between the HALAH framework components and the implemented subsystems.</w:t>
      </w:r>
    </w:p>
    <w:p>
      <w:pPr>
        <w:spacing w:after="140" w:line="300"/>
        <w:jc w:val="both"/>
      </w:pPr>
      <w:r>
        <w:rPr>
          <w:rFonts w:ascii="Cambria" w:cs="Cambria" w:eastAsia="Cambria" w:hAnsi="Cambria"/>
          <w:color w:val="000000"/>
          <w:sz w:val="24"/>
          <w:szCs w:val="24"/>
        </w:rPr>
        <w:t xml:space="preserve">This mapping demonstrates that the implementation is not merely a collection of independent user-subsystem modules. Rather, the modules correspond to successive stages of the proposed authorisation protocol.</w:t>
      </w:r>
    </w:p>
    <w:p>
      <w:pPr>
        <w:pStyle w:val="Heading3"/>
        <w:spacing w:after="160" w:before="280"/>
      </w:pPr>
      <w:r>
        <w:rPr>
          <w:color w:val="000000"/>
        </w:rPr>
        <w:t xml:space="preserve">6.8.11  Overall System Demonstration</w:t>
      </w:r>
    </w:p>
    <w:p>
      <w:pPr>
        <w:spacing w:after="140" w:line="300"/>
        <w:jc w:val="both"/>
      </w:pPr>
      <w:r>
        <w:rPr>
          <w:rFonts w:ascii="Cambria" w:cs="Cambria" w:eastAsia="Cambria" w:hAnsi="Cambria"/>
          <w:color w:val="000000"/>
          <w:sz w:val="24"/>
          <w:szCs w:val="24"/>
        </w:rPr>
        <w:t xml:space="preserve">Taken together, the subsystems demonstrate an end-to-end implementation of the proposed HALAH authorisation workflow on a public blockchain.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Only when these conditions are satisfied does the system provide access to the specified EMR modules; an out-of-jurisdiction request is refused with the failed check named. The patient finally revokes the consent, the revocation is recorded on-chain, and the complete sequence is exposed through the auditor subsystem and re-verified independently against the chain.</w:t>
      </w:r>
    </w:p>
    <w:p>
      <w:pPr>
        <w:spacing w:after="160" w:before="60"/>
        <w:jc w:val="center"/>
      </w:pPr>
      <w:r>
        <w:rPr>
          <w:rFonts w:ascii="Cambria Math" w:cs="Cambria Math" w:eastAsia="Cambria Math" w:hAnsi="Cambria Math"/>
          <w:i/>
          <w:iCs/>
          <w:color w:val="000000"/>
          <w:sz w:val="22"/>
          <w:szCs w:val="22"/>
        </w:rPr>
        <w:t xml:space="preserve">C → MS → SBT_chain → StateCheck → AccessDecision → EMR → Revoke_chain → Audit → Verify</w:t>
      </w:r>
    </w:p>
    <w:p>
      <w:pPr>
        <w:spacing w:after="140" w:line="300"/>
        <w:jc w:val="both"/>
      </w:pPr>
      <w:r>
        <w:rPr>
          <w:rFonts w:ascii="Cambria" w:cs="Cambria" w:eastAsia="Cambria" w:hAnsi="Cambria"/>
          <w:color w:val="000000"/>
          <w:sz w:val="24"/>
          <w:szCs w:val="24"/>
        </w:rP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40" w:line="300"/>
        <w:jc w:val="both"/>
      </w:pPr>
      <w:r>
        <w:rPr>
          <w:rFonts w:ascii="Cambria" w:cs="Cambria" w:eastAsia="Cambria" w:hAnsi="Cambria"/>
          <w:color w:val="000000"/>
          <w:sz w:val="24"/>
          <w:szCs w:val="24"/>
        </w:rP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and the Groth16 proof is generated and verified by the same server, so it currently demonstrates the integration of the zero-knowledge toolchain rather than an additional privacy guarantee. These aspects define the immediate future work of the project.</w:t>
      </w:r>
    </w:p>
    <w:p>
      <w:pPr>
        <w:spacing w:after="140" w:line="300"/>
        <w:jc w:val="both"/>
      </w:pPr>
      <w:r>
        <w:rPr>
          <w:rFonts w:ascii="Cambria" w:cs="Cambria" w:eastAsia="Cambria" w:hAnsi="Cambria"/>
          <w:color w:val="0000CC"/>
          <w:sz w:val="24"/>
          <w:szCs w:val="24"/>
        </w:rPr>
        <w:t xml:space="preserve">In addition, this section reports functional evidence only. Transaction latency, gas cost and throughput have not been measured, and a systematic performance and overhead study is reserved for the next stage, as set out in Section 9.2.</w:t>
      </w:r>
    </w:p>
    <w:p>
      <w:pPr>
        <w:spacing w:after="140" w:line="300"/>
        <w:jc w:val="both"/>
      </w:pPr>
      <w:r>
        <w:rPr>
          <w:rFonts w:ascii="Cambria" w:cs="Cambria" w:eastAsia="Cambria" w:hAnsi="Cambria"/>
          <w:color w:val="0000CC"/>
          <w:sz w:val="24"/>
          <w:szCs w:val="24"/>
        </w:rPr>
        <w:t xml:space="preserve">It should be noted that, in the same way, the identity predicate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in the prototype performs identifier- and credential-format validation only; cryptographic resolution of DIDs against a registry and authentication of the requester are reserved for the next stage, as stated in Section 7.2.</w:t>
      </w:r>
    </w:p>
    <w:p>
      <w:pPr>
        <w:spacing w:after="140" w:line="300"/>
        <w:jc w:val="both"/>
      </w:pPr>
      <w:r>
        <w:rPr>
          <w:rFonts w:ascii="Cambria" w:cs="Cambria" w:eastAsia="Cambria" w:hAnsi="Cambria"/>
          <w:color w:val="000000"/>
          <w:sz w:val="24"/>
          <w:szCs w:val="24"/>
        </w:rPr>
        <w:t xml:space="preserve">From a research-implementation perspective, the most significant feature of the presented subsystems is therefore the continuity between consent specification, multi-party authorisation, public on-chain activation and revocation, access enforcement and independently verifiable audit evidence. The user subsystems provide a visible representation of this continuity, allowing the proposed HALAH model to be demonstrated as an operational authorisation workflow on a public network rather than only as a conceptual framework.</w:t>
      </w:r>
    </w:p>
    <w:p>
      <w:pPr>
        <w:pStyle w:val="Heading3"/>
        <w:spacing w:after="160" w:before="280"/>
      </w:pPr>
      <w:r>
        <w:rPr>
          <w:color w:val="000000"/>
        </w:rPr>
        <w:t xml:space="preserve">6.8.12  Verification Links</w:t>
      </w:r>
    </w:p>
    <w:p>
      <w:pPr>
        <w:spacing w:after="140" w:line="300"/>
        <w:jc w:val="both"/>
      </w:pPr>
      <w:r>
        <w:rPr>
          <w:rFonts w:ascii="Cambria" w:cs="Cambria" w:eastAsia="Cambria" w:hAnsi="Cambria"/>
          <w:color w:val="000000"/>
          <w:sz w:val="24"/>
          <w:szCs w:val="24"/>
        </w:rPr>
        <w:t xml:space="preserve">Contract: https://sepolia.etherscan.io/address/0x0EC3617581DEC63A7f2bb162DC14d088916ADc73</w:t>
      </w:r>
    </w:p>
    <w:p>
      <w:pPr>
        <w:spacing w:after="140" w:line="300"/>
        <w:jc w:val="both"/>
      </w:pPr>
      <w:r>
        <w:rPr>
          <w:rFonts w:ascii="Cambria" w:cs="Cambria" w:eastAsia="Cambria" w:hAnsi="Cambria"/>
          <w:color w:val="000000"/>
          <w:sz w:val="24"/>
          <w:szCs w:val="24"/>
        </w:rPr>
        <w:t xml:space="preserve">Consent activation (mint of token #1): https://sepolia.etherscan.io/tx/0x8be1b99e9b7054d427bdee0a0b5cc56ae99030a399f4b11d3629ed5d98daf13d</w:t>
      </w:r>
    </w:p>
    <w:p>
      <w:pPr>
        <w:spacing w:after="140" w:line="300"/>
        <w:jc w:val="both"/>
      </w:pPr>
      <w:r>
        <w:rPr>
          <w:rFonts w:ascii="Cambria" w:cs="Cambria" w:eastAsia="Cambria" w:hAnsi="Cambria"/>
          <w:color w:val="000000"/>
          <w:sz w:val="24"/>
          <w:szCs w:val="24"/>
        </w:rPr>
        <w:t xml:space="preserve">Consent activation (mint of token #2, photographed lifecycle): https://sepolia.etherscan.io/tx/0x25ef5e2f0046735dcb01ff7b68875b760bdf88ad0fa3fedc9bfb910769d4c210</w:t>
      </w:r>
    </w:p>
    <w:p>
      <w:pPr>
        <w:spacing w:after="140" w:line="300"/>
        <w:jc w:val="both"/>
      </w:pPr>
      <w:r>
        <w:rPr>
          <w:rFonts w:ascii="Cambria" w:cs="Cambria" w:eastAsia="Cambria" w:hAnsi="Cambria"/>
          <w:color w:val="000000"/>
          <w:sz w:val="24"/>
          <w:szCs w:val="24"/>
        </w:rPr>
        <w:t xml:space="preserve">Consent revocation (token #1): https://sepolia.etherscan.io/tx/0x017efb9dc6acad9733fa05c19408c0166c9c0645e83b6ffdc41c4b3b85ddceaa</w:t>
      </w:r>
    </w:p>
    <w:p>
      <w:pPr>
        <w:spacing w:after="140" w:line="300"/>
        <w:jc w:val="both"/>
      </w:pPr>
      <w:r>
        <w:rPr>
          <w:rFonts w:ascii="Cambria" w:cs="Cambria" w:eastAsia="Cambria" w:hAnsi="Cambria"/>
          <w:color w:val="000000"/>
          <w:sz w:val="24"/>
          <w:szCs w:val="24"/>
        </w:rPr>
        <w:t xml:space="preserve">Full audit-ledger export: </w:t>
      </w:r>
      <w:r>
        <w:rPr>
          <w:rFonts w:ascii="Consolas" w:cs="Consolas" w:eastAsia="Consolas" w:hAnsi="Consolas"/>
          <w:color w:val="000000"/>
          <w:sz w:val="20"/>
          <w:szCs w:val="20"/>
        </w:rPr>
        <w:t xml:space="preserve">evidence/sepolia_audit_ledger_2026-09-24.csv</w:t>
      </w:r>
      <w:r>
        <w:rPr>
          <w:rFonts w:ascii="Cambria" w:cs="Cambria" w:eastAsia="Cambria" w:hAnsi="Cambria"/>
          <w:color w:val="000000"/>
          <w:sz w:val="24"/>
          <w:szCs w:val="24"/>
        </w:rPr>
        <w:t xml:space="preserve">; deployment and run record: </w:t>
      </w:r>
      <w:r>
        <w:rPr>
          <w:rFonts w:ascii="Consolas" w:cs="Consolas" w:eastAsia="Consolas" w:hAnsi="Consolas"/>
          <w:color w:val="000000"/>
          <w:sz w:val="20"/>
          <w:szCs w:val="20"/>
        </w:rPr>
        <w:t xml:space="preserve">evidence/sepolia_deploy_v3_2026-09-24.txt</w:t>
      </w:r>
      <w:r>
        <w:rPr>
          <w:rFonts w:ascii="Cambria" w:cs="Cambria" w:eastAsia="Cambria" w:hAnsi="Cambria"/>
          <w:color w:val="000000"/>
          <w:sz w:val="24"/>
          <w:szCs w:val="24"/>
        </w:rPr>
        <w:t xml:space="preserve"> preserved in the project evidence records.</w:t>
      </w:r>
    </w:p>
    <w:p>
      <w:pPr>
        <w:pStyle w:val="Heading1"/>
        <w:pageBreakBefore/>
        <w:spacing w:after="160" w:before="400"/>
      </w:pPr>
      <w:r>
        <w:rPr>
          <w:rFonts w:ascii="Cambria" w:cs="Cambria" w:eastAsia="Cambria" w:hAnsi="Cambria"/>
          <w:sz w:val="24"/>
          <w:szCs w:val="24"/>
        </w:rPr>
        <w:t xml:space="preserve">7  Current Progress Status</w:t>
      </w:r>
    </w:p>
    <w:p>
      <w:pPr>
        <w:pStyle w:val="Heading2"/>
        <w:spacing w:after="160" w:before="280"/>
      </w:pPr>
      <w:r>
        <w:rPr>
          <w:rFonts w:ascii="Cambria" w:cs="Cambria" w:eastAsia="Cambria" w:hAnsi="Cambria"/>
          <w:sz w:val="24"/>
          <w:szCs w:val="24"/>
        </w:rP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The current result demonstrates that consent can be represented as an evaluable authorisation object rather than as a binary permission. This provides a conceptual basis for dynamic access decisions and allows subsequent authorisation conditions to be evaluated consistently.</w:t>
      </w:r>
    </w:p>
    <w:p>
      <w:pPr>
        <w:spacing w:after="140" w:line="300"/>
        <w:jc w:val="both"/>
      </w:pPr>
      <w:r>
        <w:rPr>
          <w:rFonts w:ascii="Cambria" w:cs="Cambria" w:eastAsia="Cambria" w:hAnsi="Cambria"/>
          <w:color w:val="0000CC"/>
          <w:sz w:val="24"/>
          <w:szCs w:val="24"/>
        </w:rPr>
        <w:t xml:space="preserve">Temporal information defines the validity interval [t</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 t</w:t>
      </w:r>
      <w:r>
        <w:rPr>
          <w:rFonts w:ascii="Cambria" w:cs="Cambria" w:eastAsia="Cambria" w:hAnsi="Cambria"/>
          <w:color w:val="0000CC"/>
          <w:sz w:val="24"/>
          <w:szCs w:val="24"/>
          <w:vertAlign w:val="subscript"/>
        </w:rPr>
        <w:t xml:space="preserve">e</w:t>
      </w:r>
      <w:r>
        <w:rPr>
          <w:rFonts w:ascii="Cambria" w:cs="Cambria" w:eastAsia="Cambria" w:hAnsi="Cambria"/>
          <w:color w:val="0000CC"/>
          <w:sz w:val="24"/>
          <w:szCs w:val="24"/>
        </w:rPr>
        <w:t xml:space="preserve">] within which the consent may be exercised, and the jurisdiction component records the legal territory in which access is permitted.</w:t>
      </w:r>
    </w:p>
    <w:p>
      <w:pPr>
        <w:pStyle w:val="Heading2"/>
        <w:spacing w:after="160" w:before="280"/>
      </w:pPr>
      <w:r>
        <w:rPr>
          <w:rFonts w:ascii="Cambria" w:cs="Cambria" w:eastAsia="Cambria" w:hAnsi="Cambria"/>
          <w:sz w:val="24"/>
          <w:szCs w:val="24"/>
        </w:rPr>
        <w:t xml:space="preserve">7.2  </w:t>
      </w:r>
      <w:r>
        <w:rPr>
          <w:rFonts w:ascii="Cambria" w:cs="Cambria" w:eastAsia="Cambria" w:hAnsi="Cambria"/>
          <w:color w:val="E6007E"/>
          <w:sz w:val="24"/>
          <w:szCs w:val="24"/>
        </w:rPr>
        <w:t xml:space="preserve">Progress of RO2: Decentralised Identity and Authority Trust</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The identity verification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(73)</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spacing w:after="140" w:line="300"/>
        <w:jc w:val="both"/>
      </w:pPr>
      <w:r>
        <w:rPr>
          <w:rFonts w:ascii="Cambria" w:cs="Cambria" w:eastAsia="Cambria" w:hAnsi="Cambria"/>
          <w:color w:val="E6007E"/>
          <w:sz w:val="24"/>
          <w:szCs w:val="24"/>
        </w:rPr>
        <w:t xml:space="preserve">With respect to the multi-party authorisation of RO3, which is discussed further in Section 7.3, the approval threshold in the current prototype is fixed at N-of-N: every</w:t>
      </w:r>
      <w:r>
        <w:rPr>
          <w:rFonts w:ascii="Cambria" w:cs="Cambria" w:eastAsia="Cambria" w:hAnsi="Cambria"/>
          <w:color w:val="000000"/>
          <w:sz w:val="24"/>
          <w:szCs w:val="24"/>
        </w:rPr>
        <w:t xml:space="preserve"> listed guardian must approve, each through an EIP-712 typed-data signature verified by cryptographic recovery, and the two-guardian case has been evaluated end-to-end, with configurable k-of-n thresholds remaining future work. With respect to identity verification,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in the prototype performs identifier- and credential-format validation only; cryptographic DID resolution against a registry and authentication of the requester are acknowledged limitations reserved for the next stage.</w:t>
      </w:r>
    </w:p>
    <w:p>
      <w:pPr>
        <w:pStyle w:val="Heading2"/>
        <w:spacing w:after="160" w:before="280"/>
      </w:pPr>
      <w:r>
        <w:rPr>
          <w:rFonts w:ascii="Cambria" w:cs="Cambria" w:eastAsia="Cambria" w:hAnsi="Cambria"/>
          <w:sz w:val="24"/>
          <w:szCs w:val="24"/>
        </w:rP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(74)</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(77)</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spacing w:after="140" w:line="300"/>
        <w:jc w:val="both"/>
      </w:pPr>
      <w:r>
        <w:rPr>
          <w:rFonts w:ascii="Cambria" w:cs="Cambria" w:eastAsia="Cambria" w:hAnsi="Cambria"/>
          <w:color w:val="0000CC"/>
          <w:sz w:val="24"/>
          <w:szCs w:val="24"/>
        </w:rPr>
        <w:t xml:space="preserve">It should be noted that the implemented threshold is derived from the designated guardian set as N = |G|, so the prototype currently enforces an N-of-N instantiation of Eq. (74) and has been evaluated in the 2-of-2 configuration; configurable k-of-n thresholds are reserved for the next stage.</w:t>
      </w:r>
    </w:p>
    <w:p>
      <w:pPr>
        <w:pStyle w:val="Heading2"/>
        <w:spacing w:after="160" w:before="280"/>
      </w:pPr>
      <w:r>
        <w:rPr>
          <w:rFonts w:ascii="Cambria" w:cs="Cambria" w:eastAsia="Cambria" w:hAnsi="Cambria"/>
          <w:sz w:val="24"/>
          <w:szCs w:val="24"/>
        </w:rPr>
        <w:t xml:space="preserve">7.4  </w:t>
      </w:r>
      <w:r>
        <w:rPr>
          <w:rFonts w:ascii="Cambria" w:cs="Cambria" w:eastAsia="Cambria" w:hAnsi="Cambria"/>
          <w:color w:val="E6007E"/>
          <w:sz w:val="24"/>
          <w:szCs w:val="24"/>
        </w:rPr>
        <w:t xml:space="preserve">Progress of RO4: Policy- and Context-Aware Access Control</w:t>
      </w:r>
    </w:p>
    <w:p>
      <w:pPr>
        <w:spacing w:after="140" w:line="300"/>
        <w:jc w:val="both"/>
      </w:pPr>
      <w:r>
        <w:rPr>
          <w:rFonts w:ascii="Cambria" w:cs="Cambria" w:eastAsia="Cambria" w:hAnsi="Cambria"/>
          <w:color w:val="000000"/>
          <w:sz w:val="24"/>
          <w:szCs w:val="24"/>
        </w:rPr>
        <w:t xml:space="preserve">Status: Completed.</w:t>
      </w:r>
    </w:p>
    <w:p>
      <w:pPr>
        <w:spacing w:after="140" w:line="300"/>
        <w:jc w:val="both"/>
      </w:pPr>
      <w:r>
        <w:rPr>
          <w:rFonts w:ascii="Cambria" w:cs="Cambria" w:eastAsia="Cambria" w:hAnsi="Cambria"/>
          <w:color w:val="000000"/>
          <w:sz w:val="24"/>
          <w:szCs w:val="24"/>
        </w:rPr>
        <w:t xml:space="preserve">The policy predicate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is implemented at the prototype level: each access request declares a purpose and a requested data scope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and the request is rejected whenever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is not a subset of the authorised scope S</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w:t>
      </w:r>
      <w:r>
        <w:rPr>
          <w:rFonts w:ascii="Cambria" w:cs="Cambria" w:eastAsia="Cambria" w:hAnsi="Cambria"/>
          <w:color w:val="000000"/>
          <w:sz w:val="24"/>
          <w:szCs w:val="24"/>
        </w:rPr>
        <w:t xml:space="preserve"> The predicate is evaluated as one term of the complete decision matrix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and every denial names the failed checks explicitly in both the interface and the audit ledger. In addition, input validation on consent creation and access requests prevents malformed identifiers, scopes and jurisdictions from reaching the decision logic. Consequently, policy-aware access control is an enforced property of the running system rather than an expected outcome.</w:t>
      </w:r>
    </w:p>
    <w:p>
      <w:pPr>
        <w:spacing w:after="140" w:line="300"/>
        <w:jc w:val="both"/>
      </w:pPr>
      <w:r>
        <w:rPr>
          <w:rFonts w:ascii="Cambria" w:cs="Cambria" w:eastAsia="Cambria" w:hAnsi="Cambria"/>
          <w:color w:val="E6007E"/>
          <w:sz w:val="24"/>
          <w:szCs w:val="24"/>
        </w:rPr>
        <w:t xml:space="preserve">RO4 represents the third layer of the foundational framework, beyond identity</w:t>
      </w:r>
      <w:r>
        <w:rPr>
          <w:rFonts w:ascii="Cambria" w:cs="Cambria" w:eastAsia="Cambria" w:hAnsi="Cambria"/>
          <w:sz w:val="24"/>
          <w:szCs w:val="24"/>
        </w:rPr>
        <w:t xml:space="preserve"> and multi-party approval. The objective is to ensure that an otherwise valid requester cannot access healthcare information outside the purpose and data scope authorised by the consent. The proposed policy predicate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(78)</w:t>
      </w:r>
    </w:p>
    <w:p>
      <w:pPr>
        <w:spacing w:after="140" w:line="300"/>
        <w:jc w:val="both"/>
      </w:pPr>
      <w:r>
        <w:rPr>
          <w:rFonts w:ascii="Cambria" w:cs="Cambria" w:eastAsia="Cambria" w:hAnsi="Cambria"/>
          <w:sz w:val="24"/>
          <w:szCs w:val="24"/>
        </w:rPr>
        <w:t xml:space="preserve">For example, if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{Observation, Medication}, and the requester asks for </w:t>
      </w:r>
      <w:r>
        <w:rPr>
          <w:rFonts w:ascii="Cambria" w:cs="Cambria" w:eastAsia="Cambria" w:hAnsi="Cambria"/>
          <w:color w:val="000000"/>
          <w:sz w:val="24"/>
          <w:szCs w:val="24"/>
        </w:rPr>
        <w:t xml:space="preserve">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 {Observation, Medication, Procedure}, </w:t>
      </w:r>
      <w:r>
        <w:rPr>
          <w:rFonts w:ascii="Cambria" w:cs="Cambria" w:eastAsia="Cambria" w:hAnsi="Cambria"/>
          <w:color w:val="E6007E"/>
          <w:sz w:val="24"/>
          <w:szCs w:val="24"/>
        </w:rPr>
        <w:t xml:space="preserve">the request exceeds the authorised scope,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evaluates to 0 and the request is denied with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named as the failed check, as demonstrated for the requested-subset rule in Section 6.8.4.</w:t>
      </w:r>
    </w:p>
    <w:p>
      <w:pPr>
        <w:pStyle w:val="Heading2"/>
        <w:spacing w:after="160" w:before="280"/>
      </w:pPr>
      <w:r>
        <w:rPr>
          <w:rFonts w:ascii="Cambria" w:cs="Cambria" w:eastAsia="Cambria" w:hAnsi="Cambria"/>
          <w:sz w:val="24"/>
          <w:szCs w:val="24"/>
        </w:rPr>
        <w:t xml:space="preserve">7.5  Progress of RO5: Temporal and Lifecycle Trust</w:t>
      </w:r>
    </w:p>
    <w:p>
      <w:pPr>
        <w:spacing w:after="140" w:line="300"/>
        <w:jc w:val="both"/>
      </w:pPr>
      <w:r>
        <w:rPr>
          <w:rFonts w:ascii="Cambria" w:cs="Cambria" w:eastAsia="Cambria" w:hAnsi="Cambria"/>
          <w:color w:val="000000"/>
          <w:sz w:val="24"/>
          <w:szCs w:val="24"/>
        </w:rPr>
        <w:t xml:space="preserve">Status: Largely Completed.</w:t>
      </w:r>
    </w:p>
    <w:p>
      <w:pPr>
        <w:spacing w:after="140" w:line="300"/>
        <w:jc w:val="both"/>
      </w:pPr>
      <w:r>
        <w:rPr>
          <w:rFonts w:ascii="Cambria" w:cs="Cambria" w:eastAsia="Cambria" w:hAnsi="Cambria"/>
          <w:color w:val="000000"/>
          <w:sz w:val="24"/>
          <w:szCs w:val="24"/>
        </w:rPr>
        <w:t xml:space="preserve">RO5 has moved from planned work to implemented capability. The consent validity interval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is now enforced by the temporal predicate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at every access request and is additionally stored on-chain in the SBT as the notBefore and expiry fields, so that temporal validity can be verified independently of the application. The consent lifecycle is implemented as an explicit state machine comprising PENDING_SIGNATURE, PENDING_TOKEN, NOT_STARTED, ACTIVE, EXPIRED and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therefore the dynamic and delegated dimension of lifecycle trust, such as consent modification, delegation and guardian-set changes, </w:t>
      </w:r>
      <w:r>
        <w:rPr>
          <w:rFonts w:ascii="Cambria" w:cs="Cambria" w:eastAsia="Cambria" w:hAnsi="Cambria"/>
          <w:color w:val="E6007E"/>
          <w:sz w:val="24"/>
          <w:szCs w:val="24"/>
        </w:rPr>
        <w:t xml:space="preserve">rather than temporal enforcement itself. The temporal predicate enforced at every access request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(79)</w:t>
      </w:r>
    </w:p>
    <w:p>
      <w:pPr>
        <w:spacing w:after="140" w:line="300"/>
        <w:jc w:val="both"/>
      </w:pPr>
      <w:r>
        <w:rPr>
          <w:rFonts w:ascii="Cambria" w:cs="Cambria" w:eastAsia="Cambria" w:hAnsi="Cambria"/>
          <w:color w:val="000000"/>
          <w:sz w:val="24"/>
          <w:szCs w:val="24"/>
        </w:rPr>
        <w:t xml:space="preserve">The next stage will extend the implemented lifecycle mechanism towards consent modification, delegation, and guardian-set changes, and will formalise the state-transition model so that unauthorised lifecycle transitions can be excluded by construction.</w:t>
      </w:r>
    </w:p>
    <w:p>
      <w:pPr>
        <w:pStyle w:val="Heading2"/>
        <w:spacing w:after="160" w:before="280"/>
      </w:pPr>
      <w:r>
        <w:rPr>
          <w:rFonts w:ascii="Cambria" w:cs="Cambria" w:eastAsia="Cambria" w:hAnsi="Cambria"/>
          <w:sz w:val="24"/>
          <w:szCs w:val="24"/>
        </w:rPr>
        <w:t xml:space="preserve">7.6  </w:t>
      </w:r>
      <w:r>
        <w:rPr>
          <w:rFonts w:ascii="Cambria" w:cs="Cambria" w:eastAsia="Cambria" w:hAnsi="Cambria"/>
          <w:color w:val="E6007E"/>
          <w:sz w:val="24"/>
          <w:szCs w:val="24"/>
        </w:rPr>
        <w:t xml:space="preserve">Progress of RO6: Formal Security Assurance and Empirical Validation</w:t>
      </w:r>
    </w:p>
    <w:p>
      <w:pPr>
        <w:spacing w:after="140" w:line="300"/>
        <w:jc w:val="both"/>
      </w:pPr>
      <w:r>
        <w:rPr>
          <w:rFonts w:ascii="Cambria" w:cs="Cambria" w:eastAsia="Cambria" w:hAnsi="Cambria"/>
          <w:color w:val="E6007E"/>
          <w:sz w:val="24"/>
          <w:szCs w:val="24"/>
        </w:rPr>
        <w:t xml:space="preserve">Status: Partially Completed (scenario-based empirical validation complete; formal assurance and performance study outstanding)</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tabs>
          <w:tab w:val="right" w:pos="9360"/>
        </w:tabs>
        <w:spacing w:after="160" w:before="60"/>
        <w:jc w:val="center"/>
      </w:pPr>
      <w:r>
        <w:rPr>
          <w:rFonts w:ascii="Cambria Math" w:cs="Cambria Math" w:eastAsia="Cambria Math" w:hAnsi="Cambria Math"/>
          <w:i/>
          <w:iCs/>
          <w:color w:val="E6007E"/>
          <w:sz w:val="22"/>
          <w:szCs w:val="22"/>
        </w:rPr>
        <w:t xml:space="preserve">Decision(C, R, t) = ALLOW, V</w:t>
      </w:r>
      <w:r>
        <w:rPr>
          <w:rFonts w:ascii="Cambria Math" w:cs="Cambria Math" w:eastAsia="Cambria Math" w:hAnsi="Cambria Math"/>
          <w:i/>
          <w:iCs/>
          <w:color w:val="E6007E"/>
          <w:sz w:val="22"/>
          <w:szCs w:val="22"/>
          <w:vertAlign w:val="subscript"/>
        </w:rPr>
        <w:t xml:space="preserve">I</w:t>
      </w:r>
      <w:r>
        <w:rPr>
          <w:rFonts w:ascii="Cambria Math" w:cs="Cambria Math" w:eastAsia="Cambria Math" w:hAnsi="Cambria Math"/>
          <w:i/>
          <w:iCs/>
          <w:color w:val="E6007E"/>
          <w:sz w:val="22"/>
          <w:szCs w:val="22"/>
        </w:rPr>
        <w:t xml:space="preserve">(u) ∧ V</w:t>
      </w:r>
      <w:r>
        <w:rPr>
          <w:rFonts w:ascii="Cambria Math" w:cs="Cambria Math" w:eastAsia="Cambria Math" w:hAnsi="Cambria Math"/>
          <w:i/>
          <w:iCs/>
          <w:color w:val="E6007E"/>
          <w:sz w:val="22"/>
          <w:szCs w:val="22"/>
          <w:vertAlign w:val="subscript"/>
        </w:rPr>
        <w:t xml:space="preserve">A</w:t>
      </w:r>
      <w:r>
        <w:rPr>
          <w:rFonts w:ascii="Cambria Math" w:cs="Cambria Math" w:eastAsia="Cambria Math" w:hAnsi="Cambria Math"/>
          <w:i/>
          <w:iCs/>
          <w:color w:val="E6007E"/>
          <w:sz w:val="22"/>
          <w:szCs w:val="22"/>
        </w:rPr>
        <w:t xml:space="preserve">(C) ∧ V</w:t>
      </w:r>
      <w:r>
        <w:rPr>
          <w:rFonts w:ascii="Cambria Math" w:cs="Cambria Math" w:eastAsia="Cambria Math" w:hAnsi="Cambria Math"/>
          <w:i/>
          <w:iCs/>
          <w:color w:val="E6007E"/>
          <w:sz w:val="22"/>
          <w:szCs w:val="22"/>
          <w:vertAlign w:val="subscript"/>
        </w:rPr>
        <w:t xml:space="preserve">P</w:t>
      </w:r>
      <w:r>
        <w:rPr>
          <w:rFonts w:ascii="Cambria Math" w:cs="Cambria Math" w:eastAsia="Cambria Math" w:hAnsi="Cambria Math"/>
          <w:i/>
          <w:iCs/>
          <w:color w:val="E6007E"/>
          <w:sz w:val="22"/>
          <w:szCs w:val="22"/>
        </w:rPr>
        <w:t xml:space="preserve">(C, R) ∧ V</w:t>
      </w:r>
      <w:r>
        <w:rPr>
          <w:rFonts w:ascii="Cambria Math" w:cs="Cambria Math" w:eastAsia="Cambria Math" w:hAnsi="Cambria Math"/>
          <w:i/>
          <w:iCs/>
          <w:color w:val="E6007E"/>
          <w:sz w:val="22"/>
          <w:szCs w:val="22"/>
          <w:vertAlign w:val="subscript"/>
        </w:rPr>
        <w:t xml:space="preserve">T</w:t>
      </w:r>
      <w:r>
        <w:rPr>
          <w:rFonts w:ascii="Cambria Math" w:cs="Cambria Math" w:eastAsia="Cambria Math" w:hAnsi="Cambria Math"/>
          <w:i/>
          <w:iCs/>
          <w:color w:val="E6007E"/>
          <w:sz w:val="22"/>
          <w:szCs w:val="22"/>
        </w:rPr>
        <w:t xml:space="preserve">(C, t) ∧ V</w:t>
      </w:r>
      <w:r>
        <w:rPr>
          <w:rFonts w:ascii="Cambria Math" w:cs="Cambria Math" w:eastAsia="Cambria Math" w:hAnsi="Cambria Math"/>
          <w:i/>
          <w:iCs/>
          <w:color w:val="E6007E"/>
          <w:sz w:val="22"/>
          <w:szCs w:val="22"/>
          <w:vertAlign w:val="subscript"/>
        </w:rPr>
        <w:t xml:space="preserve">L</w:t>
      </w:r>
      <w:r>
        <w:rPr>
          <w:rFonts w:ascii="Cambria Math" w:cs="Cambria Math" w:eastAsia="Cambria Math" w:hAnsi="Cambria Math"/>
          <w:i/>
          <w:iCs/>
          <w:color w:val="E6007E"/>
          <w:sz w:val="22"/>
          <w:szCs w:val="22"/>
        </w:rPr>
        <w:t xml:space="preserve">(C); DENY, otherwise.</w:t>
      </w:r>
      <w:r>
        <w:rPr>
          <w:rFonts w:ascii="Cambria" w:cs="Cambria" w:eastAsia="Cambria" w:hAnsi="Cambria"/>
          <w:sz w:val="22"/>
          <w:szCs w:val="22"/>
        </w:rPr>
        <w:t xml:space="preserve">	(80)</w:t>
      </w:r>
    </w:p>
    <w:p>
      <w:pPr>
        <w:spacing w:after="140" w:line="300"/>
        <w:jc w:val="both"/>
      </w:pPr>
      <w:r>
        <w:rPr>
          <w:rFonts w:ascii="Cambria" w:cs="Cambria" w:eastAsia="Cambria" w:hAnsi="Cambria"/>
          <w:color w:val="E6007E"/>
          <w:sz w:val="24"/>
          <w:szCs w:val="24"/>
        </w:rPr>
        <w:t xml:space="preserve">Empirical validation now covers all five trust predicates of the decision matrix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and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together with on-chain revocation.</w:t>
      </w:r>
      <w:r>
        <w:rPr>
          <w:rFonts w:ascii="Cambria" w:cs="Cambria" w:eastAsia="Cambria" w:hAnsi="Cambria"/>
          <w:color w:val="000000"/>
          <w:sz w:val="24"/>
          <w:szCs w:val="24"/>
        </w:rPr>
        <w:t xml:space="preserve"> A suite of 23 automated tests exercises per-dimension failures of the decision matrix, rejection of invalid EIP-712 guardian signatures, and tampered or expired zero-knowledge proofs. Live validation on the Sepolia testnet includes a negative demonstration in which a request declaring jurisdiction SA against a consent issued for AU is denied with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named as the failed check, and a revocation scenario in which the same consent, once revoked on-chain, is subsequently denied through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Furthermore, an independent verification tool re-checks every ledger transaction hash against Sepolia receipts and reads each token back from the contract, reporting ALL CHECKS PASSED, and every granted access is accompanied by a real Groth16 proof generated and verified at request time. The implemented decision rule is Decision(C, R, t) = ALLOW iff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Formal security analysis and a systematic performance study remain for the next stage. </w:t>
      </w:r>
      <w:r>
        <w:rPr>
          <w:rFonts w:ascii="Cambria" w:cs="Cambria" w:eastAsia="Cambria" w:hAnsi="Cambria"/>
          <w:color w:val="0000CC"/>
          <w:sz w:val="24"/>
          <w:szCs w:val="24"/>
        </w:rPr>
        <w:t xml:space="preserve">It should be noted that the prover and the verifier currently run on the same server, so the proof demonstrates the integration of the zero-knowledge toolchain rather than an additional privacy guarantee, as discussed in Section 6.8.11.</w:t>
      </w:r>
    </w:p>
    <w:p>
      <w:pPr>
        <w:spacing w:after="140" w:line="300"/>
        <w:jc w:val="both"/>
      </w:pPr>
      <w:r>
        <w:rPr>
          <w:rFonts w:ascii="Cambria" w:cs="Cambria" w:eastAsia="Cambria" w:hAnsi="Cambria"/>
          <w:sz w:val="24"/>
          <w:szCs w:val="24"/>
        </w:rPr>
        <w:t xml:space="preserve">At the current stage, the experimental evidence primarily demonstrates </w:t>
      </w:r>
      <w:r>
        <w:rPr>
          <w:rFonts w:ascii="Cambria" w:cs="Cambria" w:eastAsia="Cambria" w:hAnsi="Cambria"/>
          <w:color w:val="E6007E"/>
          <w:sz w:val="24"/>
          <w:szCs w:val="24"/>
        </w:rPr>
        <w:t xml:space="preserve">the consistency between the implemented consent, identity, policy, temporal, jurisdictional and</w:t>
      </w:r>
      <w:r>
        <w:rPr>
          <w:rFonts w:ascii="Cambria" w:cs="Cambria" w:eastAsia="Cambria" w:hAnsi="Cambria"/>
          <w:sz w:val="24"/>
          <w:szCs w:val="24"/>
        </w:rPr>
        <w:t xml:space="preserve"> multi-party authorisation mechanisms and their corresponding research questions.</w:t>
      </w:r>
    </w:p>
    <w:p>
      <w:pPr>
        <w:spacing w:after="140" w:line="300"/>
        <w:jc w:val="both"/>
      </w:pPr>
      <w:r>
        <w:rPr>
          <w:rFonts w:ascii="Cambria" w:cs="Cambria" w:eastAsia="Cambria" w:hAnsi="Cambria"/>
          <w:color w:val="000000"/>
          <w:sz w:val="24"/>
          <w:szCs w:val="24"/>
        </w:rPr>
        <w:t xml:space="preserve">Policy-violation scenarios, temporal expiration, revocation and invalid lifecycle transitions have now been demonstrated empirically, both in the automated test suite and in the live Sepolia deployment. The remaining work for the next stage is therefore considerably narrower: formal definition and verification of the security properties, a systematic performance and overhead study, and the removal of prototype limitations such as the N-of-N approval rule, server-derived guardian keys and the unauthenticated requester role.</w:t>
      </w:r>
    </w:p>
    <w:p>
      <w:pPr>
        <w:pStyle w:val="Heading1"/>
        <w:pageBreakBefore/>
        <w:spacing w:after="160" w:before="400"/>
      </w:pPr>
      <w:r>
        <w:rPr>
          <w:rFonts w:ascii="Cambria" w:cs="Cambria" w:eastAsia="Cambria" w:hAnsi="Cambria"/>
          <w:sz w:val="24"/>
          <w:szCs w:val="24"/>
        </w:rP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spacing w:after="140" w:line="300"/>
        <w:jc w:val="both"/>
      </w:pPr>
      <w:r>
        <w:rPr>
          <w:rFonts w:ascii="Cambria" w:cs="Cambria" w:eastAsia="Cambria" w:hAnsi="Cambria"/>
          <w:color w:val="0000CC"/>
          <w:sz w:val="24"/>
          <w:szCs w:val="24"/>
        </w:rPr>
        <w:t xml:space="preserve">It should be noted that no manuscript has been submitted at the time of writing. The first paper is intended for submission early in the next stage, so that it can present the consent model together with the deployed contract and its verified transaction evidence.</w:t>
      </w:r>
    </w:p>
    <w:p>
      <w:pPr>
        <w:spacing w:after="140" w:line="300"/>
        <w:jc w:val="both"/>
      </w:pPr>
      <w:r>
        <w:rPr>
          <w:rFonts w:ascii="Cambria" w:cs="Cambria" w:eastAsia="Cambria" w:hAnsi="Cambria"/>
          <w:color w:val="0000CC"/>
          <w:sz w:val="24"/>
          <w:szCs w:val="24"/>
        </w:rPr>
        <w:t xml:space="preserve">Table 15 summarises the planned research outputs, their target venues, their current status and their alignment with the research questions.</w:t>
      </w:r>
    </w:p>
    <w:p>
      <w:pPr>
        <w:keepNext/>
        <w:spacing w:after="80" w:before="160"/>
        <w:jc w:val="center"/>
      </w:pPr>
      <w:r>
        <w:rPr>
          <w:rFonts w:ascii="Cambria" w:cs="Cambria" w:eastAsia="Cambria" w:hAnsi="Cambria"/>
          <w:b/>
          <w:bCs/>
          <w:color w:val="000000"/>
          <w:sz w:val="21"/>
          <w:szCs w:val="21"/>
        </w:rPr>
        <w:t xml:space="preserve">Table 15: </w:t>
      </w:r>
      <w:r>
        <w:rPr>
          <w:rFonts w:ascii="Cambria" w:cs="Cambria" w:eastAsia="Cambria" w:hAnsi="Cambria"/>
          <w:color w:val="000000"/>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w:t>
            </w:r>
            <w:r>
              <w:rPr>
                <w:rFonts w:ascii="Cambria" w:cs="Cambria" w:eastAsia="Cambria" w:hAnsi="Cambria"/>
                <w:b w:val="false"/>
                <w:bCs w:val="false"/>
                <w:color w:val="E6007E"/>
                <w:sz w:val="19"/>
                <w:szCs w:val="19"/>
              </w:rPr>
              <w:t xml:space="preserve">addresses RQ1 to RQ4 (Sections 6.1 to 6.4).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w:t>
            </w:r>
            <w:r>
              <w:rPr>
                <w:rFonts w:ascii="Cambria" w:cs="Cambria" w:eastAsia="Cambria" w:hAnsi="Cambria"/>
                <w:b w:val="false"/>
                <w:bCs w:val="false"/>
                <w:color w:val="000000"/>
                <w:sz w:val="19"/>
                <w:szCs w:val="19"/>
              </w:rPr>
              <w:t xml:space="preserve">The decentralised implementation and the scenario-based validation are complete on the Sepolia public testnet; the performance evaluation remains outstanding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validation; </w:t>
            </w:r>
            <w:r>
              <w:rPr>
                <w:rFonts w:ascii="Cambria" w:cs="Cambria" w:eastAsia="Cambria" w:hAnsi="Cambria"/>
                <w:b w:val="false"/>
                <w:bCs w:val="false"/>
                <w:color w:val="000000"/>
                <w:sz w:val="19"/>
                <w:szCs w:val="19"/>
              </w:rPr>
              <w:t xml:space="preserve">the paper's empirical section can now draw upon the deployed contract, the two minted tokens and the verified transaction trail as delivered evidence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Specialised</w:t>
            </w:r>
            <w:r>
              <w:rPr>
                <w:rFonts w:ascii="Cambria" w:cs="Cambria" w:eastAsia="Cambria" w:hAnsi="Cambria"/>
                <w:b w:val="false"/>
                <w:bCs w:val="false"/>
                <w:sz w:val="19"/>
                <w:szCs w:val="19"/>
              </w:rPr>
              <w:t xml:space="preserve">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w:t>
            </w:r>
            <w:r>
              <w:rPr>
                <w:rFonts w:ascii="Cambria" w:cs="Cambria" w:eastAsia="Cambria" w:hAnsi="Cambria"/>
                <w:b w:val="false"/>
                <w:bCs w:val="false"/>
                <w:color w:val="E6007E"/>
                <w:sz w:val="19"/>
                <w:szCs w:val="19"/>
              </w:rPr>
              <w:t xml:space="preserve">addresses formal security assurance (Section 6.6).</w:t>
            </w:r>
          </w:p>
        </w:tc>
      </w:tr>
    </w:tbl>
    <w:p>
      <w:pPr>
        <w:spacing w:after="180"/>
      </w:pP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rPr>
          <w:rFonts w:ascii="Cambria" w:cs="Cambria" w:eastAsia="Cambria" w:hAnsi="Cambria"/>
          <w:sz w:val="24"/>
          <w:szCs w:val="24"/>
        </w:rPr>
        <w:t xml:space="preserve">9  Research Plan</w:t>
      </w:r>
    </w:p>
    <w:p>
      <w:pPr>
        <w:spacing w:after="140" w:line="300"/>
        <w:jc w:val="both"/>
      </w:pPr>
      <w:r>
        <w:rPr>
          <w:rFonts w:ascii="Cambria" w:cs="Cambria" w:eastAsia="Cambria" w:hAnsi="Cambria"/>
          <w:sz w:val="24"/>
          <w:szCs w:val="24"/>
        </w:rPr>
        <w:t xml:space="preserve">The research plan is divided into two major stages corresponding to current and next stage.</w:t>
      </w:r>
    </w:p>
    <w:p>
      <w:pPr>
        <w:pStyle w:val="Heading2"/>
        <w:spacing w:after="160" w:before="280"/>
      </w:pPr>
      <w:r>
        <w:rPr>
          <w:rFonts w:ascii="Cambria" w:cs="Cambria" w:eastAsia="Cambria" w:hAnsi="Cambria"/>
          <w:sz w:val="24"/>
          <w:szCs w:val="24"/>
        </w:rPr>
        <w:t xml:space="preserve">9.1  Current Stage: Completed and Current Work</w:t>
      </w:r>
    </w:p>
    <w:p>
      <w:pPr>
        <w:spacing w:after="140" w:line="300"/>
        <w:jc w:val="both"/>
      </w:pPr>
      <w:r>
        <w:rPr>
          <w:rFonts w:ascii="Cambria" w:cs="Cambria" w:eastAsia="Cambria" w:hAnsi="Cambria"/>
          <w:color w:val="000000"/>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is publicly inspectable on Etherscan. </w:t>
      </w:r>
      <w:r>
        <w:rPr>
          <w:rFonts w:ascii="Cambria" w:cs="Cambria" w:eastAsia="Cambria" w:hAnsi="Cambria"/>
          <w:color w:val="0000CC"/>
          <w:sz w:val="24"/>
          <w:szCs w:val="24"/>
        </w:rPr>
        <w:t xml:space="preserve">The plan for the next stage therefore follows directly from the progress status reported in Chapter 7: the objectives marked as completed require no further development, whereas the formal component of RO6 and the identified prototype limitations, namely the N-of-N approval rule, the server-derived guardian keys and the unauthenticated requester, define the remaining work.</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Heading2"/>
        <w:spacing w:after="160" w:before="280"/>
      </w:pPr>
      <w:r>
        <w:rPr>
          <w:rFonts w:ascii="Cambria" w:cs="Cambria" w:eastAsia="Cambria" w:hAnsi="Cambria"/>
          <w:sz w:val="24"/>
          <w:szCs w:val="24"/>
        </w:rPr>
        <w:t xml:space="preserve">9.2  Next Stage: Planned Work</w:t>
      </w:r>
    </w:p>
    <w:p>
      <w:pPr>
        <w:spacing w:after="140" w:line="300"/>
        <w:jc w:val="both"/>
      </w:pPr>
      <w:r>
        <w:rPr>
          <w:rFonts w:ascii="Cambria" w:cs="Cambria" w:eastAsia="Cambria" w:hAnsi="Cambria"/>
          <w:color w:val="000000"/>
          <w:sz w:val="24"/>
          <w:szCs w:val="24"/>
        </w:rPr>
        <w:t xml:space="preserve">Temporal and lifecycle trust, originally planned for the next stage, has been brought forward and implemented: validity windows are enforced and anchored on-chain, revocation is effective at the contract level, and lifecycle transitions are governed by an explicit state machine. Consequently, </w:t>
      </w:r>
      <w:r>
        <w:rPr>
          <w:rFonts w:ascii="Cambria" w:cs="Cambria" w:eastAsia="Cambria" w:hAnsi="Cambria"/>
          <w:color w:val="E6007E"/>
          <w:sz w:val="24"/>
          <w:szCs w:val="24"/>
        </w:rPr>
        <w:t xml:space="preserve">the next stage concentrates on formal security assurance and comprehensive empirical validation, including performance measurement, together with the dynamic consent governance extensions of RO5, namely consent modification, delegation and guardian-set changes.</w:t>
      </w:r>
    </w:p>
    <w:p>
      <w:pPr>
        <w:spacing w:after="140" w:line="300"/>
        <w:jc w:val="both"/>
      </w:pPr>
      <w:r>
        <w:rPr>
          <w:rFonts w:ascii="Cambria" w:cs="Cambria" w:eastAsia="Cambria" w:hAnsi="Cambria"/>
          <w:sz w:val="24"/>
          <w:szCs w:val="24"/>
        </w:rPr>
        <w:t xml:space="preserve">The next stage will build upon the foundational trust-oriented authorisation framework established during current stage and </w:t>
      </w:r>
      <w:r>
        <w:rPr>
          <w:rFonts w:ascii="Cambria" w:cs="Cambria" w:eastAsia="Cambria" w:hAnsi="Cambria"/>
          <w:color w:val="E6007E"/>
          <w:sz w:val="24"/>
          <w:szCs w:val="24"/>
        </w:rPr>
        <w:t xml:space="preserve">extend the research towards dynamic consent governance [13, 24], formal security assurance,</w:t>
      </w:r>
      <w:r>
        <w:rPr>
          <w:rFonts w:ascii="Cambria" w:cs="Cambria" w:eastAsia="Cambria" w:hAnsi="Cambria"/>
          <w:sz w:val="24"/>
          <w:szCs w:val="24"/>
        </w:rPr>
        <w:t xml:space="preserv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color w:val="0000CC"/>
          <w:sz w:val="24"/>
          <w:szCs w:val="24"/>
        </w:rPr>
        <w:t xml:space="preserve">The next stage activities are planned sequentially. The formal specification of the security properties will be undertaken first, since the empirical experiments are to be designed against those properties; the performance and adversarial evaluation will follow in the second half of the stage, and the lifecycle extensions and integrated evaluation will be completed last, once the formal model is stable.</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first</w:t>
      </w:r>
      <w:r>
        <w:rPr>
          <w:rFonts w:ascii="Cambria" w:cs="Cambria" w:eastAsia="Cambria" w:hAnsi="Cambria"/>
          <w:sz w:val="24"/>
          <w:szCs w:val="24"/>
        </w:rPr>
        <w:t xml:space="preserve"> focus is formal security assurance. The current stage framework establishes the conceptual relationship between identity verification, collective authorisation, and policy enforcement. </w:t>
      </w:r>
      <w:r>
        <w:rPr>
          <w:rFonts w:ascii="Cambria" w:cs="Cambria" w:eastAsia="Cambria" w:hAnsi="Cambria"/>
          <w:color w:val="000000"/>
          <w:sz w:val="24"/>
          <w:szCs w:val="24"/>
        </w:rPr>
        <w:t xml:space="preserve">The next</w:t>
      </w:r>
      <w:r>
        <w:rPr>
          <w:rFonts w:ascii="Cambria" w:cs="Cambria" w:eastAsia="Cambria" w:hAnsi="Cambria"/>
          <w:sz w:val="24"/>
          <w:szCs w:val="24"/>
        </w:rPr>
        <w:t xml:space="preserve">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second</w:t>
      </w:r>
      <w:r>
        <w:rPr>
          <w:rFonts w:ascii="Cambria" w:cs="Cambria" w:eastAsia="Cambria" w:hAnsi="Cambria"/>
          <w:sz w:val="24"/>
          <w:szCs w:val="24"/>
        </w:rPr>
        <w:t xml:space="preserve"> focus is comprehensive empirical validation.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16.</w:t>
      </w:r>
    </w:p>
    <w:p>
      <w:pPr>
        <w:spacing w:after="140" w:line="300"/>
        <w:jc w:val="both"/>
      </w:pPr>
      <w:r>
        <w:rPr>
          <w:rFonts w:ascii="Cambria" w:cs="Cambria" w:eastAsia="Cambria" w:hAnsi="Cambria"/>
          <w:color w:val="0000CC"/>
          <w:sz w:val="24"/>
          <w:szCs w:val="24"/>
        </w:rPr>
        <w:t xml:space="preserve">The performance study will measure the gas cost of the mint and revoke transactions, the block-confirmation latency on Sepolia, the Groth16 proof generation and verification time, and the end-to-end decision latency per access request, and will report enforcement accuracy as the proportion of adversarial requests correctly denied.</w:t>
      </w:r>
    </w:p>
    <w:p>
      <w:pPr>
        <w:keepNext/>
        <w:spacing w:after="80" w:before="160"/>
        <w:jc w:val="center"/>
      </w:pPr>
      <w:r>
        <w:rPr>
          <w:rFonts w:ascii="Cambria" w:cs="Cambria" w:eastAsia="Cambria" w:hAnsi="Cambria"/>
          <w:b/>
          <w:bCs/>
          <w:color w:val="000000"/>
          <w:sz w:val="21"/>
          <w:szCs w:val="21"/>
        </w:rPr>
        <w:t xml:space="preserve">Table 16: </w:t>
      </w:r>
      <w:r>
        <w:rPr>
          <w:rFonts w:ascii="Cambria" w:cs="Cambria" w:eastAsia="Cambria" w:hAnsi="Cambria"/>
          <w:color w:val="000000"/>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Consent Modification, Delegation and Lifecycle Extensions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Extend the implemented lifecycle mechanism to support consent modification, delegation and guardian-set changes, and formalise the state-transition model so that unauthorised transitions are excluded by construction.</w:t>
            </w:r>
            <w:r>
              <w:rPr>
                <w:rFonts w:ascii="Cambria" w:cs="Cambria" w:eastAsia="Cambria" w:hAnsi="Cambria"/>
                <w:b w:val="false"/>
                <w:bCs w:val="false"/>
                <w:sz w:val="19"/>
                <w:szCs w:val="19"/>
              </w:rPr>
              <w:t xml:space="preserve">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w:t>
            </w:r>
            <w:r>
              <w:rPr>
                <w:rFonts w:ascii="Cambria" w:cs="Cambria" w:eastAsia="Cambria" w:hAnsi="Cambria"/>
                <w:b w:val="false"/>
                <w:bCs w:val="false"/>
                <w:color w:val="000000"/>
                <w:sz w:val="19"/>
                <w:szCs w:val="19"/>
              </w:rPr>
              <w:t xml:space="preserve">trust-oriented authorisation framework</w:t>
            </w:r>
            <w:r>
              <w:rPr>
                <w:rFonts w:ascii="Cambria" w:cs="Cambria" w:eastAsia="Cambria" w:hAnsi="Cambria"/>
                <w:b w:val="false"/>
                <w:bCs w:val="false"/>
                <w:sz w:val="19"/>
                <w:szCs w:val="19"/>
              </w:rPr>
              <w:t xml:space="preserve"> providing secure, multi-party patient consent and decentralised healthcare data sharing.</w:t>
            </w:r>
          </w:p>
        </w:tc>
      </w:tr>
    </w:tbl>
    <w:p>
      <w:pPr>
        <w:spacing w:after="180"/>
      </w:pPr>
    </w:p>
    <w:p>
      <w:pPr>
        <w:spacing w:after="140" w:line="300"/>
        <w:jc w:val="both"/>
      </w:pPr>
      <w:r>
        <w:rPr>
          <w:rFonts w:ascii="Cambria" w:cs="Cambria" w:eastAsia="Cambria" w:hAnsi="Cambria"/>
          <w:color w:val="E6007E"/>
          <w:sz w:val="24"/>
          <w:szCs w:val="24"/>
        </w:rPr>
        <w:t xml:space="preserve">At the time of writing, the status of the activities in Table 15 is as follows. Temporal and lifecycle trust is largely completed (on-chain</w:t>
      </w:r>
      <w:r>
        <w:rPr>
          <w:rFonts w:ascii="Cambria" w:cs="Cambria" w:eastAsia="Cambria" w:hAnsi="Cambria"/>
          <w:color w:val="000000"/>
          <w:sz w:val="24"/>
          <w:szCs w:val="24"/>
        </w:rPr>
        <w:t xml:space="preserve"> notBefore and expiry fields; revoke transaction confirmed in block 11,771,307; explicit lifecycle state machine). Comprehensive Empirical Validation — Partially delivered (23 automated tests; live jurisdiction denial and revocation-then-denial on Sepolia; independent chain verification reporting ALL CHECKS PASSED), with performance and overhead measurement remaining.</w:t>
      </w:r>
    </w:p>
    <w:p>
      <w:pPr>
        <w:spacing w:after="140" w:line="300"/>
        <w:jc w:val="both"/>
      </w:pPr>
      <w:r>
        <w:rPr>
          <w:rFonts w:ascii="Cambria" w:cs="Cambria" w:eastAsia="Cambria" w:hAnsi="Cambria"/>
          <w:sz w:val="24"/>
          <w:szCs w:val="24"/>
        </w:rP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sz w:val="24"/>
          <w:szCs w:val="24"/>
        </w:rPr>
        <w:t xml:space="preserve">The complete authorisation model developed across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will therefore be evaluated as a conjunction of independently verifiable conditions. Conceptually, the final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w:t>
      </w:r>
      <w:r>
        <w:rPr>
          <w:rFonts w:ascii="Cambria" w:cs="Cambria" w:eastAsia="Cambria" w:hAnsi="Cambria"/>
          <w:sz w:val="22"/>
          <w:szCs w:val="22"/>
        </w:rPr>
        <w:t xml:space="preserve">	(81)</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sz w:val="24"/>
          <w:szCs w:val="24"/>
        </w:rP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sz w:val="24"/>
          <w:szCs w:val="24"/>
        </w:rPr>
        <w:t xml:space="preserve">Consequently, </w:t>
      </w:r>
      <w:r>
        <w:rPr>
          <w:rFonts w:ascii="Cambria" w:cs="Cambria" w:eastAsia="Cambria" w:hAnsi="Cambria"/>
          <w:color w:val="000000"/>
          <w:sz w:val="24"/>
          <w:szCs w:val="24"/>
        </w:rPr>
        <w:t xml:space="preserve">next stage will</w:t>
      </w:r>
      <w:r>
        <w:rPr>
          <w:rFonts w:ascii="Cambria" w:cs="Cambria" w:eastAsia="Cambria" w:hAnsi="Cambria"/>
          <w:sz w:val="24"/>
          <w:szCs w:val="24"/>
        </w:rPr>
        <w:t xml:space="preserve"> complete the transition from the foundational authorisation mechanisms established in current stage to a dynamically managed, formally reasoned, and empirically validated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The final contribution will be assessed not simply by whether consent can be recorded or whether access can be granted, but by whether the system can provide a defensible basis for determining why an access decision should be trusted and when that trust should no longer apply.</w:t>
      </w:r>
    </w:p>
    <w:p>
      <w:pPr>
        <w:pStyle w:val="Heading1"/>
        <w:pageBreakBefore/>
        <w:spacing w:after="160" w:before="400"/>
      </w:pPr>
      <w:r>
        <w:rPr>
          <w:rFonts w:ascii="Cambria" w:cs="Cambria" w:eastAsia="Cambria" w:hAnsi="Cambria"/>
          <w:sz w:val="24"/>
          <w:szCs w:val="24"/>
        </w:rPr>
        <w:t xml:space="preserve">Appendix A — Traceability to the Implemented System</w:t>
      </w:r>
    </w:p>
    <w:p>
      <w:pPr>
        <w:spacing w:after="140" w:line="300"/>
        <w:jc w:val="both"/>
      </w:pPr>
      <w:r>
        <w:rPr>
          <w:rFonts w:ascii="Cambria" w:cs="Cambria" w:eastAsia="Cambria" w:hAnsi="Cambria"/>
          <w:color w:val="000000"/>
          <w:sz w:val="24"/>
          <w:szCs w:val="24"/>
        </w:rPr>
        <w:t xml:space="preserve">Table 17 summarises how each formal artefact of this report is realised in the implemented HALAH subsystem presented in Section 6.8, and which publicly verifiable evidence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RO1 / RQ1 — Consent object, Eq. (51),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 f050c29a and 04da25f5 in the exported audit ledger</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subsystem: EIP-712 typed-data signatures, off-chain signer recovery per guardian DID </w:t>
            </w:r>
            <w:r>
              <w:rPr>
                <w:rFonts w:ascii="Cambria" w:cs="Cambria" w:eastAsia="Cambria" w:hAnsi="Cambria"/>
                <w:b w:val="false"/>
                <w:bCs w:val="false"/>
                <w:color w:val="E6007E"/>
                <w:sz w:val="18"/>
                <w:szCs w:val="18"/>
              </w:rPr>
              <w:t xml:space="preserve">(VI itself performs identifier- and credential-format validation only; DID resolution is reserved for the next stage)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Verified signer 0x3Af549b0… recorded per SIGN_CONSENT event</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RO3 / RQ3 — Threshold authorisation, Eq. (54),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 tx 0x8be1b99e…daf13d, block 11,771,243, token #1</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RO4 / RQ4 — Policy predicate VP, Eq. (57), Algorithm 4</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§6.4</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Doctor subsystem: requested scope SR must be a non-empty subset of the authorised scope SC; purpose hash compared with the consent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STATE_CHECK and DATA_ACCESS events recording VP = PASS for the four-module scope of consents f050c29a and 04da25f5</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Decision rule and trust predicates, Eq. (59), Figure 8</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§5.1.2, §6.4,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GRANTED and DENIED DATA_ACCESS events; SA-jurisdiction denial</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trust (RO5 direction)</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§6.5</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Six-state lifecycle with on-chain revocation (Section 6.8.6)</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 tx 0x017efb9d…dceaa, block 11,771,307</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Empirical assurance (RO6, empirical half)</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60-event ledger; RESULT: ALL CHECKS PASSED; token #2, block 11,771,581</w:t>
            </w:r>
          </w:p>
        </w:tc>
      </w:tr>
    </w:tbl>
    <w:p>
      <w:pPr>
        <w:spacing w:before="60"/>
        <w:jc w:val="center"/>
      </w:pPr>
      <w:r>
        <w:rPr>
          <w:rFonts w:ascii="Cambria" w:cs="Cambria" w:eastAsia="Cambria" w:hAnsi="Cambria"/>
          <w:i/>
          <w:iCs/>
          <w:color w:val="000000"/>
          <w:sz w:val="19"/>
          <w:szCs w:val="19"/>
        </w:rPr>
        <w:t xml:space="preserve">Table 17: Traceability from the formal artefacts of this report to the implemented mechanisms and their on-chain evidence.</w:t>
      </w:r>
    </w:p>
    <w:p>
      <w:pPr>
        <w:pStyle w:val="Heading1"/>
        <w:pageBreakBefore/>
        <w:spacing w:after="160" w:before="400"/>
      </w:pPr>
      <w:r>
        <w:rPr>
          <w:rFonts w:ascii="Cambria" w:cs="Cambria" w:eastAsia="Cambria" w:hAnsi="Cambria"/>
          <w:sz w:val="24"/>
          <w:szCs w:val="24"/>
        </w:rPr>
        <w:t xml:space="preserve">References</w:t>
      </w:r>
    </w:p>
    <w:p>
      <w:pPr>
        <w:spacing w:after="140" w:line="300"/>
        <w:jc w:val="both"/>
      </w:pPr>
      <w:r>
        <w:rPr>
          <w:rFonts w:ascii="Cambria" w:cs="Cambria" w:eastAsia="Cambria" w:hAnsi="Cambria"/>
          <w:sz w:val="24"/>
          <w:szCs w:val="24"/>
        </w:rPr>
        <w:t xml:space="preserve">[1] Abdullah Al Mamun, Sami Azam, and Clementine Gritti. </w:t>
      </w:r>
      <w:r>
        <w:rPr>
          <w:rFonts w:ascii="Cambria" w:cs="Cambria" w:eastAsia="Cambria" w:hAnsi="Cambria"/>
          <w:color w:val="E6007E"/>
          <w:sz w:val="24"/>
          <w:szCs w:val="24"/>
        </w:rPr>
        <w:t xml:space="preserve">Blockchain-based electronic health records management: A comprehensive review and future research direction.</w:t>
      </w:r>
      <w:r>
        <w:rPr>
          <w:rFonts w:ascii="Cambria" w:cs="Cambria" w:eastAsia="Cambria" w:hAnsi="Cambria"/>
          <w:sz w:val="24"/>
          <w:szCs w:val="24"/>
        </w:rPr>
        <w:t xml:space="preserve"> IEEE Access, 10:5768–5789, 2022.</w:t>
      </w:r>
    </w:p>
    <w:p>
      <w:pPr>
        <w:spacing w:after="140" w:line="300"/>
        <w:jc w:val="both"/>
      </w:pPr>
      <w:r>
        <w:rPr>
          <w:rFonts w:ascii="Cambria" w:cs="Cambria" w:eastAsia="Cambria" w:hAnsi="Cambria"/>
          <w:sz w:val="24"/>
          <w:szCs w:val="24"/>
        </w:rPr>
        <w:t xml:space="preserve">[2] J Andrew, Deva Priya Isravel, K Martin Sagayam, Bharat Bhushan, Yuichi Sei, and Jennifer Eunice.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sz w:val="24"/>
          <w:szCs w:val="24"/>
        </w:rPr>
        <w:t xml:space="preserve">[3] Mohammad Salar Arbabi, Chhagan Lal, Narasimha Raghavan Veeraragavan, Dusica Marijan, Jan F Nygård, and Roman Vitenberg. A survey on blockchain for healthcare: Challenges, benefits, and future directions. </w:t>
      </w:r>
      <w:r>
        <w:rPr>
          <w:rFonts w:ascii="Cambria" w:cs="Cambria" w:eastAsia="Cambria" w:hAnsi="Cambria"/>
          <w:b w:val="false"/>
          <w:bCs w:val="false"/>
          <w:sz w:val="24"/>
          <w:szCs w:val="24"/>
        </w:rPr>
        <w:t xml:space="preserve">IEEE Communications Surveys &amp; Tutorials</w:t>
      </w:r>
      <w:r>
        <w:rPr>
          <w:rFonts w:ascii="Cambria" w:cs="Cambria" w:eastAsia="Cambria" w:hAnsi="Cambria"/>
          <w:sz w:val="24"/>
          <w:szCs w:val="24"/>
        </w:rPr>
        <w:t xml:space="preserve">, 25(1):386–424,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[4] Haotian Deng, Jinwen Liang, Chuan Zhang, Ximeng Liu, Liehuang Zhu, and Song Guo. </w:t>
      </w:r>
      <w:r>
        <w:rPr>
          <w:rFonts w:ascii="Cambria" w:cs="Cambria" w:eastAsia="Cambria" w:hAnsi="Cambria"/>
          <w:color w:val="000000"/>
          <w:sz w:val="24"/>
          <w:szCs w:val="24"/>
        </w:rPr>
        <w:t xml:space="preserve">FutureDID</w:t>
      </w:r>
      <w:r>
        <w:rPr>
          <w:rFonts w:ascii="Cambria" w:cs="Cambria" w:eastAsia="Cambria" w:hAnsi="Cambria"/>
          <w:sz w:val="24"/>
          <w:szCs w:val="24"/>
        </w:rPr>
        <w:t xml:space="preserve">: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w:t>
      </w:r>
      <w:r>
        <w:rPr>
          <w:rFonts w:ascii="Cambria" w:cs="Cambria" w:eastAsia="Cambria" w:hAnsi="Cambria"/>
          <w:color w:val="E6007E"/>
          <w:sz w:val="24"/>
          <w:szCs w:val="24"/>
        </w:rPr>
        <w:t xml:space="preserve">Blockchain application in healthcare systems: A review.</w:t>
      </w:r>
      <w:r>
        <w:rPr>
          <w:rFonts w:ascii="Cambria" w:cs="Cambria" w:eastAsia="Cambria" w:hAnsi="Cambria"/>
          <w:sz w:val="24"/>
          <w:szCs w:val="24"/>
        </w:rPr>
        <w:t xml:space="preserve"> Systems, 11(1):38, 2023.</w:t>
      </w:r>
    </w:p>
    <w:p>
      <w:pPr>
        <w:spacing w:after="140" w:line="300"/>
        <w:jc w:val="both"/>
      </w:pPr>
      <w:r>
        <w:rPr>
          <w:rFonts w:ascii="Cambria" w:cs="Cambria" w:eastAsia="Cambria" w:hAnsi="Cambria"/>
          <w:sz w:val="24"/>
          <w:szCs w:val="24"/>
        </w:rPr>
        <w:t xml:space="preserve">[8] Remy Hellstern, Daniel C Park, Victoria Lemieux, and Guldana Salimjan. Leveraging blockchain-based archival solutions for sensitive documentation: A </w:t>
      </w:r>
      <w:r>
        <w:rPr>
          <w:rFonts w:ascii="Cambria" w:cs="Cambria" w:eastAsia="Cambria" w:hAnsi="Cambria"/>
          <w:b w:val="false"/>
          <w:bCs w:val="false"/>
          <w:sz w:val="24"/>
          <w:szCs w:val="24"/>
        </w:rPr>
        <w:t xml:space="preserve">Xinjiang</w:t>
      </w:r>
      <w:r>
        <w:rPr>
          <w:rFonts w:ascii="Cambria" w:cs="Cambria" w:eastAsia="Cambria" w:hAnsi="Cambria"/>
          <w:sz w:val="24"/>
          <w:szCs w:val="24"/>
        </w:rPr>
        <w:t xml:space="preserve"> case study. Digital Society, 1(1):4, 2022.</w:t>
      </w:r>
    </w:p>
    <w:p>
      <w:pPr>
        <w:spacing w:after="140" w:line="300"/>
        <w:jc w:val="both"/>
      </w:pPr>
      <w:r>
        <w:rPr>
          <w:rFonts w:ascii="Cambria" w:cs="Cambria" w:eastAsia="Cambria" w:hAnsi="Cambria"/>
          <w:sz w:val="24"/>
          <w:szCs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w:t>
      </w:r>
      <w:r>
        <w:rPr>
          <w:rFonts w:ascii="Cambria" w:cs="Cambria" w:eastAsia="Cambria" w:hAnsi="Cambria"/>
          <w:b w:val="false"/>
          <w:bCs w:val="false"/>
          <w:sz w:val="24"/>
          <w:szCs w:val="24"/>
        </w:rPr>
        <w:t xml:space="preserve">BMC Nursing</w:t>
      </w:r>
      <w:r>
        <w:rPr>
          <w:rFonts w:ascii="Cambria" w:cs="Cambria" w:eastAsia="Cambria" w:hAnsi="Cambria"/>
          <w:sz w:val="24"/>
          <w:szCs w:val="24"/>
        </w:rPr>
        <w:t xml:space="preserve">, 23(1):564, 2024.</w:t>
      </w:r>
    </w:p>
    <w:p>
      <w:pPr>
        <w:spacing w:after="140" w:line="300"/>
        <w:jc w:val="both"/>
      </w:pPr>
      <w:r>
        <w:rPr>
          <w:rFonts w:ascii="Cambria" w:cs="Cambria" w:eastAsia="Cambria" w:hAnsi="Cambria"/>
          <w:sz w:val="24"/>
          <w:szCs w:val="24"/>
        </w:rPr>
        <w:t xml:space="preserve">[10] Vitor Jesus and Harshvardhan J Pandit. Consent receipts for a usable and auditable web of personal data. </w:t>
      </w:r>
      <w:r>
        <w:rPr>
          <w:rFonts w:ascii="Cambria" w:cs="Cambria" w:eastAsia="Cambria" w:hAnsi="Cambria"/>
          <w:b w:val="false"/>
          <w:bCs w:val="false"/>
          <w:sz w:val="24"/>
          <w:szCs w:val="24"/>
        </w:rPr>
        <w:t xml:space="preserve">IEEE Access</w:t>
      </w:r>
      <w:r>
        <w:rPr>
          <w:rFonts w:ascii="Cambria" w:cs="Cambria" w:eastAsia="Cambria" w:hAnsi="Cambria"/>
          <w:sz w:val="24"/>
          <w:szCs w:val="24"/>
        </w:rPr>
        <w:t xml:space="preserve">, 10:28545–28563, 2022.</w:t>
      </w:r>
    </w:p>
    <w:p>
      <w:pPr>
        <w:spacing w:after="140" w:line="300"/>
        <w:jc w:val="both"/>
      </w:pPr>
      <w:r>
        <w:rPr>
          <w:rFonts w:ascii="Cambria" w:cs="Cambria" w:eastAsia="Cambria" w:hAnsi="Cambria"/>
          <w:sz w:val="24"/>
          <w:szCs w:val="24"/>
        </w:rPr>
        <w:t xml:space="preserve">[11] Rong Jiang, Xue Chen, Yimin Yu, Ying Zhang, and Weiping Ding. Risk and </w:t>
      </w:r>
      <w:r>
        <w:rPr>
          <w:rFonts w:ascii="Cambria" w:cs="Cambria" w:eastAsia="Cambria" w:hAnsi="Cambria"/>
          <w:color w:val="000000"/>
          <w:sz w:val="24"/>
          <w:szCs w:val="24"/>
        </w:rPr>
        <w:t xml:space="preserve">UCON</w:t>
      </w:r>
      <w:r>
        <w:rPr>
          <w:rFonts w:ascii="Cambria" w:cs="Cambria" w:eastAsia="Cambria" w:hAnsi="Cambria"/>
          <w:sz w:val="24"/>
          <w:szCs w:val="24"/>
        </w:rPr>
        <w:t xml:space="preserve">-based access control model for healthcare big data. Journal of Big Data, 10(1):104, 2023.</w:t>
      </w:r>
    </w:p>
    <w:p>
      <w:pPr>
        <w:spacing w:after="140" w:line="300"/>
        <w:jc w:val="both"/>
      </w:pPr>
      <w:r>
        <w:rPr>
          <w:rFonts w:ascii="Cambria" w:cs="Cambria" w:eastAsia="Cambria" w:hAnsi="Cambria"/>
          <w:sz w:val="24"/>
          <w:szCs w:val="24"/>
        </w:rPr>
        <w:t xml:space="preserve">[12] Katya Kaplow, Max Downey, Darren Stewart, Allan B Massie, Jennifer D Motter, Lauren Taylor, John Massarelli, Taylor Matalon, Carolyn Sidoti, Macey L Levan, et al. Data professionals’ attitudes on data privacy, sharing, and consent in healthcare and research. </w:t>
      </w:r>
      <w:r>
        <w:rPr>
          <w:rFonts w:ascii="Cambria" w:cs="Cambria" w:eastAsia="Cambria" w:hAnsi="Cambria"/>
          <w:color w:val="000000"/>
          <w:sz w:val="24"/>
          <w:szCs w:val="24"/>
        </w:rPr>
        <w:t xml:space="preserve">Digital Health</w:t>
      </w:r>
      <w:r>
        <w:rPr>
          <w:rFonts w:ascii="Cambria" w:cs="Cambria" w:eastAsia="Cambria" w:hAnsi="Cambria"/>
          <w:sz w:val="24"/>
          <w:szCs w:val="24"/>
        </w:rPr>
        <w:t xml:space="preserve">,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w:t>
      </w:r>
      <w:r>
        <w:rPr>
          <w:rFonts w:ascii="Cambria" w:cs="Cambria" w:eastAsia="Cambria" w:hAnsi="Cambria"/>
          <w:color w:val="000000"/>
          <w:sz w:val="24"/>
          <w:szCs w:val="24"/>
        </w:rPr>
        <w:t xml:space="preserve">Glenn</w:t>
      </w:r>
      <w:r>
        <w:rPr>
          <w:rFonts w:ascii="Cambria" w:cs="Cambria" w:eastAsia="Cambria" w:hAnsi="Cambria"/>
          <w:sz w:val="24"/>
          <w:szCs w:val="24"/>
        </w:rPr>
        <w:t xml:space="preserve">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review of identity management, access control, and trust mechanisms. IoT, 6(4):65, 2025.</w:t>
      </w:r>
    </w:p>
    <w:p>
      <w:pPr>
        <w:spacing w:after="140" w:line="300"/>
        <w:jc w:val="both"/>
      </w:pPr>
      <w:r>
        <w:rPr>
          <w:rFonts w:ascii="Cambria" w:cs="Cambria" w:eastAsia="Cambria" w:hAnsi="Cambria"/>
          <w:sz w:val="24"/>
          <w:szCs w:val="24"/>
        </w:rPr>
        <w:t xml:space="preserve">[16] Chalima Dimitra Nassar Kyriakidou, Athanasia Maria Papathanasiou, and George C Polyzos. Decentralized identity with applications to security and privacy for the internet of things. Computer Networks and Communications, </w:t>
      </w:r>
      <w:r>
        <w:rPr>
          <w:rFonts w:ascii="Cambria" w:cs="Cambria" w:eastAsia="Cambria" w:hAnsi="Cambria"/>
          <w:b w:val="false"/>
          <w:bCs w:val="false"/>
          <w:sz w:val="24"/>
          <w:szCs w:val="24"/>
        </w:rPr>
        <w:t xml:space="preserve">1(2):</w:t>
      </w:r>
      <w:r>
        <w:rPr>
          <w:rFonts w:ascii="Cambria" w:cs="Cambria" w:eastAsia="Cambria" w:hAnsi="Cambria"/>
          <w:sz w:val="24"/>
          <w:szCs w:val="24"/>
        </w:rPr>
        <w:t xml:space="preserve">244–271, 2023.</w:t>
      </w:r>
    </w:p>
    <w:p>
      <w:pPr>
        <w:spacing w:after="140" w:line="300"/>
        <w:jc w:val="both"/>
      </w:pPr>
      <w:r>
        <w:rPr>
          <w:rFonts w:ascii="Cambria" w:cs="Cambria" w:eastAsia="Cambria" w:hAnsi="Cambria"/>
          <w:sz w:val="24"/>
          <w:szCs w:val="24"/>
        </w:rPr>
        <w:t xml:space="preserve">[17] Lanlan Li, Charles Z Liu, Kejia Huang, Ruiyi Deng, Majed Abdullah Alrowaily, Mansoor Alghamdi, Ibrahim S Alkhazi, and Malek Alrashidi. Trust-aware environmental state consensus for smart agriculture with </w:t>
      </w:r>
      <w:r>
        <w:rPr>
          <w:rFonts w:ascii="Cambria" w:cs="Cambria" w:eastAsia="Cambria" w:hAnsi="Cambria"/>
          <w:color w:val="000000"/>
          <w:sz w:val="24"/>
          <w:szCs w:val="24"/>
        </w:rPr>
        <w:t xml:space="preserve">TEE</w:t>
      </w:r>
      <w:r>
        <w:rPr>
          <w:rFonts w:ascii="Cambria" w:cs="Cambria" w:eastAsia="Cambria" w:hAnsi="Cambria"/>
          <w:sz w:val="24"/>
          <w:szCs w:val="24"/>
        </w:rPr>
        <w:t xml:space="preserve">-enabled sensing and </w:t>
      </w:r>
      <w:r>
        <w:rPr>
          <w:rFonts w:ascii="Cambria" w:cs="Cambria" w:eastAsia="Cambria" w:hAnsi="Cambria"/>
          <w:color w:val="000000"/>
          <w:sz w:val="24"/>
          <w:szCs w:val="24"/>
        </w:rPr>
        <w:t xml:space="preserve">Byzantine</w:t>
      </w:r>
      <w:r>
        <w:rPr>
          <w:rFonts w:ascii="Cambria" w:cs="Cambria" w:eastAsia="Cambria" w:hAnsi="Cambria"/>
          <w:sz w:val="24"/>
          <w:szCs w:val="24"/>
        </w:rPr>
        <w:t xml:space="preserve">-resilient blockchain coordination. Sensors, 26(14):4577, 2026.</w:t>
      </w:r>
    </w:p>
    <w:p>
      <w:pPr>
        <w:spacing w:after="140" w:line="300"/>
        <w:jc w:val="both"/>
      </w:pPr>
      <w:r>
        <w:rPr>
          <w:rFonts w:ascii="Cambria" w:cs="Cambria" w:eastAsia="Cambria" w:hAnsi="Cambria"/>
          <w:sz w:val="24"/>
          <w:szCs w:val="24"/>
        </w:rPr>
        <w:t xml:space="preserve">[18] Lanlan Li, Charles Z Liu, and Sanjeeb Shrestha. Analytical entropy approach for measuring blockchain immutability and tamper-resilient trust. Entropy, 28(6):690, 2026.</w:t>
      </w:r>
    </w:p>
    <w:p>
      <w:pPr>
        <w:spacing w:after="140" w:line="300"/>
        <w:jc w:val="both"/>
      </w:pPr>
      <w:r>
        <w:rPr>
          <w:rFonts w:ascii="Cambria" w:cs="Cambria" w:eastAsia="Cambria" w:hAnsi="Cambria"/>
          <w:sz w:val="24"/>
          <w:szCs w:val="24"/>
        </w:rPr>
        <w:t xml:space="preserve">[19] Richard K Lomotey, Sandra Kumi, and Ralph Deters.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w:t>
      </w:r>
      <w:r>
        <w:rPr>
          <w:rFonts w:ascii="Cambria" w:cs="Cambria" w:eastAsia="Cambria" w:hAnsi="Cambria"/>
          <w:color w:val="000000"/>
          <w:sz w:val="24"/>
          <w:szCs w:val="24"/>
        </w:rPr>
        <w:t xml:space="preserve">27:3641–3671,</w:t>
      </w:r>
      <w:r>
        <w:rPr>
          <w:rFonts w:ascii="Cambria" w:cs="Cambria" w:eastAsia="Cambria" w:hAnsi="Cambria"/>
          <w:sz w:val="24"/>
          <w:szCs w:val="24"/>
        </w:rPr>
        <w:t xml:space="preserve"> 2025.</w:t>
      </w:r>
    </w:p>
    <w:p>
      <w:pPr>
        <w:spacing w:after="140" w:line="300"/>
        <w:jc w:val="both"/>
      </w:pPr>
      <w:r>
        <w:rPr>
          <w:rFonts w:ascii="Cambria" w:cs="Cambria" w:eastAsia="Cambria" w:hAnsi="Cambria"/>
          <w:sz w:val="24"/>
          <w:szCs w:val="24"/>
        </w:rPr>
        <w:t xml:space="preserve">[21] </w:t>
      </w:r>
      <w:r>
        <w:rPr>
          <w:rFonts w:ascii="Cambria" w:cs="Cambria" w:eastAsia="Cambria" w:hAnsi="Cambria"/>
          <w:color w:val="000000"/>
          <w:sz w:val="24"/>
          <w:szCs w:val="24"/>
        </w:rPr>
        <w:t xml:space="preserve">Cindy Welzel, Max Ostermann, Hannah Louise Smith, Timo Minssen, Toralf Kirsten, and Stephen Gilbert. Enabling secure and self determined health data sharing and consent management. npj Digital Medicine, 8(1):560, 2025.</w:t>
      </w:r>
    </w:p>
    <w:p>
      <w:pPr>
        <w:spacing w:after="140" w:line="300"/>
        <w:jc w:val="both"/>
      </w:pPr>
      <w:r>
        <w:rPr>
          <w:rFonts w:ascii="Cambria" w:cs="Cambria" w:eastAsia="Cambria" w:hAnsi="Cambria"/>
          <w:sz w:val="24"/>
          <w:szCs w:val="24"/>
        </w:rPr>
        <w:t xml:space="preserve">[22] Roy McClelland and Colin M Harper. </w:t>
      </w:r>
      <w:r>
        <w:rPr>
          <w:rFonts w:ascii="Cambria" w:cs="Cambria" w:eastAsia="Cambria" w:hAnsi="Cambria"/>
          <w:color w:val="E6007E"/>
          <w:sz w:val="24"/>
          <w:szCs w:val="24"/>
        </w:rPr>
        <w:t xml:space="preserve">Information privacy in healthcare: The vital role of informed consent.</w:t>
      </w:r>
      <w:r>
        <w:rPr>
          <w:rFonts w:ascii="Cambria" w:cs="Cambria" w:eastAsia="Cambria" w:hAnsi="Cambria"/>
          <w:sz w:val="24"/>
          <w:szCs w:val="24"/>
        </w:rPr>
        <w:t xml:space="preserve"> </w:t>
      </w:r>
      <w:r>
        <w:rPr>
          <w:rFonts w:ascii="Cambria" w:cs="Cambria" w:eastAsia="Cambria" w:hAnsi="Cambria"/>
          <w:b w:val="false"/>
          <w:bCs w:val="false"/>
          <w:sz w:val="24"/>
          <w:szCs w:val="24"/>
        </w:rPr>
        <w:t xml:space="preserve">European Journal of Health Law</w:t>
      </w:r>
      <w:r>
        <w:rPr>
          <w:rFonts w:ascii="Cambria" w:cs="Cambria" w:eastAsia="Cambria" w:hAnsi="Cambria"/>
          <w:sz w:val="24"/>
          <w:szCs w:val="24"/>
        </w:rPr>
        <w:t xml:space="preserve">, 30(4):469–480,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sz w:val="24"/>
          <w:szCs w:val="24"/>
        </w:rPr>
        <w:t xml:space="preserve">[24] Minal R Narkhede, Nilesh I Wankhede, and Akanksha M Kamble. </w:t>
      </w:r>
      <w:r>
        <w:rPr>
          <w:rFonts w:ascii="Cambria" w:cs="Cambria" w:eastAsia="Cambria" w:hAnsi="Cambria"/>
          <w:color w:val="E6007E"/>
          <w:sz w:val="24"/>
          <w:szCs w:val="24"/>
        </w:rPr>
        <w:t xml:space="preserve">Enhancing patient autonomy in data ownership: Privacy models and consent frameworks for healthcare.</w:t>
      </w:r>
      <w:r>
        <w:rPr>
          <w:rFonts w:ascii="Cambria" w:cs="Cambria" w:eastAsia="Cambria" w:hAnsi="Cambria"/>
          <w:sz w:val="24"/>
          <w:szCs w:val="24"/>
        </w:rPr>
        <w:t xml:space="preserve"> Journal of Digital Health, </w:t>
      </w:r>
      <w:r>
        <w:rPr>
          <w:rFonts w:ascii="Cambria" w:cs="Cambria" w:eastAsia="Cambria" w:hAnsi="Cambria"/>
          <w:color w:val="000000"/>
          <w:sz w:val="24"/>
          <w:szCs w:val="24"/>
        </w:rPr>
        <w:t xml:space="preserve">4(1):</w:t>
      </w:r>
      <w:r>
        <w:rPr>
          <w:rFonts w:ascii="Cambria" w:cs="Cambria" w:eastAsia="Cambria" w:hAnsi="Cambria"/>
          <w:sz w:val="24"/>
          <w:szCs w:val="24"/>
        </w:rPr>
        <w:t xml:space="preserve">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w:t>
      </w:r>
      <w:r>
        <w:rPr>
          <w:rFonts w:ascii="Cambria" w:cs="Cambria" w:eastAsia="Cambria" w:hAnsi="Cambria"/>
          <w:color w:val="E6007E"/>
          <w:sz w:val="24"/>
          <w:szCs w:val="24"/>
        </w:rPr>
        <w:t xml:space="preserve">ACM Transactions on Management Information Systems, 13(4):1–21, 2022.</w:t>
      </w:r>
    </w:p>
    <w:p>
      <w:pPr>
        <w:spacing w:after="140" w:line="300"/>
        <w:jc w:val="both"/>
      </w:pPr>
      <w:r>
        <w:rPr>
          <w:rFonts w:ascii="Cambria" w:cs="Cambria" w:eastAsia="Cambria" w:hAnsi="Cambria"/>
          <w:sz w:val="24"/>
          <w:szCs w:val="24"/>
        </w:rPr>
        <w:t xml:space="preserve">[28] Ahmed M Tawfik, Ayman Al-Ahwal, Adly S Tag Eldien, and Hala H Zayed. </w:t>
      </w:r>
      <w:r>
        <w:rPr>
          <w:rFonts w:ascii="Cambria" w:cs="Cambria" w:eastAsia="Cambria" w:hAnsi="Cambria"/>
          <w:color w:val="E6007E"/>
          <w:sz w:val="24"/>
          <w:szCs w:val="24"/>
        </w:rPr>
        <w:t xml:space="preserve">Blockchain-based access control and privacy preservation in healthcare: A comprehensive survey.</w:t>
      </w:r>
      <w:r>
        <w:rPr>
          <w:rFonts w:ascii="Cambria" w:cs="Cambria" w:eastAsia="Cambria" w:hAnsi="Cambria"/>
          <w:sz w:val="24"/>
          <w:szCs w:val="24"/>
        </w:rPr>
        <w:t xml:space="preserve">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sz w:val="24"/>
          <w:szCs w:val="24"/>
        </w:rPr>
        <w:t xml:space="preserve">[31] Emily C Webber, David Brick, James P Scibilia, Peter Dehnel, Council on Clinical Information Technology, et al. Electronic communication of the health record and information with pediatric patients and their guardians. </w:t>
      </w:r>
      <w:r>
        <w:rPr>
          <w:rFonts w:ascii="Cambria" w:cs="Cambria" w:eastAsia="Cambria" w:hAnsi="Cambria"/>
          <w:b w:val="false"/>
          <w:bCs w:val="false"/>
          <w:sz w:val="24"/>
          <w:szCs w:val="24"/>
        </w:rPr>
        <w:t xml:space="preserve">Pediatrics, 144(1):e20191359, 2019</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w:t>
      </w:r>
      <w:r>
        <w:rPr>
          <w:rFonts w:ascii="Cambria" w:cs="Cambria" w:eastAsia="Cambria" w:hAnsi="Cambria"/>
          <w:b w:val="false"/>
          <w:bCs w:val="false"/>
          <w:sz w:val="24"/>
          <w:szCs w:val="24"/>
        </w:rPr>
        <w:t xml:space="preserve">Journal of Systems Architecture</w:t>
      </w:r>
      <w:r>
        <w:rPr>
          <w:rFonts w:ascii="Cambria" w:cs="Cambria" w:eastAsia="Cambria" w:hAnsi="Cambria"/>
          <w:sz w:val="24"/>
          <w:szCs w:val="24"/>
        </w:rPr>
        <w:t xml:space="preserve">, 148:103081, 2024.</w:t>
      </w:r>
    </w:p>
    <w:p>
      <w:pPr>
        <w:spacing w:after="140" w:line="300"/>
        <w:jc w:val="both"/>
      </w:pPr>
      <w:r>
        <w:rPr>
          <w:rFonts w:ascii="Cambria" w:cs="Cambria" w:eastAsia="Cambria" w:hAnsi="Cambria"/>
          <w:sz w:val="24"/>
          <w:szCs w:val="24"/>
        </w:rPr>
        <w:t xml:space="preserve">[33] Jie Yin, Yang Xiao, Qian Chen, Xuefeng Liu, Qingqi Pei, Jianying Zhou, et al. </w:t>
      </w:r>
      <w:r>
        <w:rPr>
          <w:rFonts w:ascii="Cambria" w:cs="Cambria" w:eastAsia="Cambria" w:hAnsi="Cambria"/>
          <w:color w:val="000000"/>
          <w:sz w:val="24"/>
          <w:szCs w:val="24"/>
        </w:rPr>
        <w:t xml:space="preserve">DP-DID</w:t>
      </w:r>
      <w:r>
        <w:rPr>
          <w:rFonts w:ascii="Cambria" w:cs="Cambria" w:eastAsia="Cambria" w:hAnsi="Cambria"/>
          <w:sz w:val="24"/>
          <w:szCs w:val="24"/>
        </w:rPr>
        <w:t xml:space="preserve">: A dynamic and proactive decentralized identity system. IEEE Transactions on Information Forensics and Security, </w:t>
      </w:r>
      <w:r>
        <w:rPr>
          <w:rFonts w:ascii="Cambria" w:cs="Cambria" w:eastAsia="Cambria" w:hAnsi="Cambria"/>
          <w:b w:val="false"/>
          <w:bCs w:val="false"/>
          <w:sz w:val="24"/>
          <w:szCs w:val="24"/>
        </w:rPr>
        <w:t xml:space="preserve">20:</w:t>
      </w:r>
      <w:r>
        <w:rPr>
          <w:rFonts w:ascii="Cambria" w:cs="Cambria" w:eastAsia="Cambria" w:hAnsi="Cambria"/>
          <w:sz w:val="24"/>
          <w:szCs w:val="24"/>
        </w:rPr>
        <w:t xml:space="preserve">4999–5014, 2025.</w:t>
      </w:r>
    </w:p>
    <w:p>
      <w:pPr>
        <w:spacing w:after="140" w:line="300"/>
        <w:jc w:val="both"/>
      </w:pPr>
      <w:r>
        <w:rPr>
          <w:rFonts w:ascii="Cambria" w:cs="Cambria" w:eastAsia="Cambria" w:hAnsi="Cambria"/>
          <w:sz w:val="24"/>
          <w:szCs w:val="24"/>
        </w:rPr>
        <w:t xml:space="preserve">[34] </w:t>
      </w:r>
      <w:r>
        <w:rPr>
          <w:rFonts w:ascii="Cambria" w:cs="Cambria" w:eastAsia="Cambria" w:hAnsi="Cambria"/>
          <w:color w:val="000000"/>
          <w:sz w:val="24"/>
          <w:szCs w:val="24"/>
        </w:rPr>
        <w:t xml:space="preserve">Matthew J Page, Joanne E McKenzie, Patrick M Bossuyt, Isabelle Boutron, Tammy C Hoffmann, Cynthia D Mulrow, et al. The PRISMA 2020 statement: an updated guideline for reporting systematic reviews. BMJ, 372:n71, 2021.</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ac4283ac7c9dffcd42565f9f279d568fa67012.png"/><Relationship Id="rId9" Type="http://schemas.openxmlformats.org/officeDocument/2006/relationships/image" Target="media/d4fcae5448728df700f7fcb56b8fc5a1fc56fa7f.png"/><Relationship Id="rId10" Type="http://schemas.openxmlformats.org/officeDocument/2006/relationships/image" Target="media/5725741516b6d7350742358c69ef15dffd19ce8b.png"/><Relationship Id="rId11" Type="http://schemas.openxmlformats.org/officeDocument/2006/relationships/image" Target="media/8dbf8f8114ee1a36bb173391ae40c477f5a9f4e7.png"/><Relationship Id="rId12" Type="http://schemas.openxmlformats.org/officeDocument/2006/relationships/image" Target="media/0ed002e09311e352eea87b4c3d6bc1c202f9bce1.png"/><Relationship Id="rId13" Type="http://schemas.openxmlformats.org/officeDocument/2006/relationships/image" Target="media/2b536558d832546ec393dd67925c929dd6236fad.png"/><Relationship Id="rId14" Type="http://schemas.openxmlformats.org/officeDocument/2006/relationships/image" Target="media/e698f47fea018ba4e2802cc16cd6dfd9035c7463.png"/><Relationship Id="rId15" Type="http://schemas.openxmlformats.org/officeDocument/2006/relationships/image" Target="media/580bfb808c41b68f58dd6143da2bda07a4fdfcd6.png"/><Relationship Id="rId16" Type="http://schemas.openxmlformats.org/officeDocument/2006/relationships/image" Target="media/cfb68299954ed8f8f5e10a9a9db637b9bb1e6943.png"/><Relationship Id="rId17" Type="http://schemas.openxmlformats.org/officeDocument/2006/relationships/image" Target="media/afac86a350f9945eeb94b9ee246e19d29bb41335.png"/><Relationship Id="rId18" Type="http://schemas.openxmlformats.org/officeDocument/2006/relationships/image" Target="media/57269d3037ae27a47832f78cc97338fc97672c78.png"/><Relationship Id="rId19" Type="http://schemas.openxmlformats.org/officeDocument/2006/relationships/image" Target="media/ee95cfbafdc45fc97602cba6ccc94f86e621b2e0.png"/><Relationship Id="rId20" Type="http://schemas.openxmlformats.org/officeDocument/2006/relationships/image" Target="media/8a0259851c9ce9543a4dd4e70fbf6ef776d64c4f.png"/><Relationship Id="rId21" Type="http://schemas.openxmlformats.org/officeDocument/2006/relationships/image" Target="media/751a1c2ff4c695ebcf2d04aee2d3822c664dbd66.png"/><Relationship Id="rId22" Type="http://schemas.openxmlformats.org/officeDocument/2006/relationships/image" Target="media/fcbfc7caea7791f142b62cd810e09ae43c0a3029.png"/><Relationship Id="rId23" Type="http://schemas.openxmlformats.org/officeDocument/2006/relationships/image" Target="media/098992a49f33b5863197c094b0274b3a570ac6b0.png"/><Relationship Id="rId24" Type="http://schemas.openxmlformats.org/officeDocument/2006/relationships/image" Target="media/340cd7ece83aa7b471f90497fa4ab20abba8cb78.png"/><Relationship Id="rId25" Type="http://schemas.openxmlformats.org/officeDocument/2006/relationships/image" Target="media/29a8d803374a279180f0fb7569fd71a96e4828cc.png"/><Relationship Id="rId26" Type="http://schemas.openxmlformats.org/officeDocument/2006/relationships/image" Target="media/93e2e5b518189f1af9628f404919fff014730a4c.png"/><Relationship Id="rId27" Type="http://schemas.openxmlformats.org/officeDocument/2006/relationships/image" Target="media/0c260341434b1a3d96e8ec816e8fdf21bc280008.png"/><Relationship Id="rId28" Type="http://schemas.openxmlformats.org/officeDocument/2006/relationships/image" Target="media/3b43f208c34e619a9b1fcd7a8da9990014f117c8.png"/><Relationship Id="rId29" Type="http://schemas.openxmlformats.org/officeDocument/2006/relationships/image" Target="media/86a2658ddba90ee4c38a66206a6a68c15d95f581.png"/><Relationship Id="rId30" Type="http://schemas.openxmlformats.org/officeDocument/2006/relationships/image" Target="media/b042baccd1b6ddb409d02825dcbf0a0b42cf8600.png"/><Relationship Id="rId31" Type="http://schemas.openxmlformats.org/officeDocument/2006/relationships/image" Target="media/b08ef3c27e50bcebac919f21b9b3c4430a015386.png"/><Relationship Id="rId32" Type="http://schemas.openxmlformats.org/officeDocument/2006/relationships/image" Target="media/5aab1f9956758b1489f12e56e316ce914adfc234.png"/><Relationship Id="rId33" Type="http://schemas.openxmlformats.org/officeDocument/2006/relationships/image" Target="media/dca988adf54061cfd18e3b65d04cc93b4c0821a5.png"/><Relationship Id="rId34" Type="http://schemas.openxmlformats.org/officeDocument/2006/relationships/image" Target="media/ced20419b26ad52dabc386ca8fa03e512cf67f8c.png"/><Relationship Id="rId35" Type="http://schemas.openxmlformats.org/officeDocument/2006/relationships/image" Target="media/e56b4f992bdd903593631381fadd9d088590b949.png"/><Relationship Id="rId36" Type="http://schemas.openxmlformats.org/officeDocument/2006/relationships/image" Target="media/31dcbc50059ae2791ce05a42c041185014378f3f.png"/><Relationship Id="rId37" Type="http://schemas.openxmlformats.org/officeDocument/2006/relationships/image" Target="media/ce3dcc9a910c6fc9b80e1215a4025c2e03d7ae91.png"/><Relationship Id="rId38" Type="http://schemas.openxmlformats.org/officeDocument/2006/relationships/image" Target="media/8f7d48ee1d3a925ebd1d5709598063d3ff8e3925.png"/><Relationship Id="rId39" Type="http://schemas.openxmlformats.org/officeDocument/2006/relationships/image" Target="media/379af060121c595b8dab938b017503bf01d94543.png"/><Relationship Id="rId40" Type="http://schemas.openxmlformats.org/officeDocument/2006/relationships/image" Target="media/3a13ccfef28f9583bfb8ffa6fad6c0cd87ee4e3f.png"/><Relationship Id="rId41" Type="http://schemas.openxmlformats.org/officeDocument/2006/relationships/image" Target="media/c67c351664df141a74ad4841b37c3e4adf06cdc8.png"/><Relationship Id="rId42" Type="http://schemas.openxmlformats.org/officeDocument/2006/relationships/image" Target="media/6b2eed335569e4023d73a2acfc049e4652246425.png"/><Relationship Id="rId43" Type="http://schemas.openxmlformats.org/officeDocument/2006/relationships/image" Target="media/0dab734b3591fc6e44f28d70c229863ac765dd6c.png"/><Relationship Id="rId44" Type="http://schemas.openxmlformats.org/officeDocument/2006/relationships/image" Target="media/77a7b903f3de550876bb41810cdf2d1e7c0ac7f2.png"/><Relationship Id="rId45" Type="http://schemas.openxmlformats.org/officeDocument/2006/relationships/image" Target="media/2f0f0886862a384327500130debd3ae79225e0b4.png"/><Relationship Id="rId46" Type="http://schemas.openxmlformats.org/officeDocument/2006/relationships/image" Target="media/05da8f4effe706cf5aafdd89f16572da00d8acd2.png"/><Relationship Id="rId47" Type="http://schemas.openxmlformats.org/officeDocument/2006/relationships/image" Target="media/18110f2d94411825c7d788fe5ccde19f68a450f5.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Un-named</cp:lastModifiedBy>
  <cp:revision>1</cp:revision>
  <dcterms:created xsi:type="dcterms:W3CDTF">2026-09-29T06:34:41.352Z</dcterms:created>
  <dcterms:modified xsi:type="dcterms:W3CDTF">2026-09-29T06:34:41.352Z</dcterms:modified>
</cp:coreProperties>
</file>

<file path=docProps/custom.xml><?xml version="1.0" encoding="utf-8"?>
<Properties xmlns="http://schemas.openxmlformats.org/officeDocument/2006/custom-properties" xmlns:vt="http://schemas.openxmlformats.org/officeDocument/2006/docPropsVTypes"/>
</file>