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record consent as an immutable permission event, but they do not establish who the participants are, whether they hold the authority to approve, whether the required collective approval has been obtained, whether the requested purpose and data scope match the consent, or whether the consent is still valid at the time of the request.</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33 studies, structured by six requirements, shows that no reviewed study satisfies these requirements together.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23</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27</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28</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31</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38</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40</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42</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44</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44</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47</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50</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51</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54</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55</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57</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63</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66</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66</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70</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72</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73</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82</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86</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86</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91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100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101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102</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103</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104</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107</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108</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108</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111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112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113</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119</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121</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121</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127</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131</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143</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143</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144</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146</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148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150</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151</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152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153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153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153</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157</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158</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000000"/>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w:t>
      </w:r>
      <w:r>
        <w:rPr>
          <w:rFonts w:ascii="Cambria" w:cs="Cambria" w:eastAsia="Cambria" w:hAnsi="Cambria"/>
          <w:color w:val="000000"/>
          <w:sz w:val="24"/>
          <w:szCs w:val="24"/>
        </w:rPr>
        <w:t xml:space="preserve">policy-based access control [20, 15, 28, 4, 25]</w:t>
      </w:r>
      <w:r>
        <w:rPr>
          <w:rFonts w:ascii="Cambria" w:cs="Cambria" w:eastAsia="Cambria" w:hAnsi="Cambria"/>
          <w:sz w:val="24"/>
          <w:szCs w:val="24"/>
        </w:rPr>
        <w:t xml:space="preserve">. However, these mechanisms are often investigated independently or integrated primarily at the implementation level </w:t>
      </w:r>
      <w:r>
        <w:rPr>
          <w:rFonts w:ascii="Cambria" w:cs="Cambria" w:eastAsia="Cambria" w:hAnsi="Cambria"/>
          <w:color w:val="000000"/>
          <w:sz w:val="24"/>
          <w:szCs w:val="24"/>
        </w:rPr>
        <w:t xml:space="preserve">without providing a unified trust model that explains how</w:t>
      </w:r>
      <w:r>
        <w:rPr>
          <w:rFonts w:ascii="Cambria" w:cs="Cambria" w:eastAsia="Cambria" w:hAnsi="Cambria"/>
          <w:sz w:val="24"/>
          <w:szCs w:val="24"/>
        </w:rPr>
        <w:t xml:space="preserve">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It should be noted that the proposed framework has also been extended beyond its four foundational dimensions to incorporate temporal validity and lifecycle trust (RO5).</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(the Patient Consent Management Platform for History Access by Authorised Healthcare Providers described in Section 6.8), encompassing per-dimension denial scenarios, guardian signature-rejection tests, and tests of tampered and expired zero-knowledge proofs,</w:t>
      </w:r>
      <w:r>
        <w:rPr>
          <w:rFonts w:ascii="Cambria" w:cs="Cambria" w:eastAsia="Cambria" w:hAnsi="Cambria"/>
          <w:color w:val="000000"/>
          <w:sz w:val="24"/>
          <w:szCs w:val="24"/>
        </w:rPr>
        <w:t xml:space="preserve"> together with </w:t>
      </w:r>
      <w:r>
        <w:rPr>
          <w:rFonts w:ascii="Cambria" w:cs="Cambria" w:eastAsia="Cambria" w:hAnsi="Cambria"/>
          <w:color w:val="000000"/>
          <w:sz w:val="24"/>
          <w:szCs w:val="24"/>
        </w:rPr>
        <w:t xml:space="preserve">a live negative evaluation on the Ethereum Sepolia testnet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Formal security analysis, by contrast,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and it should be distinguished from trusted computing in the hardware sense, such as trusted execution environments and attestation, which is reviewed in Section 2.4.6.</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research questions, Chapter 4 states the research objectives, Chapter 5 describes the MVC-based research architecture, Chapter 6 presents the proposed solution, its algorithms and the live HALAH demonstration, and Chapters 7 to 9 report the current progress, publications and the research plan for the next stage.</w:t>
      </w:r>
    </w:p>
    <w:p>
      <w:pPr>
        <w:spacing w:after="140" w:line="300"/>
        <w:jc w:val="both"/>
      </w:pPr>
      <w:r>
        <w:rPr>
          <w:rFonts w:ascii="Cambria" w:cs="Cambria" w:eastAsia="Cambria" w:hAnsi="Cambria"/>
          <w:color w:val="000000"/>
          <w:sz w:val="24"/>
          <w:szCs w:val="24"/>
        </w:rPr>
        <w:t xml:space="preserve">It should be noted that the scope of the current stage is bounded. The HALAH prototype is deployed on the Ethereum Sepolia testnet with synthetic healthcare records, the guardian approval rule is currently implemented as N-of-N over the guardian set G,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rPr>
          <w:rFonts w:ascii="Cambria" w:cs="Cambria" w:eastAsia="Cambria" w:hAnsi="Cambria"/>
          <w:sz w:val="24"/>
          <w:szCs w:val="24"/>
        </w:rP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rPr>
          <w:rFonts w:ascii="Cambria" w:cs="Cambria" w:eastAsia="Cambria" w:hAnsi="Cambria"/>
          <w:sz w:val="24"/>
          <w:szCs w:val="24"/>
        </w:rP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rPr>
          <w:rFonts w:ascii="Cambria" w:cs="Cambria" w:eastAsia="Cambria" w:hAnsi="Cambria"/>
          <w:sz w:val="24"/>
          <w:szCs w:val="24"/>
        </w:rP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rPr>
          <w:rFonts w:ascii="Cambria" w:cs="Cambria" w:eastAsia="Cambria" w:hAnsi="Cambria"/>
          <w:sz w:val="24"/>
          <w:szCs w:val="24"/>
        </w:rPr>
        <w:t xml:space="preserve">2.3.4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rPr>
          <w:rFonts w:ascii="Cambria" w:cs="Cambria" w:eastAsia="Cambria" w:hAnsi="Cambria"/>
          <w:sz w:val="24"/>
          <w:szCs w:val="24"/>
        </w:rP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rPr>
          <w:rFonts w:ascii="Cambria" w:cs="Cambria" w:eastAsia="Cambria" w:hAnsi="Cambria"/>
          <w:sz w:val="24"/>
          <w:szCs w:val="24"/>
        </w:rPr>
        <w:t xml:space="preserve">2.3.6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rPr>
          <w:rFonts w:ascii="Cambria" w:cs="Cambria" w:eastAsia="Cambria" w:hAnsi="Cambria"/>
          <w:sz w:val="24"/>
          <w:szCs w:val="24"/>
        </w:rPr>
        <w:t xml:space="preserve">2.3.7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40"/>
        <w:gridCol w:w="3520"/>
        <w:gridCol w:w="220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1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2019</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rPr>
          <w:rFonts w:ascii="Cambria" w:cs="Cambria" w:eastAsia="Cambria" w:hAnsi="Cambria"/>
          <w:sz w:val="24"/>
          <w:szCs w:val="24"/>
        </w:rP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00"/>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rPr>
          <w:rFonts w:ascii="Cambria" w:cs="Cambria" w:eastAsia="Cambria" w:hAnsi="Cambria"/>
          <w:sz w:val="24"/>
          <w:szCs w:val="24"/>
        </w:rP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00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00"/>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and apply a measurement scale to explain individuals' intention to share healthcare data in the UK National Health Service context, using survey data from 129 respondents.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rPr>
          <w:rFonts w:ascii="Cambria" w:cs="Cambria" w:eastAsia="Cambria" w:hAnsi="Cambria"/>
          <w:sz w:val="24"/>
          <w:szCs w:val="24"/>
        </w:rP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00"/>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rPr>
          <w:rFonts w:ascii="Cambria" w:cs="Cambria" w:eastAsia="Cambria" w:hAnsi="Cambria"/>
          <w:sz w:val="24"/>
          <w:szCs w:val="24"/>
        </w:rP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00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00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00"/>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rPr>
          <w:rFonts w:ascii="Cambria" w:cs="Cambria" w:eastAsia="Cambria" w:hAnsi="Cambria"/>
          <w:sz w:val="24"/>
          <w:szCs w:val="24"/>
        </w:rP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00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00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00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00"/>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rPr>
          <w:rFonts w:ascii="Cambria" w:cs="Cambria" w:eastAsia="Cambria" w:hAnsi="Cambria"/>
          <w:sz w:val="24"/>
          <w:szCs w:val="24"/>
        </w:rP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00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00"/>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rPr>
          <w:rFonts w:ascii="Cambria" w:cs="Cambria" w:eastAsia="Cambria" w:hAnsi="Cambria"/>
          <w:sz w:val="24"/>
          <w:szCs w:val="24"/>
        </w:rP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00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00"/>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rPr>
          <w:rFonts w:ascii="Cambria" w:cs="Cambria" w:eastAsia="Cambria" w:hAnsi="Cambria"/>
          <w:sz w:val="24"/>
          <w:szCs w:val="24"/>
        </w:rP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rPr>
          <w:rFonts w:ascii="Cambria" w:cs="Cambria" w:eastAsia="Cambria" w:hAnsi="Cambria"/>
          <w:sz w:val="24"/>
          <w:szCs w:val="24"/>
        </w:rP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00"/>
          <w:sz w:val="24"/>
          <w:szCs w:val="24"/>
        </w:rPr>
        <w:t xml:space="preserve">Representation of consent as an evaluable authorisation object (Req 1):</w:t>
      </w:r>
      <w:r>
        <w:rPr>
          <w:rFonts w:ascii="Cambria" w:cs="Cambria" w:eastAsia="Cambria" w:hAnsi="Cambria"/>
          <w:color w:val="000000"/>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00"/>
          <w:sz w:val="24"/>
          <w:szCs w:val="24"/>
        </w:rPr>
        <w:t xml:space="preserve">Decentralised verification of identity and authority (Req 2):</w:t>
      </w:r>
      <w:r>
        <w:rPr>
          <w:rFonts w:ascii="Cambria" w:cs="Cambria" w:eastAsia="Cambria" w:hAnsi="Cambria"/>
          <w:color w:val="000000"/>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00"/>
          <w:sz w:val="24"/>
          <w:szCs w:val="24"/>
        </w:rPr>
        <w:t xml:space="preserve">Multi-party authorisation through a verifiable threshold (Req 3):</w:t>
      </w:r>
      <w:r>
        <w:rPr>
          <w:rFonts w:ascii="Cambria" w:cs="Cambria" w:eastAsia="Cambria" w:hAnsi="Cambria"/>
          <w:color w:val="000000"/>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00"/>
          <w:sz w:val="24"/>
          <w:szCs w:val="24"/>
        </w:rPr>
        <w:t xml:space="preserve">Policy- and context-aware enforcement at the time of access (Req 4):</w:t>
      </w:r>
      <w:r>
        <w:rPr>
          <w:rFonts w:ascii="Cambria" w:cs="Cambria" w:eastAsia="Cambria" w:hAnsi="Cambria"/>
          <w:color w:val="000000"/>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00"/>
          <w:sz w:val="24"/>
          <w:szCs w:val="24"/>
        </w:rPr>
        <w:t xml:space="preserve">Temporal validity and lifecycle control of consent (Req 5):</w:t>
      </w:r>
      <w:r>
        <w:rPr>
          <w:rFonts w:ascii="Cambria" w:cs="Cambria" w:eastAsia="Cambria" w:hAnsi="Cambria"/>
          <w:color w:val="000000"/>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00"/>
          <w:sz w:val="24"/>
          <w:szCs w:val="24"/>
        </w:rPr>
        <w:t xml:space="preserve">Verifiable auditability and security assurance (Req 6):</w:t>
      </w:r>
      <w:r>
        <w:rPr>
          <w:rFonts w:ascii="Cambria" w:cs="Cambria" w:eastAsia="Cambria" w:hAnsi="Cambria"/>
          <w:color w:val="000000"/>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00"/>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00"/>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00"/>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presented in Chapter 2 (Section 2.5) indicates that substantial research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[1, 13, 19, 20, 25, 32].</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existing consent-oriented approaches tend to treat consent primarily as a record of a patient’s permission [10, 13, 21].</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w:t>
      </w:r>
      <w:r>
        <w:rPr>
          <w:rFonts w:ascii="Cambria" w:cs="Cambria" w:eastAsia="Cambria" w:hAnsi="Cambria"/>
          <w:color w:val="000000"/>
          <w:sz w:val="24"/>
          <w:szCs w:val="24"/>
        </w:rPr>
        <w:t xml:space="preserve">Consequently, formal security assurance forms the subsequent research scope and is developed further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are referred to as RQ1 to RQ6 in Chapter 4 and in the remaining chapters.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names four dimensions, namely identity, authority requirements, policy constraints and authorisation evidence, whereas the consent object contains six components. The temporal component T and the jurisdictional component L were introduced during implementation as explicit constraints of the policy dimension, and they are investigated under SRQ5 rather than as an additional sub-research question.</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w:t>
      </w:r>
      <w:r>
        <w:rPr>
          <w:rFonts w:ascii="Cambria" w:cs="Cambria" w:eastAsia="Cambria" w:hAnsi="Cambria"/>
          <w:color w:val="000000"/>
          <w:sz w:val="24"/>
          <w:szCs w:val="24"/>
        </w:rPr>
        <w:t xml:space="preserve">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(29)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(64)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remain reliable under dynamic lifecycle conditions and whether their security and practical effectiveness can be formally and empirically demonstrated.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sz w:val="24"/>
          <w:szCs w:val="24"/>
        </w:rP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because the authorisation decision must combine identity, threshold, policy, temporal and jurisdictional evaluation performed by the Controller with the anchoring of consent state on the blockchain,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 </w:t>
      </w:r>
      <w:r>
        <w:rPr>
          <w:rFonts w:ascii="Cambria" w:cs="Cambria" w:eastAsia="Cambria" w:hAnsi="Cambria"/>
          <w:color w:val="000000"/>
          <w:sz w:val="24"/>
          <w:szCs w:val="24"/>
        </w:rPr>
        <w:t xml:space="preserve">Guardian approvals are nevertheless verified cryptographically in the prototype through EIP-712 typed-data signatures bound to the consent identifier, so that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(31).</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(64)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(31).</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and the independent verifier verify_poc described in Section 6.8 provide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(33)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(35)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(31),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10],</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(31)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(45),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(39)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and in the implementation it corresponds to the event rows of the audit ledger, which for on-chain events additionally carry the Sepolia transaction hash and block number, as described in Section 6.8.8.</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together with the separation of interaction and enforcement established in Section 5.1.4, are summarised in Table 12, in which collective authorisation integrity and decision accountability appear as multi-party authorisation integrity and authorisation evidence respectively.</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(31) and enforced in the prototype.</w:t>
      </w:r>
      <w:r>
        <w:rPr>
          <w:rFonts w:ascii="Cambria" w:cs="Cambria" w:eastAsia="Cambria" w:hAnsi="Cambria"/>
          <w:sz w:val="24"/>
          <w:szCs w:val="24"/>
        </w:rPr>
        <w:t xml:space="preserve">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000000"/>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The declared jurisdiction L is then validated as a well-formed ISO alpha-2 territory code and bound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w:t>
      </w:r>
      <w:r>
        <w:rPr>
          <w:rFonts w:ascii="Cambria" w:cs="Cambria" w:eastAsia="Cambria" w:hAnsi="Cambria"/>
          <w:color w:val="000000"/>
          <w:sz w:val="24"/>
          <w:szCs w:val="24"/>
        </w:rPr>
        <w:t xml:space="preserve">The N-of-N configuration was adopted for the prototype because it is the most conservative instantiation of the threshold condition, in which no designated guardian can be bypassed, and because it allows the mechanism to be demonstrated without the quorum-selection and key-management questions that a general k-of-n threshold introduces. A configurable k-of-n threshold, while a direct generalisation of the implemented mechanism,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w:t>
      </w:r>
      <w:r>
        <w:rPr>
          <w:rFonts w:ascii="Cambria" w:cs="Cambria" w:eastAsia="Cambria" w:hAnsi="Cambria"/>
          <w:color w:val="000000"/>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Although this objective was originally planned for the next stage (CA3), it has been realised in the current prototype; it investigates how an authorisation remains trustworthy as time passes and as the consent state changes.</w:t>
      </w:r>
      <w:r>
        <w:rPr>
          <w:rFonts w:ascii="Cambria" w:cs="Cambria" w:eastAsia="Cambria" w:hAnsi="Cambria"/>
          <w:sz w:val="24"/>
          <w:szCs w:val="24"/>
        </w:rPr>
        <w:t xml:space="preserve">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color w:val="000000"/>
          <w:sz w:val="24"/>
          <w:szCs w:val="24"/>
        </w:rPr>
        <w:t xml:space="preserve">The jurisdictional condition, written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here and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 </w:t>
      </w:r>
      <w:r>
        <w:rPr>
          <w:rFonts w:ascii="Cambria" w:cs="Cambria" w:eastAsia="Cambria" w:hAnsi="Cambria"/>
          <w:color w:val="000000"/>
          <w:sz w:val="24"/>
          <w:szCs w:val="24"/>
        </w:rPr>
        <w:t xml:space="preserve">It should be noted that, because the jurisdiction L is validated and bound at consent creation (Section 6.1.1), the disjunct Jur(C) = ∅ is not reached for any consent created through the current interface, so that in the demonstrated system the predicate reduces to strict equality, as Section 6.8.5 confirms.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composite temporal–state predicate of Eq. (18), which the implementation evaluates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that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(57);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(66)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00"/>
          <w:sz w:val="24"/>
          <w:szCs w:val="24"/>
        </w:rPr>
        <w:t xml:space="preserve">The empirical evidence comprises the 23 automated tests that exercise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The soundness property actually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of which Equations (67) and (68) give the foundational three-predicate form; each conjunct of the five-predicate rule</w:t>
      </w:r>
      <w:r>
        <w:rPr>
          <w:rFonts w:ascii="Cambria" w:cs="Cambria" w:eastAsia="Cambria" w:hAnsi="Cambria"/>
          <w:color w:val="000000"/>
          <w:sz w:val="24"/>
          <w:szCs w:val="24"/>
        </w:rPr>
        <w:t xml:space="preserve">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000000"/>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(69), which the five-predicate rule of Equation (70) now supersedes in the implemented system.</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w:t>
      </w:r>
      <w:r>
        <w:rPr>
          <w:rFonts w:ascii="Cambria" w:cs="Cambria" w:eastAsia="Cambria" w:hAnsi="Cambria"/>
          <w:color w:val="000000"/>
          <w:sz w:val="24"/>
          <w:szCs w:val="24"/>
        </w:rPr>
        <w:t xml:space="preserve">electronic medical record (EMR) modules,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w:t>
      </w:r>
      <w:r>
        <w:rPr>
          <w:rFonts w:ascii="Cambria" w:cs="Cambria" w:eastAsia="Cambria" w:hAnsi="Cambria"/>
          <w:color w:val="000000"/>
          <w:sz w:val="24"/>
          <w:szCs w:val="24"/>
        </w:rPr>
        <w:t xml:space="preserve">are each exercised in this workflow, and the resulting activation and revocation are anchored by real transactions on the Ethereum Sepolia test network, so the conceptual model and the running system can be verified against one another</w:t>
      </w:r>
      <w:r>
        <w:rPr>
          <w:rFonts w:ascii="Cambria" w:cs="Cambria" w:eastAsia="Cambria" w:hAnsi="Cambria"/>
          <w:color w:val="000000"/>
          <w:sz w:val="24"/>
          <w:szCs w:val="24"/>
        </w:rPr>
        <w:t xml:space="preserve">.</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w:t>
      </w:r>
      <w:r>
        <w:rPr>
          <w:rFonts w:ascii="Cambria" w:cs="Cambria" w:eastAsia="Cambria" w:hAnsi="Cambria"/>
          <w:color w:val="000000"/>
          <w:sz w:val="24"/>
          <w:szCs w:val="24"/>
        </w:rPr>
        <w:t xml:space="preserve">and the evidence component E records the authorisation evidence, including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w:t>
      </w:r>
      <w:r>
        <w:rPr>
          <w:rFonts w:ascii="Cambria" w:cs="Cambria" w:eastAsia="Cambria" w:hAnsi="Cambria"/>
          <w:color w:val="000000"/>
          <w:sz w:val="24"/>
          <w:szCs w:val="24"/>
        </w:rPr>
        <w:t xml:space="preserve">complete lifecycle (activation as token #1, granted access, refused access and final revocation), and all transaction evidence in this chapter follows it</w:t>
      </w:r>
      <w:r>
        <w:rPr>
          <w:rFonts w:ascii="Cambria" w:cs="Cambria" w:eastAsia="Cambria" w:hAnsi="Cambria"/>
          <w:color w:val="000000"/>
          <w:sz w:val="24"/>
          <w:szCs w:val="24"/>
        </w:rPr>
        <w:t xml:space="preserve">. Because a revoked consent cannot be photographed in its earlier states, the screenshots of consent creation, guardian approval and granted access were captured from a second lifecycle </w:t>
      </w:r>
      <w:r>
        <w:rPr>
          <w:rFonts w:ascii="Cambria" w:cs="Cambria" w:eastAsia="Cambria" w:hAnsi="Cambria"/>
          <w:color w:val="000000"/>
          <w:sz w:val="24"/>
          <w:szCs w:val="24"/>
        </w:rPr>
        <w:t xml:space="preserve">with the same configuration (the same four-module scope, the same guardians, jurisdiction, purpose and doctor), executed for a different demonstration patient</w:t>
      </w:r>
      <w:r>
        <w:rPr>
          <w:rFonts w:ascii="Cambria" w:cs="Cambria" w:eastAsia="Cambria" w:hAnsi="Cambria"/>
          <w:color w:val="000000"/>
          <w:sz w:val="24"/>
          <w:szCs w:val="24"/>
        </w:rPr>
        <w:t xml:space="preserve">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t>
      </w:r>
      <w:r>
        <w:rPr>
          <w:rFonts w:ascii="Cambria" w:cs="Cambria" w:eastAsia="Cambria" w:hAnsi="Cambria"/>
          <w:color w:val="000000"/>
          <w:sz w:val="24"/>
          <w:szCs w:val="24"/>
        </w:rPr>
        <w:t xml:space="preserve">which is the complete decision rule of Eq. (59) and Eq. (65), extending the three-predicate rule of Eq. (69) with the temporal and jurisdictional verdicts</w:t>
      </w:r>
      <w:r>
        <w:rPr>
          <w:rFonts w:ascii="Cambria" w:cs="Cambria" w:eastAsia="Cambria" w:hAnsi="Cambria"/>
          <w:color w:val="000000"/>
          <w:sz w:val="24"/>
          <w:szCs w:val="24"/>
        </w:rPr>
        <w:t xml:space="preserve">.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w:t>
      </w:r>
      <w:r>
        <w:rPr>
          <w:rFonts w:ascii="Cambria" w:cs="Cambria" w:eastAsia="Cambria" w:hAnsi="Cambria"/>
          <w:color w:val="000000"/>
          <w:sz w:val="24"/>
          <w:szCs w:val="24"/>
        </w:rPr>
        <w:t xml:space="preserve">the consent progresses through the controlled states PENDING_SIGNATURE, PENDING_TOKEN, NOT_STARTED, ACTIVE and REVOKED of the six-state lifecycle defined in Section 6.5, the EXPIRED state not being reached in the demonstration</w:t>
      </w:r>
      <w:r>
        <w:rPr>
          <w:rFonts w:ascii="Cambria" w:cs="Cambria" w:eastAsia="Cambria" w:hAnsi="Cambria"/>
          <w:color w:val="000000"/>
          <w:sz w:val="24"/>
          <w:szCs w:val="24"/>
        </w:rPr>
        <w:t xml:space="preserve">,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w:t>
      </w:r>
      <w:r>
        <w:rPr>
          <w:rFonts w:ascii="Cambria" w:cs="Cambria" w:eastAsia="Cambria" w:hAnsi="Cambria"/>
          <w:color w:val="000000"/>
          <w:sz w:val="24"/>
          <w:szCs w:val="24"/>
        </w:rPr>
        <w:t xml:space="preserve">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w:t>
      </w:r>
      <w:r>
        <w:rPr>
          <w:rFonts w:ascii="Cambria" w:cs="Cambria" w:eastAsia="Cambria" w:hAnsi="Cambria"/>
          <w:color w:val="000000"/>
          <w:sz w:val="24"/>
          <w:szCs w:val="24"/>
        </w:rPr>
        <w:t xml:space="preserve">The formal component, namely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is followed by the screenshots of each subsystem.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00"/>
          <w:sz w:val="24"/>
          <w:szCs w:val="24"/>
        </w:rPr>
        <w:t xml:space="preserve">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With respect to the multi-party authorisation of RO3, which is discussed further in Section 7.3,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so the prototype currently enforces an N-of-N instantiation of Eq. (74) and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w:t>
      </w:r>
      <w:r>
        <w:rPr>
          <w:rFonts w:ascii="Cambria" w:cs="Cambria" w:eastAsia="Cambria" w:hAnsi="Cambria"/>
          <w:color w:val="000000"/>
          <w:sz w:val="24"/>
          <w:szCs w:val="24"/>
        </w:rPr>
        <w:t xml:space="preserve">the request exceeds the authorised scope,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as demonstrated for the requested-subset rule in Section 6.8.4.</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w:t>
      </w:r>
      <w:r>
        <w:rPr>
          <w:rFonts w:ascii="Cambria" w:cs="Cambria" w:eastAsia="Cambria" w:hAnsi="Cambria"/>
          <w:color w:val="000000"/>
          <w:sz w:val="24"/>
          <w:szCs w:val="24"/>
        </w:rPr>
        <w:t xml:space="preserve">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five trust predicates of the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together with on-chain revocation.</w:t>
      </w: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 </w:t>
      </w:r>
      <w:r>
        <w:rPr>
          <w:rFonts w:ascii="Cambria" w:cs="Cambria" w:eastAsia="Cambria" w:hAnsi="Cambria"/>
          <w:color w:val="000000"/>
          <w:sz w:val="24"/>
          <w:szCs w:val="24"/>
        </w:rPr>
        <w:t xml:space="preserve">The plan for the next stage therefore follows directly from the progress status reported in Chapter 7: the objectives marked as completed require no further development, whereas the formal component of RO6 and the identified prototype limitations, namely the N-of-N approval rule, the server-derived guardian keys and the unauthenticated requester, define the remaining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w:t>
      </w:r>
      <w:r>
        <w:rPr>
          <w:rFonts w:ascii="Cambria" w:cs="Cambria" w:eastAsia="Cambria" w:hAnsi="Cambria"/>
          <w:color w:val="000000"/>
          <w:sz w:val="24"/>
          <w:szCs w:val="24"/>
        </w:rPr>
        <w:t xml:space="preserve">the next stage concentrates on formal security assurance and comprehensive empirical validation, including performance measurement, together with the dynamic consent governance extensions of RO5, namely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w:t>
      </w:r>
      <w:r>
        <w:rPr>
          <w:rFonts w:ascii="Cambria" w:cs="Cambria" w:eastAsia="Cambria" w:hAnsi="Cambria"/>
          <w:color w:val="000000"/>
          <w:sz w:val="24"/>
          <w:szCs w:val="24"/>
        </w:rPr>
        <w:t xml:space="preserve">extend the research towards dynamic consent governance [13, 24], formal security assurance,</w:t>
      </w:r>
      <w:r>
        <w:rPr>
          <w:rFonts w:ascii="Cambria" w:cs="Cambria" w:eastAsia="Cambria" w:hAnsi="Cambria"/>
          <w:sz w:val="24"/>
          <w:szCs w:val="24"/>
        </w:rPr>
        <w:t xml:space="preserv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and will report enforcement accuracy as the proportion of adversarial requests correctly denied.</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15 is as follows. Temporal and lifecycle trust is largely completed (on-chain</w:t>
      </w:r>
      <w:r>
        <w:rPr>
          <w:rFonts w:ascii="Cambria" w:cs="Cambria" w:eastAsia="Cambria" w:hAnsi="Cambria"/>
          <w:color w:val="000000"/>
          <w:sz w:val="24"/>
          <w:szCs w:val="24"/>
        </w:rPr>
        <w:t xml:space="preserve">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 (57),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2026-09-29T06:35:35.606Z</dcterms:created>
  <dcterms:modified xsi:type="dcterms:W3CDTF">2026-09-29T06:35:35.606Z</dcterms:modified>
</cp:coreProperties>
</file>

<file path=docProps/custom.xml><?xml version="1.0" encoding="utf-8"?>
<Properties xmlns="http://schemas.openxmlformats.org/officeDocument/2006/custom-properties" xmlns:vt="http://schemas.openxmlformats.org/officeDocument/2006/docPropsVTypes"/>
</file>