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13</w:t>
      </w:r>
    </w:p>
    <w:p>
      <w:pPr>
        <w:tabs>
          <w:tab w:val="right" w:pos="9128" w:leader="dot"/>
        </w:tabs>
        <w:spacing w:after="100"/>
      </w:pPr>
      <w:r>
        <w:rPr>
          <w:rFonts w:ascii="Times New Roman" w:cs="Times New Roman" w:eastAsia="Times New Roman" w:hAnsi="Times New Roman"/>
          <w:sz w:val="22"/>
          <w:szCs w:val="22"/>
        </w:rPr>
        <w:t xml:space="preserve">4. Research Objectives	16</w:t>
      </w:r>
    </w:p>
    <w:p>
      <w:pPr>
        <w:tabs>
          <w:tab w:val="right" w:pos="9128" w:leader="dot"/>
        </w:tabs>
        <w:spacing w:after="100"/>
      </w:pPr>
      <w:r>
        <w:rPr>
          <w:rFonts w:ascii="Times New Roman" w:cs="Times New Roman" w:eastAsia="Times New Roman" w:hAnsi="Times New Roman"/>
          <w:sz w:val="22"/>
          <w:szCs w:val="22"/>
        </w:rPr>
        <w:t xml:space="preserve">5. Research Architecture: MVC	18</w:t>
      </w:r>
    </w:p>
    <w:p>
      <w:pPr>
        <w:tabs>
          <w:tab w:val="right" w:pos="9128" w:leader="dot"/>
        </w:tabs>
        <w:spacing w:after="100"/>
      </w:pPr>
      <w:r>
        <w:rPr>
          <w:rFonts w:ascii="Times New Roman" w:cs="Times New Roman" w:eastAsia="Times New Roman" w:hAnsi="Times New Roman"/>
          <w:sz w:val="22"/>
          <w:szCs w:val="22"/>
        </w:rPr>
        <w:t xml:space="preserve">6. The Proposed Solution for RO1	24</w:t>
      </w:r>
    </w:p>
    <w:p>
      <w:pPr>
        <w:tabs>
          <w:tab w:val="right" w:pos="9128" w:leader="dot"/>
        </w:tabs>
        <w:spacing w:after="100"/>
      </w:pPr>
      <w:r>
        <w:rPr>
          <w:rFonts w:ascii="Times New Roman" w:cs="Times New Roman" w:eastAsia="Times New Roman" w:hAnsi="Times New Roman"/>
          <w:sz w:val="22"/>
          <w:szCs w:val="22"/>
        </w:rPr>
        <w:t xml:space="preserve">7. The Proposed Solution for RO2	28</w:t>
      </w:r>
    </w:p>
    <w:p>
      <w:pPr>
        <w:tabs>
          <w:tab w:val="right" w:pos="9128" w:leader="dot"/>
        </w:tabs>
        <w:spacing w:after="100"/>
      </w:pPr>
      <w:r>
        <w:rPr>
          <w:rFonts w:ascii="Times New Roman" w:cs="Times New Roman" w:eastAsia="Times New Roman" w:hAnsi="Times New Roman"/>
          <w:sz w:val="22"/>
          <w:szCs w:val="22"/>
        </w:rPr>
        <w:t xml:space="preserve">8. The Proposed Solution for RO3	31</w:t>
      </w:r>
    </w:p>
    <w:p>
      <w:pPr>
        <w:tabs>
          <w:tab w:val="right" w:pos="9128" w:leader="dot"/>
        </w:tabs>
        <w:spacing w:after="100"/>
      </w:pPr>
      <w:r>
        <w:rPr>
          <w:rFonts w:ascii="Times New Roman" w:cs="Times New Roman" w:eastAsia="Times New Roman" w:hAnsi="Times New Roman"/>
          <w:sz w:val="22"/>
          <w:szCs w:val="22"/>
        </w:rPr>
        <w:t xml:space="preserve">9. The Proposed Solution for RO4	36</w:t>
      </w:r>
    </w:p>
    <w:p>
      <w:pPr>
        <w:tabs>
          <w:tab w:val="right" w:pos="9128" w:leader="dot"/>
        </w:tabs>
        <w:spacing w:after="100"/>
      </w:pPr>
      <w:r>
        <w:rPr>
          <w:rFonts w:ascii="Times New Roman" w:cs="Times New Roman" w:eastAsia="Times New Roman" w:hAnsi="Times New Roman"/>
          <w:sz w:val="22"/>
          <w:szCs w:val="22"/>
        </w:rPr>
        <w:t xml:space="preserve">10. The Proposed Solution for RO5	40</w:t>
      </w:r>
    </w:p>
    <w:p>
      <w:pPr>
        <w:tabs>
          <w:tab w:val="right" w:pos="9128" w:leader="dot"/>
        </w:tabs>
        <w:spacing w:after="100"/>
      </w:pPr>
      <w:r>
        <w:rPr>
          <w:rFonts w:ascii="Times New Roman" w:cs="Times New Roman" w:eastAsia="Times New Roman" w:hAnsi="Times New Roman"/>
          <w:sz w:val="22"/>
          <w:szCs w:val="22"/>
        </w:rPr>
        <w:t xml:space="preserve">11. The Proposed Solution for RO6	43</w:t>
      </w:r>
    </w:p>
    <w:p>
      <w:pPr>
        <w:tabs>
          <w:tab w:val="right" w:pos="9128" w:leader="dot"/>
        </w:tabs>
        <w:spacing w:after="100"/>
      </w:pPr>
      <w:r>
        <w:rPr>
          <w:rFonts w:ascii="Times New Roman" w:cs="Times New Roman" w:eastAsia="Times New Roman" w:hAnsi="Times New Roman"/>
          <w:sz w:val="22"/>
          <w:szCs w:val="22"/>
        </w:rPr>
        <w:t xml:space="preserve">12. Publications Summary	56</w:t>
      </w:r>
    </w:p>
    <w:p>
      <w:pPr>
        <w:tabs>
          <w:tab w:val="right" w:pos="9128" w:leader="dot"/>
        </w:tabs>
        <w:spacing w:after="100"/>
      </w:pPr>
      <w:r>
        <w:rPr>
          <w:rFonts w:ascii="Times New Roman" w:cs="Times New Roman" w:eastAsia="Times New Roman" w:hAnsi="Times New Roman"/>
          <w:sz w:val="22"/>
          <w:szCs w:val="22"/>
        </w:rPr>
        <w:t xml:space="preserve">13. Research Plan	57</w:t>
      </w:r>
    </w:p>
    <w:p>
      <w:pPr>
        <w:tabs>
          <w:tab w:val="right" w:pos="9128" w:leader="dot"/>
        </w:tabs>
        <w:spacing w:after="100"/>
      </w:pPr>
      <w:r>
        <w:rPr>
          <w:rFonts w:ascii="Times New Roman" w:cs="Times New Roman" w:eastAsia="Times New Roman" w:hAnsi="Times New Roman"/>
          <w:sz w:val="22"/>
          <w:szCs w:val="22"/>
        </w:rPr>
        <w:t xml:space="preserve">References	59</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 Modern digital ecosystems involve multiple independent stakeholders, including individuals, healthcare providers, regulatory authorities, researchers, and third-party data processors [1–3].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 Healthcare represents a particularly important and challenging example of this broader problem. The increasing digitisation of healthcare information enables patients, healthcare professionals, guardians, researchers, and healthcare organisations to participate in data-sharing processes [4, 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[4, 11].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while decentralised identifiers can support the identification of participants without relying exclusively on a central identity provider. Verifiable credentials can provide cryptographically verifiable evidence concerning roles or authority [16, 17], and policy-based access-control mechanisms can restrict access to authorised resources [9, 10, 18]. However, an immutable record does not necessarily demonstrate that the participating entities were legitimate, that they possessed the required authority, or that a subsequent data-access request remains consistent with the conditions originally authorised.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[19, 20].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Section 2 shows that existing approaches provide important technological components, including decentralised identity and verifiable credentials [21, 22], blockchain-based records [23, 24], multi-party approval mechanisms [23, 25–27], and policy-based access control [28–31], as well as several partial combinations [21, 25, 32].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[33, 34].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[35]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denotes work delivered at the CA2 milestone, while temporal and lifecycle trust, formal security assurance, and comprehensive empirical validation will be developed further in CA3.</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 Healthcare research has emphasised the importance of patient autonomy, privacy, informed consent, and controlled data sharing [4, 6–8, 36]. Multi-party trust research has investigated immutable data governance, distributed auditability, and decentralised consent management [3, 18, 37–39]. Research on decentralised identity and verifiable credentials has developed mechanisms for self-controlled identity representation, credential verification, selective disclosure, and privacy-preserving authentication [16, 17, 40–43]. Access-control research has further investigated role-based, attribute-based, risk-aware, and usage-control approaches for protecting sensitive healthcare information [9, 10, 44, 45]. 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Identity (DID)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Six review roles covered five perspectives and a chair who decided each record, and all counts are those of the decision-log checkpoint of 10 September 2026 (decision D-166). This systematic literature review (SLR) is guided by seven review questions. Questions 1 to 5 correspond to Req 1 to Req 5, and Questions 6 and 7 together to Req 6.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FF0000"/>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[23, 24, 47, 48]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The inclusion and exclusion criteria were applied consistently throughout the screening process.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1,800 records advanced to full text and were read in a prioritised order under a dimension-level saturation rule. Records that were clearly unrelated to the review scope were excluded at that stage. Saturation is declared when eight consecutively coded studies with a positive signal for a dimension yield no new mechanism class. At the checkpoint, 44 reports had been fully coded and passed the quality gate, whereas 1,735 of the 1,800 records had not been assessed, so corpus completeness is bounded by the saturation rule rather than by exhaustive reading.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Under decision D-166, a study is core if its gap-impact verdict is contradicts, weakens, or narrows, or if its T3 coding is Yes or Partial, which gives 23 core studies of the 44. With the two supporting studies of highest quality score 7.0 [48, 49], they form the 25 primary studies, S1 to S25.</w:t>
      </w:r>
    </w:p>
    <w:p>
      <w:pPr>
        <w:keepNext/>
        <w:spacing w:after="60" w:before="160"/>
        <w:jc w:val="center"/>
      </w:pPr>
      <w:r>
        <w:drawing>
          <wp:inline distT="0" distB="0" distL="0" distR="0">
            <wp:extent cx="460057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005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Each included study was assigned to the stream on which it is coded most strongly.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Both studies of this stream are deployed platforms graded Partial. Soohoo et al. [50] describe the iAgree portal across three United States health systems with a permissioned Ethereum audit contract, but consent enforcement is outside its scope. Tremper et al. [51] report ten years of the Mainzelliste service with FHIR consent directives, but specify no check semantics and no demonstrated enforcement of withdrawal. Both are single-party systems. The supporting references represent consent as a permission indicating whether a particular party is allowed to perform a specified operation [52, 53], or as conditions fixed at encryption time [54, 55].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T2 was graded Yes in only 10 of the 25 studies and Partial in 15. Phuyal et al. [21]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the strongest Req 2 evidence in the corpus. However, a single patient grants consent, the stored expiry is not checked, there is no threat model, and the companion architecture [56] is design-only. Tseng et al. [57]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[23] require a regulator and a guardian threshold on the incapacitated path, but a single patient key suffices on the normal path. Wu et al. [58] apply a (t, n) investigator threshold to record admission and revocation, and Abbasi et al. [59] use a Shamir (5, 3) threshold for key custody. Punia et al. [25] conjoin an M-of-N multi-signature with an attribute and role policy, but a single emergency officer can bypass the threshold. Tan et al. [26] use patient-appointed verifiers as a contingency, and [27, 60] report guardian co-consent at registration time. No reviewed study evaluates a threshold predicate over a patient-designated guardian set on every request, and none does so together with the policy, temporal, and jurisdictional conditions. This represents an important area addressed by the proposed framework.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 Tith et al. [24] match a purpose tree in chaincode, and Jaiman and Urovi [47] match ontology terms against the patient's consent. Albalwy et al. [48] evaluate a hashed policy tree of data type, role, and purpose, and Román-Martínez et al. [30] evaluate the FHIR purpose-of-use through XACML. T4 is coded Yes in 11 studies, Partial in 10, and No in 4. However, purpose-of-use enters the decision in only six studies [24, 28–30, 47, 48],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[28] present EdgeConsent, the first study to enforce temporal validity inside the decision predicate, although its lifecycle is only an active flag. Temporal validity must also be evaluated together with the lifecycle state of the consent. Hema et al. [61] bind the expiry into key derivation, and Panagoulias et al. [29] enforce revocation at decision time across 43,500 simulated attempts in a single-node ledger. Li et al. [49] enforce time on a credential rather than on the consent. T5 is coded Yes in 8 studies and T6 in 7, a post-revocation denial is demonstrated only by [21], [29], and [28],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[22] present HealthDID, with three game-based definitions and three theorems proved by reduction, the first complete formal assurance in the corpus, although only for the identity and authority fragment. Zhao and Su [62] and Maruthi and Singh [63] prove threshold gates in isolation, and Mei et al. [64] prove a static encryption predicate. Formal assurance is coded Yes in only 4 of the 25 studies, and empirical validation Yes in 5, Partial in 19, and No in 1. The panel records an inverse relation between predicate breadth and assurance strength. No study executes adversarial scenarios that examine whether security controls can resist deliberate attempts to circumvent the authorisation process.</w:t>
      </w: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 These contributions address different layers of the security problem. No individual mechanism can independently establish that a healthcare data-access decision is trustworthy. The systems that enforce purpose and time are authored by a single patient and lack a formal argument. The multi-party systems carry no purpose or data-scope condition, whereas the proved schemes omit policy, temporal validity, and lifecycle. Table 1 summarises the 25 studies against the six requirements, </w:t>
      </w:r>
      <w:r>
        <w:rPr>
          <w:rFonts w:ascii="Times New Roman" w:cs="Times New Roman" w:eastAsia="Times New Roman" w:hAnsi="Times New Roman"/>
          <w:color w:val="FF0000"/>
          <w:sz w:val="22"/>
          <w:szCs w:val="22"/>
        </w:rPr>
        <w:t xml:space="preserve">where Yes denotes satisfied, Partial partially satisfied, and No not satisfied. For the proposed framework, Yes denotes a requirement that is addressed and validated at the current stage, and Partial denotes a requirement that is partially completed and will be completed in CA3.</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Comparison of the included studies and the proposed framework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[59]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[65]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[60]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[62]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[63]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[64]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[61]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[50] Soohoo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[51]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[57]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[58] Wu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Proposed framework (HALAH)</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[23] and [29], and five studies fully satisfy none. Third, Req 1 with Req 4 is the most frequent pair, in seven studies, whereas Req 2 and Req 4 never co-occur in full. Req 3 co-occurs with Req 4 only in [25], whose threshold lies outside the policy predicate and whose policy carries no purpose term. Similarly, Req 3 co-occurs with Req 6 only in [62, 63].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 Rather, it lies in establishing an explicit conceptual relationship among them. The consent object C carries the identity, authority, threshold, policy, temporal, and lifecycle conditions together, so that their relationship is verifiable. The final row of Table 1 positions the proposed framework relative to the existing literature. The conjunction is formally specified and validated through allow-and-deny test cases and attack cases, whereas its formal verification and the remaining lifecycle extensions of RQ5 are reserved for CA3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while for Req 6, formal assurance is provided by 4 studies, argued informally by 9, and absent in 12.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Read on their own, the background surveys cited in Sections 1 and 2 suggest that multi-party authorisation of patient consent does not exist, although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Existing literature provides useful foundations for collaborative governance and multi-party verification.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38450"/>
            <wp:effectExtent t="0" r="0" b="0" l="0"/>
            <wp:docPr id="1" name="F5.png" descr="Synthesis of the review: the conjunction gap and the assurance gap addressed by the proposed framework, with the number of the 25 analysed studies ⟦r⟧graded Yes for each requirement in Table 1⟦/r⟧" title="Synthesis of the review: the conjunction gap and the assurance gap addressed by the proposed framework, with the number of the 25 analysed studies ⟦r⟧graded Yes for each requirement in Table 1⟦/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384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color w:val="FF0000"/>
          <w:sz w:val="18"/>
          <w:szCs w:val="18"/>
        </w:rPr>
        <w:t xml:space="preserve">graded Yes for each requirement in Table 1</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The saturation rule and a single coding panel mean that a small number of relevant studies may have been missed. The consistency between the coding of the included studies and the signal prevalence of the wider pool limits, but does not remove, this risk.</w:t>
      </w: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[21, 25, 29, 32, 66] do not make multi-party approval a standing condition of that decision, and they do not assure the conjunction formally or empirically.</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Existing consent-oriented approaches tend to treat consent primarily as a record of a patient’s permission [52, 53, 67]. Once the permission has been created and stored, subsequent access control may depend predominantly on the existence of the consent record and the successful authentication of the requester. Even the evaluable consent objects reported since 2020 [21, 24, 28, 48, 66]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 A blockchain may provide an immutable representation of a consent event [10, 18], but immutability does not establish the legitimacy of the entities involved in that event. Similarly, a valid decentralised identity can establish who a participant is [16],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multi-party approval is never conjoined with a purpose or data-scope condition [23, 25, 26]. Consequently, trust cannot be attributed to any individual mechanism in isolation. From a Trust Computing perspective, trustworthy access should be understood as an outcome of the coordinated satisfaction of multiple independently verifiable conditions.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[25, 58, 62], or appointed by the patient [26, 63]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and authority is rarely verified separately from authentication.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The six questions collectively establish a progression from consent modelling to formal security assurance and empirical validation.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requires the Groth16 ZK proof to verify,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objective is to establish not only that the prototype can execute valid consent workflows, but also that it behaves correctly when one or more trust conditions are violated.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This correspondence ensures that every research question is addressed by a clearly defined research activity and that each objective contributes to the overall development of the proposed trust-oriented authorisation framework. RO1 to RO4 are delivered in CA2,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476625"/>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766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title="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[16]. Importantly, the framework explicitly separates identity authentication from authorisation. A successfully verified DID or VC does not, by itself, grant permission to access patient data. The framework then collects their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successfully verified approvals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38425"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384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authorisation evidence set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For a guardian approval, the authority in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is membership of G, and each member of G is counted once.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[23], a witness or notary threshold [26], a registration-time co-consent [27, 60], an institution-side admission gate [58], a custodial M-of-N signature [25], or a key-share reconstruction [59, 63].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The flow continues through patient-initiated revocation and the corresponding on-chain revoke transaction, after which the auditor reviews the record and the verification tool performs an independent verification. If the required threshold is not satisfied, the authorisation process terminates with a denial decision.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2.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 This design transforms multi-party consent management from a conventional record-management problem into a distributed security-governance problem. The evaluable consent object as such is already present in the literature [21, 24, 28, 48].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[10, 18]. The detailed solutions for RQ1 to RQ6 are presented in Sections 6 to 11, and the formal assurance of the complete decision model remains for CA3.</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419350"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193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 Unlike the consent objects reported in the literature [21, 24, 28, 48, 66],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If a guardian or proxy is specified, the system validates the guardian set G.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Validate guardian set G</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sz w:val="19"/>
          <w:szCs w:val="19"/>
        </w:rPr>
        <w:t xml:space="preserve">Validate purpose P</w:t>
      </w:r>
      <w:r>
        <w:rPr>
          <w:rFonts w:ascii="Times New Roman" w:cs="Times New Roman" w:eastAsia="Times New Roman" w:hAnsi="Times New Roman"/>
          <w:sz w:val="19"/>
          <w:szCs w:val="19"/>
          <w:vertAlign w:val="subscript"/>
        </w:rPr>
        <w:t xml:space="preserve">u</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Validate data scope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The main contribution of RO1 is the transformation of consent from a static permission record into a structured authorisation object. The current result demonstrates that consent can be represented as an evaluable authorisation object rather than as a binary permission.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itle="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The purpose of this comparison is to ensure that possession of a valid identity or credential is not automatically interpreted as permission to access healthcare information. The system establishes the binding between the verified participant identity and the corresponding authority, thereby reducing the possibility of an unrelated credential being used to obtain access. Consequently, the procedure can be interpreted as a two-layer verification mechanism Identity(u) ∧ CredentialValidity(u)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have demonstrated the potential to strengthen the process through which identity claims are established or validated [40, 41].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300037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003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belongs to the required participant set G (u ∈ G).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 threshold N =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is not in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 shown in the interface in the prototype</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For example, where two approvals are required and the consent has not been revoked, Equation (12), whereas Equation (13).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Suppose that a consent permits access to the following healthcare data categories Equation (17), and a healthcare professional subsequently requests Equation (18).</w:t>
      </w:r>
    </w:p>
    <w:p>
      <w:pPr>
        <w:keepNext/>
        <w:spacing w:after="60" w:before="160"/>
        <w:jc w:val="center"/>
      </w:pPr>
      <w:r>
        <w:drawing>
          <wp:inline distT="0" distB="0" distL="0" distR="0">
            <wp:extent cx="2352675" cy="428625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3526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If any mandatory condition fails during the evaluation process, the system records the corresponding denial evidence and returns DENY.</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This ordering is important because it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generates and verifies the evidence supporting the access decision as a Groth16 zero-knowledge proof. The proof shows that the prover knows the secret and the expiry time behind a Poseidon commitment held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is particularly important because a framework should not only demonstrate that legitimate requests succeed, but also demonstrate resilience against foreseeable attempts to bypass its security controls.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was originally planned for CA3 because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Trustworthy authorisation is inherently dynamic.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where Jur(·) is the on-chain two-letter ISO code.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As in Section 5.2, lifecycle state and revocation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 In particular,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Rather than treating authorisation as a one-time event, this approach enables the system to determine whether authorisation remains valid at the precise time an operation is requested.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609725"/>
            <wp:effectExtent t="0" r="0" b="0" l="0"/>
            <wp:docPr id="1" name="F35.png" descr="Implemented consent lifecycle: solid transitions are recorded in the audit ledger, red transitions are anchored as Sepolia transactions and dashed transitions show revocation from any state that is not already REVOKED" title="Implemented consent lifecycle: solid transitions are recorded in the audit ledger, red transitions are anchored as Sepolia transactions and dashed transitions show revocation from any state that is not already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6097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solid transitions are recorded in the audit ledger, red transitions are anchored as Sepolia transactions and dashed transitions show revocation from any state that is not already REVOKED.</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Five elements remain for CA3.</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CA3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records an unauthorised state-transition event and returns INVALID, but this is the only step not yet implemented. It therefore ensures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This work will constitute a major component of CA3. The major CA3 activities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will be conducted as part of CA3.</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The formal and empirical components are complementary.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This procedure establishes a distinction between functional correctness and security correctness.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predicate of Section 10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The SBT, a soulbound ERC-721 token whose transfer between accounts is blocked,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The creation, approval, and granted-access screens were captured from a second lifecycle, 04da25f5, which used the same code, contract, and configuration and was anchored as token #2.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The public anchoring of the evaluated consent in block 11,771,243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457575"/>
            <wp:effectExtent t="0" r="0" b="0" l="0"/>
            <wp:docPr id="1" name="F27.png" descr="Doctor subsystem with requester jurisdiction AU: all five checks pass" title="Doctor subsystem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with requester jurisdiction AU: all five checks pass.</w:t>
      </w:r>
    </w:p>
    <w:p>
      <w:pPr>
        <w:keepNext/>
        <w:spacing w:after="60" w:before="160"/>
        <w:jc w:val="center"/>
      </w:pPr>
      <w:r>
        <w:drawing>
          <wp:inline distT="0" distB="0" distL="0" distR="0">
            <wp:extent cx="3352800" cy="3810000"/>
            <wp:effectExtent t="0" r="0" b="0" l="0"/>
            <wp:docPr id="1" name="F29.png" descr="Doctor subsystem after verification: access granted and records displayed per EMR module" title="Doctor subsystem after verification: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access granted and records displayed per EMR module.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system verifies that the consent has not been revoked or otherwise transitioned into an inactive state.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4476750" cy="2266950"/>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669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compares the on-chain revocation state of each token with the local state, with the result shown in Figure 22.</w:t>
      </w:r>
    </w:p>
    <w:p>
      <w:pPr>
        <w:keepNext/>
        <w:spacing w:after="60" w:before="160"/>
        <w:jc w:val="center"/>
      </w:pPr>
      <w:r>
        <w:drawing>
          <wp:inline distT="0" distB="0" distL="0" distR="0">
            <wp:extent cx="4476750" cy="2400300"/>
            <wp:effectExtent t="0" r="0" b="0" l="0"/>
            <wp:docPr id="1" name="F39.png" descr="Auditor subsystem: aggregate indicators and the audit ledger rows of the evaluated consent" title="Auditor subsystem: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76750" cy="2400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aggregate indicators and the audit ledger rows of the evaluated consent.</w:t>
      </w:r>
    </w:p>
    <w:p>
      <w:pPr>
        <w:keepNext/>
        <w:spacing w:after="60" w:before="160"/>
        <w:jc w:val="center"/>
      </w:pPr>
      <w:r>
        <w:drawing>
          <wp:inline distT="0" distB="0" distL="0" distR="0">
            <wp:extent cx="4476750" cy="2581275"/>
            <wp:effectExtent t="0" r="0" b="0" l="0"/>
            <wp:docPr id="1" name="F40.png" descr="Independent verification against Sepolia: RESULT: ALL CHECKS PASSED" title="Independent verification against Sepolia: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25812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RESULT: ALL CHECKS PASSED.</w:t>
      </w:r>
    </w:p>
    <w:p>
      <w:pPr>
        <w:spacing w:after="110" w:line="264"/>
        <w:jc w:val="both"/>
      </w:pPr>
      <w:r>
        <w:rPr>
          <w:rFonts w:ascii="Times New Roman" w:cs="Times New Roman" w:eastAsia="Times New Roman" w:hAnsi="Times New Roman"/>
          <w:sz w:val="22"/>
          <w:szCs w:val="22"/>
        </w:rPr>
        <w:t xml:space="preserve">Table 3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guardian identities and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4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5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 In each of the six logged evaluations, the recorded audit evidence is consistent with the actual authorisation decision. Consequently, validation does not merely determine whether the final output is ALLOW or DENY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it also determines whether the underlying evidence is consistent with the decision.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6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Processing time of the decision components, measured in the development container used for the demonstration, with the anchoring confirmation taken from Table 4</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itle="Processing time of the decision components on a logarithmic axis (median and minimum to maxi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the security properties that it is intended to evaluate.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7 and Figure 25 record whether each scenario has passed or failed. Before the hardening, three attacks, A1, A3, and A5, were accepted when the service functions were called directly. This confirms that a system may be conceptually correct but incorrectly implemented, or may pass functional tests while failing under invalid or adversarial conditions. Any failed scenario is analysed to determine the source and significance of the failure. The purpose of this analysis is not to conceal unsuccessful cases but to determine whether observed failures represent violations of the intended security properties or limitations that should be addressed in future work.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Remaining Work for CA3</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CA3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CA3 will extend the current prototype-based evaluation to include both successful and adversarial access requests. The twelve attack scenarios will be extended to larger sets of positive, negative, and adversarial scenarios, and enforcement accuracy will be reported over this extended set.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sz w:val="22"/>
          <w:szCs w:val="22"/>
        </w:rPr>
        <w:t xml:space="preserve">CA3 will address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8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identify as remaining for CA3. RO5 and RO6 constitute the principal research agenda for CA3.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9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Research plan: previous and coming tasks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CA3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will build upon the foundational trust-oriented authorisation framework established during current stage and extend the research towards dynamic consent governance, formal security assurance, and comprehensive empirical validation.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10.</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Next Stage Research Activities, Methodological Focus, and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Abdul Ghafoor, Iraklis Symeonidis, Anna Rydberg, Cecilia Lindahl, and Abdul Qadus Abbasi. Towards empowering stakeholders through decentralized trust and secure livestock data sharing. Cryptography, 9(3):52, 2025.</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Richard K. Lomotey, Sandra Kumi, and Ralph Deters. Data trusts as a service: Providing a platform for multi-party data sharing. International Journal of Information Management Data Insights, 2(1):100075,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Thanh Linh Nguyen, Lam Nguyen, Thong Hoang, Dilum Bandara, Qin Wang, Qinghua Lu, Xiwei Xu, Liming Zhu, and Shiping Chen. Blockchain-empowered trustworthy data sharing: Fundamentals, applications, and challenges. ACM Computing Surveys, 57(8):1–36,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Emily C. Webber, David Brick, James P. Scibilia, Peter Dehnel, Council on Clinical Information Technology, et al. Electronic communication of the health record and information with pediatric patients and their guardians. Pediatrics, 144(1):e20191359, 2019.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Cindy Welzel, Max Ostermann, Hannah Louise Smith, Timo Minssen, Toralf Kirsten, and Stephen Gilbert. Enabling secure and self determined health data sharing and consent management. npj Digital Medicine, 8(1):560, 2025.</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Minal R. Narkhede, Nilesh I. Wankhede, and Akanksha M. Kamble. Enhancing patient autonomy in data ownership: Privacy models and consent frameworks for healthcare. Journal of Digital Health, 4(1):1–23, 2025.</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Roy McClelland and Colin M. Harper. Information privacy in healthcare: The vital role of informed consent. European Journal of Health Law, 30(4):469–480, 2023.</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Katya Kaplow, Max Downey, Darren Stewart, Allan B. Massie, Jennifer D. Motter, Lauren Taylor, John Massarelli, Taylor Matalon, Carolyn Sidoti, Macey L. Levan, et al. Data professionals’ attitudes on data privacy, sharing, and consent in healthcare and research. Digital Health, 10:20552076241290964, 2024.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Aleena Nazir, Mubashir Husain Rehmani, Bernard Butler, and Donna O’Shea. Access control in healthcare IoT: A comprehensive survey. Engineering Reports, 8(4):e70766,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Ahmed M. Tawfik, Ayman Al-Ahwal, Adly S. Tag Eldien, and Hala H. Zayed. Blockchain-based access control and privacy preservation in healthcare: A comprehensive survey. Cluster Computing, 28(8):529,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BMC Nursing, 23(1):564,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Leonidas Theodorakopoulos, Alexandra Theodoropoulou, and Constantinos Halkiopoulos. Enhancing decentralized decision-making with big data and blockchain technology: A comprehensive review. Applied Sciences, 14(16):7007,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Abdullah Al Mamun, Sami Azam, and Clementine Gritti. Blockchain-based electronic health records management: A comprehensive review and future research direction. IEEE Access, 10:5768–5789, 2022.</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Remy Hellstern, Daniel C. Park, Victoria Lemieux, and Guldana Salimjan. Leveraging blockchain-based archival solutions for sensitive documentation: A Xinjiang case study. Digital Society, 1(1):4, 2022.</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Lanlan Li, Charles Z. Liu, and Sanjeeb Shrestha. Analytical entropy approach for measuring blockchain immutability and tamper-resilient trust. Entropy, 28(6):690,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Carlo Mazzocca, Abbas Acar, Selcuk Uluagac, Rebecca Montanari, Paolo Bellavista, and Mauro Conti. A survey on decentralized identifiers and verifiable credentials. IEEE Communications Surveys &amp; Tutorials, 27:3641–3671,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Andrea Flamini, Giada Sciarretta, Mario Scuro, Amir Sharif, Alessandro Tomasi, and Silvio Ranise. On cryptographic mechanisms for the selective disclosure of verifiable credentials. Journal of Information Security and Applications, 83:103789,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Deva Priya Isravel, K. Martin Sagayam, Bharat Bhushan, Yuichi Sei, and Jennifer Eunice. Blockchain for healthcare systems: Architecture, security challenges, trends and future directions. Journal of Network and Computer Applications, 215:103633, 2023.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Muhammad Irfan Khalid, Mansoor Ahmed, Markus Helfert, and Jungsuk Kim. Privacy-first paradigm for dynamic consent management systems: empowering data subjects through decentralized data controllers and privacy-preserving techniques. Electronics, 12(24):4973, 2023.</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Vitor Jesus and Harshvardhan J. Pandit. Consent receipts for a usable and auditable web of personal data. IEEE Access, 10:28545–28563, 2022.</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N.S. Gill, D. Kaushik, N. Alduaiji, P.K. Shukla, et al. An access control system for cloud-based healthcare systems driven by blockchain. Journal of Cloud Computing,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D.P. Panagoulias, A.I. Damian, C. Stamate, V. Toderian, P. Butusina, A. De Franceschi, et al. Blockchain-Enabled Trust and Compliance for Clinical AI: Decentralized Governance Without Decentralized Data Storage. Electronics,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Behnam Khayer, Siamak Mirzaei, Hooman Alavizadeh, and Ahmad Salehi Shahraki. Blockchain for secure IoT: A review of identity management, access control, and trust mechanisms. IoT, 6(4):65, 2025.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2025 IEEE International Conference on Distributed Ledger Technologies (ICDLT),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Lanlan Li, Charles Z. Liu, Kejia Huang, Ruiyi Deng, Majed Abdullah Alrowaily, Mansoor Alghamdi, Ibrahim S. Alkhazi, and Malek Alrashidi. Trust-aware environmental state consensus for smart agriculture with TEE-enabled sensing and Byzantine-resilient blockchain coordination. Sensors, 26(14):4577, 2026.</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Jason Walonoski, Mark Kramer, Joseph Nichols, Andre Quina, Chris Moesel, Dylan Hall, Carlton Duffett, Kudakwashe Dube, Thomas Gallagher, and Scott McLachlan.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Alexander Kharlamov, Roland Hohmann, and Glenn Parry. Data sharing decisions: perceptions and intentions in healthcare. Strategic Change, 32(6):223–237,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Pranto Kumar Ghosh, Arindom Chakraborty, Mehedi Hasan, Khalid Rashid, and Abdul Hasib Siddique. Blockchain application in healthcare systems: A review. Systems, 11(1):38,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Mohammad Salar Arbabi, Chhagan Lal, Narasimha Raghavan Veeraragavan, Dusica Marijan, Jan F. Nygård, and Roman Vitenberg. A survey on blockchain for healthcare: Challenges, benefits, and future directions. IEEE Communications Surveys &amp; Tutorials, 25(1):386–424,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Jie Yin, Yang Xiao, Qian Chen, Xuefeng Liu, Qingqi Pei, Jianying Zhou, et al. DP-DID: A dynamic and proactive decentralized identity system. IEEE Transactions on Information Forensics and Security, 20:4999–5014,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Haotian Deng, Jinwen Liang, Chuan Zhang, Ximeng Liu, Liehuang Zhu, and Song Guo. FutureDID: A fully decentralized identity system with multi-party verification. IEEE Transactions on Computers, 73(8):2051–2065, 2024.</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Chalima Dimitra Nassar Kyriakidou, Athanasia Maria Papathanasiou, and George C. Polyzos. Decentralized identity with applications to security and privacy for the internet of things. Computer Networks and Communications, 1(2):244–271, 2023.</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Rohini Poolat Parameswarath, Prosanta Gope, and Biplab Sikdar. User-empowered privacy-preserving authentication protocol for electric vehicle charging based on decentralized identity and verifiable credential. ACM Transactions on Management Information Systems, 13(4):1–21, 2022.</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Hongjian Yin, Yiming Zhao, Lei Zhang, Baojun Qiao, Wenbo Chen, and Huaqing Wang. Attribute-based searchable encryption with decentralized key management for healthcare data sharing. Journal of Systems Architecture, 148:103081, 2024.</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Rong Jiang, Xue Chen, Yimin Yu, Ying Zhang, and Weiping Ding. Risk and UCON-based access control model for healthcare big data. Journal of Big Data, 10(1):104,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Matthew J. Page, Joanne E. McKenzie, Patrick M. Bossuyt, Isabelle Boutron, Tammy C. Hoffmann, Cynthia D. Mulrow, et al. The PRISMA 2020 statement: an updated guideline for reporting systematic reviews. BMJ, 372:n71, 2021.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2025 International Conference on Electrical, Computer and Communication Engineering (ECCE),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M.S. Prashanth, R. Karnati, M.S. Velpuru, and H. Venkateshwara Reddy. Enhancing Health Record Security and Privacy with Blockchain-Based Access Management. Lecture Notes of the Institute for Computer Sciences, Social-Informatics and Telecommunications Engineering, LNICST,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A. Teeda and Y.V. Subba Rao. A Patient-Centric Blockchain Based Electronic Health Records for Data Privacy and Confidentiality. Lecture Notes in Networks and Systems,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ACM International Conference Proceeding Series,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J.C. Ferreira. A Blockchain-Based Architecture for Dynamic and Auditable Patient Consent in Secondary Use of Health Data. Blockchain in Healthcare Today,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C.-H. Tseng, Y.-H. Hsieh, H.-Y. Lin, and S.-M. Yuan. EMR-Chain: Decentralized Electronic Medical Record Exchange System. Technologies,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Lecture Notes in Networks and Systems, vol. 541, pages 3–14. Springer, 2023.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Hema S., Goli Bulli Sai Reddy, and Shalini R. Patient Centric Cryptographic Protection of Cloud Electronic Health Records. 2026 6th International Conference on Expert Clouds and Applications (ICOECA),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Proceedings of the International Conference on Security and Cryptography,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2026 3rd International Conference on Emerging Trends in Engineering and Medical Sciences (ICETEMS),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N.M. Sawant and J. Gomes. A Decentralized Solution for Smarter and Safer Healthcare Systems with FabricMedChain. Iranian Journal of Science and Technology, Transactions of Electrical Engineering, 2026. doi:10.1007/s40998-025-00994-0</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22df1687083c1aa86c90931669619b25666899b.png"/><Relationship Id="rId9" Type="http://schemas.openxmlformats.org/officeDocument/2006/relationships/image" Target="media/a6d5cbc4c29a5ba7ae40e4643094327da1a45063.png"/><Relationship Id="rId10" Type="http://schemas.openxmlformats.org/officeDocument/2006/relationships/image" Target="media/7f691d763dba86ee49b25518e490fe406bd1e793.png"/><Relationship Id="rId11" Type="http://schemas.openxmlformats.org/officeDocument/2006/relationships/image" Target="media/0fc1020c5f2d577fb45977f6ee9d775a5b66ce0a.png"/><Relationship Id="rId12" Type="http://schemas.openxmlformats.org/officeDocument/2006/relationships/image" Target="media/39225f74fe21ad7e7b7c1673918fe98415414719.png"/><Relationship Id="rId13" Type="http://schemas.openxmlformats.org/officeDocument/2006/relationships/image" Target="media/9becb05c4a6101f5d421517f324e978051b8cf09.png"/><Relationship Id="rId14" Type="http://schemas.openxmlformats.org/officeDocument/2006/relationships/image" Target="media/6f692c439de61f2c2064c85f12b2c7408b6da610.png"/><Relationship Id="rId15" Type="http://schemas.openxmlformats.org/officeDocument/2006/relationships/image" Target="media/efcb745b76bd75b54bf53f1c859df350299a2c6a.png"/><Relationship Id="rId16" Type="http://schemas.openxmlformats.org/officeDocument/2006/relationships/image" Target="media/11081a2422bebced6d030d22f0ebf13798832173.png"/><Relationship Id="rId17" Type="http://schemas.openxmlformats.org/officeDocument/2006/relationships/image" Target="media/cb3ff9df210f6ca37563bb96441f27f5987b686b.png"/><Relationship Id="rId18" Type="http://schemas.openxmlformats.org/officeDocument/2006/relationships/image" Target="media/70806ca075a018d1832052673cf0a8a54f10cc25.png"/><Relationship Id="rId19" Type="http://schemas.openxmlformats.org/officeDocument/2006/relationships/image" Target="media/4eba5d9267467f413da1872413e65d2897ea5f8d.png"/><Relationship Id="rId20" Type="http://schemas.openxmlformats.org/officeDocument/2006/relationships/image" Target="media/1a88f385ea18ee24f3143e2be805b94b95340d8c.png"/><Relationship Id="rId21" Type="http://schemas.openxmlformats.org/officeDocument/2006/relationships/image" Target="media/9d7e95eb43f6e9e653dbde9cb6afb2c4db7f0f36.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437d3b5dafb646c4afc365beb5e51e2de16280e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5d3d88fec89ad26a975f334cd92619aa2ce50806.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2026-10-03T11:28:05.221Z</dcterms:created>
  <dcterms:modified xsi:type="dcterms:W3CDTF">2026-10-03T11:28:05.222Z</dcterms:modified>
</cp:coreProperties>
</file>

<file path=docProps/custom.xml><?xml version="1.0" encoding="utf-8"?>
<Properties xmlns="http://schemas.openxmlformats.org/officeDocument/2006/custom-properties" xmlns:vt="http://schemas.openxmlformats.org/officeDocument/2006/docPropsVTypes"/>
</file>