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8.png" ContentType="image/png"/>
  <Override PartName="/word/media/rId132.png" ContentType="image/png"/>
  <Override PartName="/word/media/rId136.png" ContentType="image/png"/>
  <Override PartName="/word/media/rId139.png" ContentType="image/png"/>
  <Override PartName="/word/media/rId143.png" ContentType="image/png"/>
  <Override PartName="/word/media/rId16.png" ContentType="image/png"/>
  <Override PartName="/word/media/rId22.png" ContentType="image/png"/>
  <Override PartName="/word/media/rId58.png" ContentType="image/png"/>
  <Override PartName="/word/media/rId62.png" ContentType="image/png"/>
  <Override PartName="/word/media/rId69.png" ContentType="image/png"/>
  <Override PartName="/word/media/rId83.png" ContentType="image/png"/>
  <Override PartName="/word/media/rId91.png" ContentType="image/png"/>
  <Override PartName="/word/media/rId98.png" ContentType="image/png"/>
  <Override PartName="/word/media/rId104.png" ContentType="image/png"/>
  <Override PartName="/word/media/rId113.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[34].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[35]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[36]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tblHeader w:val="on"/>
        </w:trPr>
        <w:tc>
          <w:tcPr/>
          <w:p>
            <w:pPr>
              <w:pStyle w:val="Compact"/>
              <w:jc w:val="left"/>
            </w:pPr>
            <w:r>
              <w:rPr>
                <w:b/>
                <w:bCs/>
              </w:rPr>
              <w:t xml:space="preserve">Stage</w:t>
            </w:r>
          </w:p>
        </w:tc>
        <w:tc>
          <w:tcPr/>
          <w:p>
            <w:pPr>
              <w:pStyle w:val="Compact"/>
              <w:jc w:val="left"/>
            </w:pPr>
            <w:r>
              <w:rPr>
                <w:b/>
                <w:bCs/>
              </w:rPr>
              <w:t xml:space="preserve">Research Dimension</w:t>
            </w:r>
          </w:p>
        </w:tc>
        <w:tc>
          <w:tcPr/>
          <w:p>
            <w:pPr>
              <w:pStyle w:val="Compact"/>
              <w:jc w:val="left"/>
            </w:pPr>
            <w:r>
              <w:rPr>
                <w:b/>
                <w:bCs/>
              </w:rPr>
              <w:t xml:space="preserve">Purpose and Core Objective</w:t>
            </w:r>
          </w:p>
        </w:tc>
      </w:tr>
      <w:t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8"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8" w:name="systematic-literature-review-methodology"/>
    <w:p>
      <w:pPr>
        <w:pStyle w:val="Heading2"/>
      </w:pPr>
      <w:r>
        <w:t xml:space="preserve">2.2 Systematic Literature Review Methodology</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2.2.1–2.2.8, and the resulting study selection is summarised in Figure 2.</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2.2.8.</w:t>
      </w:r>
    </w:p>
    <w:bookmarkEnd w:id="14"/>
    <w:bookmarkStart w:id="15" w:name="questions-for-review"/>
    <w:p>
      <w:pPr>
        <w:pStyle w:val="Heading3"/>
      </w:pPr>
      <w:r>
        <w:t xml:space="preserve">2.2.2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[dd]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2.2.4.</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65445" cy="2819058"/>
            <wp:effectExtent b="0" l="0" r="0" t="0"/>
            <wp:docPr descr="Figure 2: PRISMA Study Selection Summary" title="" id="23" name="Picture"/>
            <a:graphic>
              <a:graphicData uri="http://schemas.openxmlformats.org/drawingml/2006/picture">
                <pic:pic>
                  <pic:nvPicPr>
                    <pic:cNvPr descr="media/fig02.png" id="24" name="Picture"/>
                    <pic:cNvPicPr>
                      <a:picLocks noChangeArrowheads="1" noChangeAspect="1"/>
                    </pic:cNvPicPr>
                  </pic:nvPicPr>
                  <pic:blipFill>
                    <a:blip r:embed="rId22"/>
                    <a:stretch>
                      <a:fillRect/>
                    </a:stretch>
                  </pic:blipFill>
                  <pic:spPr bwMode="auto">
                    <a:xfrm>
                      <a:off x="0" y="0"/>
                      <a:ext cx="5465445" cy="2819058"/>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BodyText"/>
      </w:pPr>
      <w:r>
        <w:t xml:space="preserve">Figure 2 presents the PRISMA flow diagram for this review, prepared following PRISMA 2020 [37], which summarises 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Start w:id="27" w:name="quality-assessment"/>
    <w:p>
      <w:pPr>
        <w:pStyle w:val="Heading3"/>
      </w:pPr>
      <w:r>
        <w:t xml:space="preserve">2.2.8 Quality Assessment</w:t>
      </w:r>
    </w:p>
    <w:p>
      <w:pPr>
        <w:pStyle w:val="FirstParagraph"/>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 The 125 records identified comprised IEEE Xplore [n], ACM Digital Library [n], ScienceDirect [n], SpringerLink [n], PubMed [n], Scopus [n] and Web of Science [n].</w:t>
      </w:r>
    </w:p>
    <w:bookmarkEnd w:id="27"/>
    <w:bookmarkEnd w:id="28"/>
    <w:bookmarkStart w:id="36" w:name="review"/>
    <w:p>
      <w:pPr>
        <w:pStyle w:val="Heading2"/>
      </w:pPr>
      <w:r>
        <w:t xml:space="preserve">2.3 Review</w:t>
      </w:r>
    </w:p>
    <w:p>
      <w:pPr>
        <w:pStyle w:val="FirstParagraph"/>
      </w:pPr>
      <w:r>
        <w:t xml:space="preserve">This section analyses each of the research streams introduced in Section 2.1 in turn.</w:t>
      </w:r>
    </w:p>
    <w:bookmarkStart w:id="29"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9"/>
    <w:bookmarkStart w:id="30"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30"/>
    <w:bookmarkStart w:id="31"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1"/>
    <w:bookmarkStart w:id="32"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2"/>
    <w:bookmarkStart w:id="33"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w:r>
        <w:t xml:space="preserve"> </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w:r>
        <w:t xml:space="preserve"> </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3"/>
    <w:bookmarkStart w:id="34"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4"/>
    <w:bookmarkStart w:id="35"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tblHeader w:val="on"/>
        </w:trPr>
        <w:tc>
          <w:tcPr/>
          <w:p>
            <w:pPr>
              <w:pStyle w:val="Compact"/>
              <w:jc w:val="left"/>
            </w:pPr>
            <w:r>
              <w:rPr>
                <w:b/>
                <w:bCs/>
              </w:rPr>
              <w:t xml:space="preserve">Research Stream</w:t>
            </w:r>
          </w:p>
        </w:tc>
        <w:tc>
          <w:tcPr/>
          <w:p>
            <w:pPr>
              <w:pStyle w:val="Compact"/>
              <w:jc w:val="left"/>
            </w:pPr>
            <w:r>
              <w:rPr>
                <w:b/>
                <w:bCs/>
              </w:rPr>
              <w:t xml:space="preserve">Primary Contribution</w:t>
            </w:r>
          </w:p>
        </w:tc>
        <w:tc>
          <w:tcPr/>
          <w:p>
            <w:pPr>
              <w:pStyle w:val="Compact"/>
              <w:jc w:val="left"/>
            </w:pPr>
            <w:r>
              <w:rPr>
                <w:b/>
                <w:bCs/>
              </w:rPr>
              <w:t xml:space="preserve">Main Limitation for Authorisation</w:t>
            </w:r>
          </w:p>
        </w:tc>
        <w:tc>
          <w:tcPr/>
          <w:p>
            <w:pPr>
              <w:pStyle w:val="Compact"/>
              <w:jc w:val="left"/>
            </w:pPr>
            <w:r>
              <w:rPr>
                <w:b/>
                <w:bCs/>
              </w:rPr>
              <w:t xml:space="preserve">Representative References</w:t>
            </w:r>
          </w:p>
        </w:tc>
      </w:tr>
      <w:t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[31, 22, 14, 24, 12, 13, 10]</w:t>
            </w:r>
          </w:p>
        </w:tc>
      </w:tr>
      <w:t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7, 3, 30, 26, 8, 29]</w:t>
            </w:r>
          </w:p>
        </w:tc>
      </w:tr>
      <w:t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[20, 33, 4, 16, 27, 5]</w:t>
            </w:r>
          </w:p>
        </w:tc>
      </w:tr>
      <w:t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[19, 4, 21, 9]</w:t>
            </w:r>
          </w:p>
        </w:tc>
      </w:tr>
      <w:t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[32, 11, 28, 25]</w:t>
            </w:r>
          </w:p>
        </w:tc>
      </w:tr>
      <w:t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[23, 17, 18]</w:t>
            </w:r>
          </w:p>
        </w:tc>
      </w:tr>
      <w:t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End w:id="38"/>
    <w:bookmarkStart w:id="49" w:name="research-gaps-and-questions"/>
    <w:p>
      <w:pPr>
        <w:pStyle w:val="Heading1"/>
      </w:pPr>
      <w:r>
        <w:t xml:space="preserve">3 Research Gaps and Questions</w:t>
      </w:r>
    </w:p>
    <w:bookmarkStart w:id="39"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9"/>
    <w:bookmarkStart w:id="40"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0"/>
    <w:bookmarkStart w:id="47"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1"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1"/>
    <w:bookmarkStart w:id="42"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2"/>
    <w:bookmarkStart w:id="43"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3"/>
    <w:bookmarkStart w:id="44"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 </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4"/>
    <w:bookmarkStart w:id="45"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5"/>
    <w:bookmarkStart w:id="46"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[38]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6"/>
    <w:bookmarkEnd w:id="47"/>
    <w:bookmarkStart w:id="48"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 </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8"/>
    <w:bookmarkEnd w:id="49"/>
    <w:bookmarkStart w:id="57"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 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 program.</w:t>
      </w:r>
    </w:p>
    <w:bookmarkStart w:id="50"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0"/>
    <w:bookmarkStart w:id="51"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1"/>
    <w:bookmarkStart w:id="52"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2"/>
    <w:bookmarkStart w:id="53"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3"/>
    <w:bookmarkStart w:id="54"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 program. It will investigate how temporal and lifecycle conditions can be incorporated into the authorisation decision without weakening the trust relationships established by the current stage mechanisms.</w:t>
      </w:r>
    </w:p>
    <w:bookmarkEnd w:id="54"/>
    <w:bookmarkStart w:id="55"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55"/>
    <w:bookmarkStart w:id="56"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3 and Table 4. The mapping follows the structure of the research program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tblHeader w:val="on"/>
        </w:trPr>
        <w:tc>
          <w:tcPr/>
          <w:p>
            <w:pPr>
              <w:pStyle w:val="Compact"/>
              <w:jc w:val="left"/>
            </w:pPr>
            <w:r>
              <w:rPr>
                <w:b/>
                <w:bCs/>
              </w:rPr>
              <w:t xml:space="preserve">SRQ</w:t>
            </w:r>
          </w:p>
        </w:tc>
        <w:tc>
          <w:tcPr/>
          <w:p>
            <w:pPr>
              <w:pStyle w:val="Compact"/>
              <w:jc w:val="left"/>
            </w:pPr>
            <w:r>
              <w:rPr>
                <w:b/>
                <w:bCs/>
              </w:rPr>
              <w:t xml:space="preserve">Research Objective</w:t>
            </w:r>
          </w:p>
        </w:tc>
        <w:tc>
          <w:tcPr/>
          <w:p>
            <w:pPr>
              <w:pStyle w:val="Compact"/>
              <w:jc w:val="left"/>
            </w:pPr>
            <w:r>
              <w:rPr>
                <w:b/>
                <w:bCs/>
              </w:rPr>
              <w:t xml:space="preserve">Research Focus and Scope</w:t>
            </w:r>
          </w:p>
        </w:tc>
        <w:tc>
          <w:tcPr/>
          <w:p>
            <w:pPr>
              <w:pStyle w:val="Compact"/>
              <w:jc w:val="left"/>
            </w:pPr>
            <w:r>
              <w:rPr>
                <w:b/>
                <w:bCs/>
              </w:rPr>
              <w:t xml:space="preserve">Thesis</w:t>
            </w:r>
          </w:p>
        </w:tc>
      </w:tr>
      <w:t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 Thesis Chapters (continued: RQ4 current stage; RQ5–RQ6 CA3)</w:t>
      </w:r>
    </w:p>
    <w:tbl>
      <w:tblPr>
        <w:tblStyle w:val="Table"/>
        <w:tblW w:type="pct" w:w="5000"/>
        <w:tblLayout w:type="fixed"/>
        <w:tblLook w:firstRow="1" w:lastRow="0" w:firstColumn="0" w:lastColumn="0" w:noHBand="0" w:noVBand="0" w:val="0020"/>
        <w:tblCaption w:val="Table 4: Research Questions, Research Objectives, and Thesis Chapters (continued: RQ4 current stage; RQ5–RQ6 CA3)"/>
      </w:tblPr>
      <w:tblGrid>
        <w:gridCol w:w="770"/>
        <w:gridCol w:w="2090"/>
        <w:gridCol w:w="3960"/>
        <w:gridCol w:w="1100"/>
      </w:tblGrid>
      <w:tr>
        <w:trPr>
          <w:tblHeader w:val="on"/>
        </w:trPr>
        <w:tc>
          <w:tcPr/>
          <w:p>
            <w:pPr>
              <w:pStyle w:val="Compact"/>
              <w:jc w:val="left"/>
            </w:pPr>
            <w:r>
              <w:rPr>
                <w:b/>
                <w:bCs/>
              </w:rPr>
              <w:t xml:space="preserve">SRQ</w:t>
            </w:r>
          </w:p>
        </w:tc>
        <w:tc>
          <w:tcPr/>
          <w:p>
            <w:pPr>
              <w:pStyle w:val="Compact"/>
              <w:jc w:val="left"/>
            </w:pPr>
            <w:r>
              <w:rPr>
                <w:b/>
                <w:bCs/>
              </w:rPr>
              <w:t xml:space="preserve">Research Objective</w:t>
            </w:r>
          </w:p>
        </w:tc>
        <w:tc>
          <w:tcPr/>
          <w:p>
            <w:pPr>
              <w:pStyle w:val="Compact"/>
              <w:jc w:val="left"/>
            </w:pPr>
            <w:r>
              <w:rPr>
                <w:b/>
                <w:bCs/>
              </w:rPr>
              <w:t xml:space="preserve">Research Focus and Scope</w:t>
            </w:r>
          </w:p>
        </w:tc>
        <w:tc>
          <w:tcPr/>
          <w:p>
            <w:pPr>
              <w:pStyle w:val="Compact"/>
              <w:jc w:val="left"/>
            </w:pPr>
            <w:r>
              <w:rPr>
                <w:b/>
                <w:bCs/>
              </w:rPr>
              <w:t xml:space="preserve">Thesis</w:t>
            </w:r>
          </w:p>
        </w:tc>
      </w:tr>
      <w:t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r>
        <w:t xml:space="preserve"> </w:t>
      </w:r>
      <w:r>
        <w:t xml:space="preserve"> </w:t>
      </w:r>
      <w:r>
        <w:t xml:space="preserve"> </w:t>
      </w: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r>
        <w:t xml:space="preserve"> </w:t>
      </w:r>
      <w:r>
        <w:t xml:space="preserve"> </w:t>
      </w:r>
      <w:r>
        <w:t xml:space="preserve"> </w:t>
      </w: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6"/>
    <w:bookmarkEnd w:id="57"/>
    <w:bookmarkStart w:id="82"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68"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65445" cy="3378365"/>
            <wp:effectExtent b="0" l="0" r="0" t="0"/>
            <wp:docPr descr="Figure 3: Layered MVC Architecture and Component Decomposition of the HALAH Framework" title="" id="59" name="Picture"/>
            <a:graphic>
              <a:graphicData uri="http://schemas.openxmlformats.org/drawingml/2006/picture">
                <pic:pic>
                  <pic:nvPicPr>
                    <pic:cNvPr descr="media/fig03.png" id="60" name="Picture"/>
                    <pic:cNvPicPr>
                      <a:picLocks noChangeArrowheads="1" noChangeAspect="1"/>
                    </pic:cNvPicPr>
                  </pic:nvPicPr>
                  <pic:blipFill>
                    <a:blip r:embed="rId58"/>
                    <a:stretch>
                      <a:fillRect/>
                    </a:stretch>
                  </pic:blipFill>
                  <pic:spPr bwMode="auto">
                    <a:xfrm>
                      <a:off x="0" y="0"/>
                      <a:ext cx="5465445" cy="3378365"/>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bookmarkStart w:id="61"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1"/>
    <w:bookmarkStart w:id="65"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4.</w:t>
      </w:r>
    </w:p>
    <w:p>
      <w:pPr>
        <w:pStyle w:val="BodyText"/>
      </w:pPr>
      <w:r>
        <w:t xml:space="preserve">Figure 4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 </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BodyText"/>
      </w:pPr>
      <w:r>
        <w:t xml:space="preserve"> </w:t>
      </w:r>
    </w:p>
    <w:p>
      <w:pPr>
        <w:pStyle w:val="CaptionedFigure"/>
      </w:pPr>
      <w:r>
        <w:drawing>
          <wp:inline>
            <wp:extent cx="3043824" cy="7519791"/>
            <wp:effectExtent b="0" l="0" r="0" t="0"/>
            <wp:docPr descr="Figure 4: Trust Predicate Evaluation and Authorisation Decision Flow" title="" id="63" name="Picture"/>
            <a:graphic>
              <a:graphicData uri="http://schemas.openxmlformats.org/drawingml/2006/picture">
                <pic:pic>
                  <pic:nvPicPr>
                    <pic:cNvPr descr="media/fig05.png" id="64" name="Picture"/>
                    <pic:cNvPicPr>
                      <a:picLocks noChangeArrowheads="1" noChangeAspect="1"/>
                    </pic:cNvPicPr>
                  </pic:nvPicPr>
                  <pic:blipFill>
                    <a:blip r:embed="rId62"/>
                    <a:stretch>
                      <a:fillRect/>
                    </a:stretch>
                  </pic:blipFill>
                  <pic:spPr bwMode="auto">
                    <a:xfrm>
                      <a:off x="0" y="0"/>
                      <a:ext cx="3043824" cy="7519791"/>
                    </a:xfrm>
                    <a:prstGeom prst="rect">
                      <a:avLst/>
                    </a:prstGeom>
                    <a:noFill/>
                    <a:ln w="9525">
                      <a:noFill/>
                      <a:headEnd/>
                      <a:tailEnd/>
                    </a:ln>
                  </pic:spPr>
                </pic:pic>
              </a:graphicData>
            </a:graphic>
          </wp:inline>
        </w:drawing>
      </w:r>
    </w:p>
    <w:p>
      <w:pPr>
        <w:pStyle w:val="ImageCaption"/>
      </w:pPr>
      <w:r>
        <w:t xml:space="preserve">Figure 4: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5"/>
    <w:bookmarkStart w:id="66"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6"/>
    <w:bookmarkStart w:id="67"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67"/>
    <w:bookmarkEnd w:id="68"/>
    <w:bookmarkStart w:id="72" w:name="X558a2b42e7f558743af400a9676e37558071ee0"/>
    <w:p>
      <w:pPr>
        <w:pStyle w:val="Heading2"/>
      </w:pPr>
      <w:r>
        <w:t xml:space="preserve">5.2 Trust-Oriented Consent Authorisation Workflow</w:t>
      </w:r>
    </w:p>
    <w:p>
      <w:pPr>
        <w:pStyle w:val="FirstParagraph"/>
      </w:pPr>
      <w:r>
        <w:t xml:space="preserve">Figure 5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2434224" cy="7686805"/>
            <wp:effectExtent b="0" l="0" r="0" t="0"/>
            <wp:docPr descr="Figure 5: End-to-End Workflow of Trust-Oriented Consent Authorisation Framework" title="" id="70" name="Picture"/>
            <a:graphic>
              <a:graphicData uri="http://schemas.openxmlformats.org/drawingml/2006/picture">
                <pic:pic>
                  <pic:nvPicPr>
                    <pic:cNvPr descr="media/fig06.png" id="71" name="Picture"/>
                    <pic:cNvPicPr>
                      <a:picLocks noChangeArrowheads="1" noChangeAspect="1"/>
                    </pic:cNvPicPr>
                  </pic:nvPicPr>
                  <pic:blipFill>
                    <a:blip r:embed="rId69"/>
                    <a:stretch>
                      <a:fillRect/>
                    </a:stretch>
                  </pic:blipFill>
                  <pic:spPr bwMode="auto">
                    <a:xfrm>
                      <a:off x="0" y="0"/>
                      <a:ext cx="2434224" cy="7686805"/>
                    </a:xfrm>
                    <a:prstGeom prst="rect">
                      <a:avLst/>
                    </a:prstGeom>
                    <a:noFill/>
                    <a:ln w="9525">
                      <a:noFill/>
                      <a:headEnd/>
                      <a:tailEnd/>
                    </a:ln>
                  </pic:spPr>
                </pic:pic>
              </a:graphicData>
            </a:graphic>
          </wp:inline>
        </w:drawing>
      </w:r>
    </w:p>
    <w:p>
      <w:pPr>
        <w:pStyle w:val="ImageCaption"/>
      </w:pPr>
      <w:r>
        <w:t xml:space="preserve">Figure 5: End-to-End Workflow of Trust-Oriented Consent Authorisation Framework</w:t>
      </w:r>
    </w:p>
    <w:p>
      <w:pPr>
        <w:pStyle w:val="BodyText"/>
      </w:pPr>
      <w:r>
        <w:t xml:space="preserve"> </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 </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 For the current stage scope of the proposed framework, the decision is given by Eq. (6),</w:t>
      </w:r>
      <w:r>
        <w:t xml:space="preserve"> </w:t>
      </w:r>
      <w:r>
        <w:t xml:space="preserve"> </w:t>
      </w:r>
      <w:r>
        <w:t xml:space="preserve"> </w:t>
      </w: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72"/>
    <w:bookmarkStart w:id="73"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r>
        <w:t xml:space="preserve"> </w:t>
      </w:r>
      <w:r>
        <w:t xml:space="preserve"> </w:t>
      </w:r>
      <w:r>
        <w:t xml:space="preserve"> </w:t>
      </w: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 </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73"/>
    <w:bookmarkStart w:id="74"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4"/>
    <w:bookmarkStart w:id="75"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is given by Eq. (8),</w:t>
      </w:r>
      <w:r>
        <w:t xml:space="preserve"> </w:t>
      </w:r>
      <w:r>
        <w:t xml:space="preserve"> </w:t>
      </w:r>
      <w:r>
        <w:t xml:space="preserve"> </w:t>
      </w: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 </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 </w:t>
      </w:r>
    </w:p>
    <w:p>
      <w:pPr>
        <w:pStyle w:val="BodyText"/>
      </w:pPr>
      <w:r>
        <w:t xml:space="preserve">The overall current stage authorisation decision is therefore determined by the conjunction of the foundational trust conditions in Eq. (6).</w:t>
      </w:r>
    </w:p>
    <w:p>
      <w:pPr>
        <w:pStyle w:val="BodyText"/>
      </w:pPr>
      <w:r>
        <w:t xml:space="preserve"> </w:t>
      </w:r>
    </w:p>
    <w:p>
      <w:pPr>
        <w:pStyle w:val="BodyText"/>
      </w:pPr>
      <w:r>
        <w:t xml:space="preserve"> </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5"/>
    <w:bookmarkStart w:id="76"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6"/>
    <w:bookmarkStart w:id="77"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 </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77"/>
    <w:bookmarkStart w:id="78"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78"/>
    <w:bookmarkStart w:id="79"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79"/>
    <w:bookmarkStart w:id="80"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0"/>
    <w:bookmarkStart w:id="81"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tblHeader w:val="on"/>
        </w:trPr>
        <w:tc>
          <w:tcPr/>
          <w:p>
            <w:pPr>
              <w:pStyle w:val="Compact"/>
              <w:jc w:val="left"/>
            </w:pPr>
            <w:r>
              <w:rPr>
                <w:b/>
                <w:bCs/>
              </w:rPr>
              <w:t xml:space="preserve">Security Property</w:t>
            </w:r>
          </w:p>
        </w:tc>
        <w:tc>
          <w:tcPr/>
          <w:p>
            <w:pPr>
              <w:pStyle w:val="Compact"/>
              <w:jc w:val="left"/>
            </w:pPr>
            <w:r>
              <w:rPr>
                <w:b/>
                <w:bCs/>
              </w:rPr>
              <w:t xml:space="preserve">Architectural Mechanism</w:t>
            </w:r>
          </w:p>
        </w:tc>
        <w:tc>
          <w:tcPr/>
          <w:p>
            <w:pPr>
              <w:pStyle w:val="Compact"/>
              <w:jc w:val="left"/>
            </w:pPr>
            <w:r>
              <w:rPr>
                <w:b/>
                <w:bCs/>
              </w:rPr>
              <w:t xml:space="preserve">Security Significance</w:t>
            </w:r>
          </w:p>
        </w:tc>
      </w:tr>
      <w:t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tblHeader w:val="on"/>
        </w:trPr>
        <w:tc>
          <w:tcPr/>
          <w:p>
            <w:pPr>
              <w:pStyle w:val="Compact"/>
              <w:jc w:val="left"/>
            </w:pPr>
            <w:r>
              <w:rPr>
                <w:b/>
                <w:bCs/>
              </w:rPr>
              <w:t xml:space="preserve">Research Objective</w:t>
            </w:r>
          </w:p>
        </w:tc>
        <w:tc>
          <w:tcPr/>
          <w:p>
            <w:pPr>
              <w:pStyle w:val="Compact"/>
              <w:jc w:val="left"/>
            </w:pPr>
            <w:r>
              <w:rPr>
                <w:b/>
                <w:bCs/>
              </w:rPr>
              <w:t xml:space="preserve">Primary MVC Component</w:t>
            </w:r>
          </w:p>
        </w:tc>
        <w:tc>
          <w:tcPr/>
          <w:p>
            <w:pPr>
              <w:pStyle w:val="Compact"/>
              <w:jc w:val="left"/>
            </w:pPr>
            <w:r>
              <w:rPr>
                <w:b/>
                <w:bCs/>
              </w:rPr>
              <w:t xml:space="preserve">Core Mechanism</w:t>
            </w:r>
          </w:p>
        </w:tc>
        <w:tc>
          <w:tcPr/>
          <w:p>
            <w:pPr>
              <w:pStyle w:val="Compact"/>
              <w:jc w:val="left"/>
            </w:pPr>
            <w:r>
              <w:rPr>
                <w:b/>
                <w:bCs/>
              </w:rPr>
              <w:t xml:space="preserve">Expected Contribution</w:t>
            </w:r>
          </w:p>
        </w:tc>
      </w:tr>
      <w:t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81"/>
    <w:bookmarkEnd w:id="82"/>
    <w:bookmarkStart w:id="126" w:name="proposed-solution"/>
    <w:p>
      <w:pPr>
        <w:pStyle w:val="Heading1"/>
      </w:pPr>
      <w:r>
        <w:t xml:space="preserve">6 Proposed Solution</w:t>
      </w:r>
    </w:p>
    <w:bookmarkStart w:id="89"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r>
        <w:t xml:space="preserve"> </w:t>
      </w:r>
      <w:r>
        <w:t xml:space="preserve"> </w:t>
      </w:r>
      <w:r>
        <w:t xml:space="preserve"> </w:t>
      </w: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6"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12 (Section 7.2). The implementation also collects the start and expiry time of the consent.</w:t>
      </w:r>
    </w:p>
    <w:p>
      <w:pPr>
        <w:pStyle w:val="CaptionedFigure"/>
      </w:pPr>
      <w:r>
        <w:drawing>
          <wp:inline>
            <wp:extent cx="3451860" cy="7452700"/>
            <wp:effectExtent b="0" l="0" r="0" t="0"/>
            <wp:docPr descr="Figure 6: RO1 workflow for trust-centric consent creation" title="" id="84" name="Picture"/>
            <a:graphic>
              <a:graphicData uri="http://schemas.openxmlformats.org/drawingml/2006/picture">
                <pic:pic>
                  <pic:nvPicPr>
                    <pic:cNvPr descr="media/fig07.png" id="85" name="Picture"/>
                    <pic:cNvPicPr>
                      <a:picLocks noChangeArrowheads="1" noChangeAspect="1"/>
                    </pic:cNvPicPr>
                  </pic:nvPicPr>
                  <pic:blipFill>
                    <a:blip r:embed="rId83"/>
                    <a:stretch>
                      <a:fillRect/>
                    </a:stretch>
                  </pic:blipFill>
                  <pic:spPr bwMode="auto">
                    <a:xfrm>
                      <a:off x="0" y="0"/>
                      <a:ext cx="3451860" cy="7452700"/>
                    </a:xfrm>
                    <a:prstGeom prst="rect">
                      <a:avLst/>
                    </a:prstGeom>
                    <a:noFill/>
                    <a:ln w="9525">
                      <a:noFill/>
                      <a:headEnd/>
                      <a:tailEnd/>
                    </a:ln>
                  </pic:spPr>
                </pic:pic>
              </a:graphicData>
            </a:graphic>
          </wp:inline>
        </w:drawing>
      </w:r>
    </w:p>
    <w:p>
      <w:pPr>
        <w:pStyle w:val="ImageCaption"/>
      </w:pPr>
      <w:r>
        <w:t xml:space="preserve">Figure 6: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6"/>
    <w:bookmarkStart w:id="87"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87"/>
    <w:bookmarkStart w:id="88"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88"/>
    <w:bookmarkEnd w:id="89"/>
    <w:bookmarkStart w:id="96"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 </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r>
        <w:t xml:space="preserve"> </w:t>
      </w:r>
      <w:r>
        <w:t xml:space="preserve"> </w:t>
      </w:r>
      <w:r>
        <w:t xml:space="preserve"> </w:t>
      </w: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0"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[39]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[41, 42],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0"/>
    <w:bookmarkStart w:id="94"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3451860" cy="6500607"/>
            <wp:effectExtent b="0" l="0" r="0" t="0"/>
            <wp:docPr descr="Figure 7: RO2 workflow for decentralised identity and authority verification" title="" id="92" name="Picture"/>
            <a:graphic>
              <a:graphicData uri="http://schemas.openxmlformats.org/drawingml/2006/picture">
                <pic:pic>
                  <pic:nvPicPr>
                    <pic:cNvPr descr="media/fig08.png" id="93" name="Picture"/>
                    <pic:cNvPicPr>
                      <a:picLocks noChangeArrowheads="1" noChangeAspect="1"/>
                    </pic:cNvPicPr>
                  </pic:nvPicPr>
                  <pic:blipFill>
                    <a:blip r:embed="rId91"/>
                    <a:stretch>
                      <a:fillRect/>
                    </a:stretch>
                  </pic:blipFill>
                  <pic:spPr bwMode="auto">
                    <a:xfrm>
                      <a:off x="0" y="0"/>
                      <a:ext cx="3451860" cy="6500607"/>
                    </a:xfrm>
                    <a:prstGeom prst="rect">
                      <a:avLst/>
                    </a:prstGeom>
                    <a:noFill/>
                    <a:ln w="9525">
                      <a:noFill/>
                      <a:headEnd/>
                      <a:tailEnd/>
                    </a:ln>
                  </pic:spPr>
                </pic:pic>
              </a:graphicData>
            </a:graphic>
          </wp:inline>
        </w:drawing>
      </w:r>
    </w:p>
    <w:p>
      <w:pPr>
        <w:pStyle w:val="ImageCaption"/>
      </w:pPr>
      <w:r>
        <w:t xml:space="preserve">Figure 7: RO2 workflow for decentralised identity and authority verification</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4"/>
    <w:bookmarkStart w:id="95"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5"/>
    <w:bookmarkEnd w:id="96"/>
    <w:bookmarkStart w:id="103"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 </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97"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BodyText"/>
      </w:pPr>
      <w:r>
        <w:t xml:space="preserve">In the HALAH prototype, the Guardian workflow (Figure 13,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10; the v3 contract adds on-chain validity checks and ERC-5484 consensual burn [40].</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97"/>
    <w:bookmarkStart w:id="101"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3451860" cy="5978933"/>
            <wp:effectExtent b="0" l="0" r="0" t="0"/>
            <wp:docPr descr="Figure 8: RO3 workflow for threshold-based multi-party authorisation" title="" id="99" name="Picture"/>
            <a:graphic>
              <a:graphicData uri="http://schemas.openxmlformats.org/drawingml/2006/picture">
                <pic:pic>
                  <pic:nvPicPr>
                    <pic:cNvPr descr="media/fig09.png" id="100" name="Picture"/>
                    <pic:cNvPicPr>
                      <a:picLocks noChangeArrowheads="1" noChangeAspect="1"/>
                    </pic:cNvPicPr>
                  </pic:nvPicPr>
                  <pic:blipFill>
                    <a:blip r:embed="rId98"/>
                    <a:stretch>
                      <a:fillRect/>
                    </a:stretch>
                  </pic:blipFill>
                  <pic:spPr bwMode="auto">
                    <a:xfrm>
                      <a:off x="0" y="0"/>
                      <a:ext cx="3451860" cy="5978933"/>
                    </a:xfrm>
                    <a:prstGeom prst="rect">
                      <a:avLst/>
                    </a:prstGeom>
                    <a:noFill/>
                    <a:ln w="9525">
                      <a:noFill/>
                      <a:headEnd/>
                      <a:tailEnd/>
                    </a:ln>
                  </pic:spPr>
                </pic:pic>
              </a:graphicData>
            </a:graphic>
          </wp:inline>
        </w:drawing>
      </w:r>
    </w:p>
    <w:p>
      <w:pPr>
        <w:pStyle w:val="ImageCaption"/>
      </w:pPr>
      <w:r>
        <w:t xml:space="preserve">Figure 8: RO3 workflow for threshold-based multi-party authorisation</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oMath>
      <w:r>
        <w:t xml:space="preserve"> </w:t>
      </w:r>
      <w:r>
        <w:t xml:space="preserve">(all designated guardians must approve); configurable k-of-n thresholds are Stage 2 work.</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01"/>
    <w:bookmarkStart w:id="102"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2"/>
    <w:bookmarkEnd w:id="103"/>
    <w:bookmarkStart w:id="110"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p>
      <w:pPr>
        <w:pStyle w:val="BodyText"/>
      </w:pPr>
      <w:r>
        <w:t xml:space="preserve"> </w:t>
      </w:r>
    </w:p>
    <w:bookmarkStart w:id="107"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14–15 (Section 7.4).</w:t>
      </w:r>
    </w:p>
    <w:p>
      <w:pPr>
        <w:pStyle w:val="BodyText"/>
      </w:pPr>
      <w:r>
        <w:t xml:space="preserve"> </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p>
      <w:pPr>
        <w:pStyle w:val="CaptionedFigure"/>
      </w:pPr>
      <w:r>
        <w:drawing>
          <wp:inline>
            <wp:extent cx="3451860" cy="7239043"/>
            <wp:effectExtent b="0" l="0" r="0" t="0"/>
            <wp:docPr descr="Figure 9: RO4 workflow for policy- and context-aware access control" title="" id="105" name="Picture"/>
            <a:graphic>
              <a:graphicData uri="http://schemas.openxmlformats.org/drawingml/2006/picture">
                <pic:pic>
                  <pic:nvPicPr>
                    <pic:cNvPr descr="media/fig10.png" id="106" name="Picture"/>
                    <pic:cNvPicPr>
                      <a:picLocks noChangeArrowheads="1" noChangeAspect="1"/>
                    </pic:cNvPicPr>
                  </pic:nvPicPr>
                  <pic:blipFill>
                    <a:blip r:embed="rId104"/>
                    <a:stretch>
                      <a:fillRect/>
                    </a:stretch>
                  </pic:blipFill>
                  <pic:spPr bwMode="auto">
                    <a:xfrm>
                      <a:off x="0" y="0"/>
                      <a:ext cx="3451860" cy="7239043"/>
                    </a:xfrm>
                    <a:prstGeom prst="rect">
                      <a:avLst/>
                    </a:prstGeom>
                    <a:noFill/>
                    <a:ln w="9525">
                      <a:noFill/>
                      <a:headEnd/>
                      <a:tailEnd/>
                    </a:ln>
                  </pic:spPr>
                </pic:pic>
              </a:graphicData>
            </a:graphic>
          </wp:inline>
        </w:drawing>
      </w:r>
    </w:p>
    <w:p>
      <w:pPr>
        <w:pStyle w:val="ImageCaption"/>
      </w:pPr>
      <w:r>
        <w:t xml:space="preserve">Figure 9: RO4 workflow for policy- and context-aware access control</w:t>
      </w:r>
    </w:p>
    <w:bookmarkEnd w:id="107"/>
    <w:bookmarkStart w:id="108"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8"/>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39"/>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0"/>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1"/>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2"/>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3"/>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4"/>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5"/>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6"/>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7"/>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8"/>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08"/>
    <w:bookmarkStart w:id="109"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09"/>
    <w:bookmarkEnd w:id="110"/>
    <w:bookmarkStart w:id="117"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 </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 </w:t>
      </w:r>
    </w:p>
    <w:p>
      <w:pPr>
        <w:pStyle w:val="BodyText"/>
      </w:pPr>
      <w:r>
        <w:t xml:space="preserve">The extended authorisation decision is therefore given by Eq. (24).</w:t>
      </w:r>
    </w:p>
    <w:p>
      <w:pPr>
        <w:pStyle w:val="BodyText"/>
      </w:pPr>
      <w:r>
        <w:t xml:space="preserve"> </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1"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BodyText"/>
      </w:pPr>
      <w:r>
        <w:t xml:space="preserve">The HALAH prototype already implements a first version of this workflow. The consent engine evaluates the consent state in the order REVOKED, PENDING_SIGNATURE, PENDING_TOKEN, NOT_STARTED, EXPIRED and ACTIVE, and only an ACTIVE consent 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11"/>
    <w:bookmarkStart w:id="112"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49"/>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0"/>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1"/>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2"/>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3"/>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4"/>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5"/>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6"/>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7"/>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2"/>
    <w:bookmarkStart w:id="116"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3451860" cy="6065199"/>
            <wp:effectExtent b="0" l="0" r="0" t="0"/>
            <wp:docPr descr="Figure 10: RO5 planned workflow for temporal and consent lifecycle trust" title="" id="114" name="Picture"/>
            <a:graphic>
              <a:graphicData uri="http://schemas.openxmlformats.org/drawingml/2006/picture">
                <pic:pic>
                  <pic:nvPicPr>
                    <pic:cNvPr descr="media/fig11.png" id="115" name="Picture"/>
                    <pic:cNvPicPr>
                      <a:picLocks noChangeArrowheads="1" noChangeAspect="1"/>
                    </pic:cNvPicPr>
                  </pic:nvPicPr>
                  <pic:blipFill>
                    <a:blip r:embed="rId113"/>
                    <a:stretch>
                      <a:fillRect/>
                    </a:stretch>
                  </pic:blipFill>
                  <pic:spPr bwMode="auto">
                    <a:xfrm>
                      <a:off x="0" y="0"/>
                      <a:ext cx="3451860" cy="6065199"/>
                    </a:xfrm>
                    <a:prstGeom prst="rect">
                      <a:avLst/>
                    </a:prstGeom>
                    <a:noFill/>
                    <a:ln w="9525">
                      <a:noFill/>
                      <a:headEnd/>
                      <a:tailEnd/>
                    </a:ln>
                  </pic:spPr>
                </pic:pic>
              </a:graphicData>
            </a:graphic>
          </wp:inline>
        </w:drawing>
      </w:r>
    </w:p>
    <w:p>
      <w:pPr>
        <w:pStyle w:val="ImageCaption"/>
      </w:pPr>
      <w:r>
        <w:t xml:space="preserve">Figure 10: RO5 planned workflow for temporal and consent lifecycle trust</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6"/>
    <w:bookmarkEnd w:id="117"/>
    <w:bookmarkStart w:id="124"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 </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18"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18"/>
    <w:bookmarkStart w:id="122"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3451860" cy="4212881"/>
            <wp:effectExtent b="0" l="0" r="0" t="0"/>
            <wp:docPr descr="Figure 11: RO6 planned workflow for formal security assurance and empirical validation" title="" id="120" name="Picture"/>
            <a:graphic>
              <a:graphicData uri="http://schemas.openxmlformats.org/drawingml/2006/picture">
                <pic:pic>
                  <pic:nvPicPr>
                    <pic:cNvPr descr="media/fig12.png" id="121" name="Picture"/>
                    <pic:cNvPicPr>
                      <a:picLocks noChangeArrowheads="1" noChangeAspect="1"/>
                    </pic:cNvPicPr>
                  </pic:nvPicPr>
                  <pic:blipFill>
                    <a:blip r:embed="rId119"/>
                    <a:stretch>
                      <a:fillRect/>
                    </a:stretch>
                  </pic:blipFill>
                  <pic:spPr bwMode="auto">
                    <a:xfrm>
                      <a:off x="0" y="0"/>
                      <a:ext cx="3451860" cy="4212881"/>
                    </a:xfrm>
                    <a:prstGeom prst="rect">
                      <a:avLst/>
                    </a:prstGeom>
                    <a:noFill/>
                    <a:ln w="9525">
                      <a:noFill/>
                      <a:headEnd/>
                      <a:tailEnd/>
                    </a:ln>
                  </pic:spPr>
                </pic:pic>
              </a:graphicData>
            </a:graphic>
          </wp:inline>
        </w:drawing>
      </w:r>
    </w:p>
    <w:p>
      <w:pPr>
        <w:pStyle w:val="ImageCaption"/>
      </w:pPr>
      <w:r>
        <w:t xml:space="preserve">Figure 11: RO6 planned workflow for formal security assurance and empirical validation</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sSub>
          <m:e>
            <m:r>
              <m:t>S</m:t>
            </m:r>
          </m:e>
          <m:sub>
            <m:r>
              <m:t>v</m:t>
            </m:r>
            <m:r>
              <m:t>a</m:t>
            </m:r>
            <m:r>
              <m:t>l</m:t>
            </m:r>
            <m:r>
              <m:t>i</m:t>
            </m:r>
            <m:r>
              <m:t>d</m:t>
            </m:r>
          </m:sub>
        </m:sSub>
      </m:oMath>
      <w:r>
        <w:br/>
      </w:r>
      <w:r>
        <w:t xml:space="preserve">3: Define negative scenarios</w:t>
      </w:r>
      <w:r>
        <w:t xml:space="preserve"> </w:t>
      </w:r>
      <m:oMath>
        <m:sSub>
          <m:e>
            <m:r>
              <m:t>S</m:t>
            </m:r>
          </m:e>
          <m:sub>
            <m:r>
              <m:t>n</m:t>
            </m:r>
            <m:r>
              <m:t>e</m:t>
            </m:r>
            <m:r>
              <m:t>g</m:t>
            </m:r>
            <m:r>
              <m:t>a</m:t>
            </m:r>
            <m:r>
              <m:t>t</m:t>
            </m:r>
            <m:r>
              <m:t>i</m:t>
            </m:r>
            <m:r>
              <m:t>v</m:t>
            </m:r>
            <m:r>
              <m:t>e</m:t>
            </m:r>
          </m:sub>
        </m:sSub>
      </m:oMath>
      <w:r>
        <w:br/>
      </w:r>
      <w:r>
        <w:t xml:space="preserve">4: Define adversarial scenarios</w:t>
      </w:r>
      <w:r>
        <w:t xml:space="preserve"> </w:t>
      </w:r>
      <m:oMath>
        <m:sSub>
          <m:e>
            <m:r>
              <m:t>S</m:t>
            </m:r>
          </m:e>
          <m:sub>
            <m:r>
              <m:t>a</m:t>
            </m:r>
            <m:r>
              <m:t>d</m:t>
            </m:r>
            <m: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2"/>
    <w:bookmarkStart w:id="123"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3"/>
    <w:bookmarkEnd w:id="124"/>
    <w:bookmarkStart w:id="125"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 stage implementation, the operational decision is based on Eq. (6).</w:t>
      </w:r>
    </w:p>
    <w:p>
      <w:pPr>
        <w:pStyle w:val="BodyText"/>
      </w:pPr>
      <w:r>
        <w:t xml:space="preserve"> </w:t>
      </w:r>
    </w:p>
    <w:p>
      <w:pPr>
        <w:pStyle w:val="BodyText"/>
      </w:pPr>
      <w:r>
        <w:t xml:space="preserve">The CA3 extension incorporates temporal and lifecycle conditions, as in Eq. (24).</w:t>
      </w:r>
    </w:p>
    <w:p>
      <w:pPr>
        <w:pStyle w:val="BodyText"/>
      </w:pPr>
      <w:r>
        <w:t xml:space="preserve"> </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25"/>
    <w:bookmarkEnd w:id="126"/>
    <w:bookmarkStart w:id="155"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implemented by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27"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27"/>
    <w:bookmarkStart w:id="131"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65445" cy="2746127"/>
            <wp:effectExtent b="0" l="0" r="0" t="0"/>
            <wp:docPr descr="Figure 12: HALAH patient subsystem – Create Smart Consent Contract" title="" id="129" name="Picture"/>
            <a:graphic>
              <a:graphicData uri="http://schemas.openxmlformats.org/drawingml/2006/picture">
                <pic:pic>
                  <pic:nvPicPr>
                    <pic:cNvPr descr="halah_media/media/image1.png" id="130" name="Picture"/>
                    <pic:cNvPicPr>
                      <a:picLocks noChangeArrowheads="1" noChangeAspect="1"/>
                    </pic:cNvPicPr>
                  </pic:nvPicPr>
                  <pic:blipFill>
                    <a:blip r:embed="rId128"/>
                    <a:stretch>
                      <a:fillRect/>
                    </a:stretch>
                  </pic:blipFill>
                  <pic:spPr bwMode="auto">
                    <a:xfrm>
                      <a:off x="0" y="0"/>
                      <a:ext cx="5465445" cy="2746127"/>
                    </a:xfrm>
                    <a:prstGeom prst="rect">
                      <a:avLst/>
                    </a:prstGeom>
                    <a:noFill/>
                    <a:ln w="9525">
                      <a:noFill/>
                      <a:headEnd/>
                      <a:tailEnd/>
                    </a:ln>
                  </pic:spPr>
                </pic:pic>
              </a:graphicData>
            </a:graphic>
          </wp:inline>
        </w:drawing>
      </w:r>
    </w:p>
    <w:p>
      <w:pPr>
        <w:pStyle w:val="ImageCaption"/>
      </w:pPr>
      <w:r>
        <w:t xml:space="preserve">Figure 12: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31"/>
    <w:bookmarkStart w:id="135"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operationalises the multi-party authorisation component of the proposed framework.</w:t>
      </w:r>
    </w:p>
    <w:p>
      <w:pPr>
        <w:pStyle w:val="CaptionedFigure"/>
      </w:pPr>
      <w:r>
        <w:drawing>
          <wp:inline>
            <wp:extent cx="5465445" cy="2225799"/>
            <wp:effectExtent b="0" l="0" r="0" t="0"/>
            <wp:docPr descr="Figure 13: HALAH guardian subsystem – Guardian Cryptographic Approval" title="" id="133" name="Picture"/>
            <a:graphic>
              <a:graphicData uri="http://schemas.openxmlformats.org/drawingml/2006/picture">
                <pic:pic>
                  <pic:nvPicPr>
                    <pic:cNvPr descr="halah_media/media/image2.png" id="134" name="Picture"/>
                    <pic:cNvPicPr>
                      <a:picLocks noChangeArrowheads="1" noChangeAspect="1"/>
                    </pic:cNvPicPr>
                  </pic:nvPicPr>
                  <pic:blipFill>
                    <a:blip r:embed="rId132"/>
                    <a:stretch>
                      <a:fillRect/>
                    </a:stretch>
                  </pic:blipFill>
                  <pic:spPr bwMode="auto">
                    <a:xfrm>
                      <a:off x="0" y="0"/>
                      <a:ext cx="5465445" cy="2225799"/>
                    </a:xfrm>
                    <a:prstGeom prst="rect">
                      <a:avLst/>
                    </a:prstGeom>
                    <a:noFill/>
                    <a:ln w="9525">
                      <a:noFill/>
                      <a:headEnd/>
                      <a:tailEnd/>
                    </a:ln>
                  </pic:spPr>
                </pic:pic>
              </a:graphicData>
            </a:graphic>
          </wp:inline>
        </w:drawing>
      </w:r>
    </w:p>
    <w:p>
      <w:pPr>
        <w:pStyle w:val="ImageCaption"/>
      </w:pPr>
      <w:r>
        <w:t xml:space="preserve">Figure 13: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35"/>
    <w:bookmarkStart w:id="142"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5465445" cy="3388081"/>
            <wp:effectExtent b="0" l="0" r="0" t="0"/>
            <wp:docPr descr="Figure 14: HALAH doctor subsystem – consent information, state and authorised data scope" title="" id="137" name="Picture"/>
            <a:graphic>
              <a:graphicData uri="http://schemas.openxmlformats.org/drawingml/2006/picture">
                <pic:pic>
                  <pic:nvPicPr>
                    <pic:cNvPr descr="halah_media/media/image3.png" id="138" name="Picture"/>
                    <pic:cNvPicPr>
                      <a:picLocks noChangeArrowheads="1" noChangeAspect="1"/>
                    </pic:cNvPicPr>
                  </pic:nvPicPr>
                  <pic:blipFill>
                    <a:blip r:embed="rId136"/>
                    <a:stretch>
                      <a:fillRect/>
                    </a:stretch>
                  </pic:blipFill>
                  <pic:spPr bwMode="auto">
                    <a:xfrm>
                      <a:off x="0" y="0"/>
                      <a:ext cx="5465445" cy="3388081"/>
                    </a:xfrm>
                    <a:prstGeom prst="rect">
                      <a:avLst/>
                    </a:prstGeom>
                    <a:noFill/>
                    <a:ln w="9525">
                      <a:noFill/>
                      <a:headEnd/>
                      <a:tailEnd/>
                    </a:ln>
                  </pic:spPr>
                </pic:pic>
              </a:graphicData>
            </a:graphic>
          </wp:inline>
        </w:drawing>
      </w:r>
    </w:p>
    <w:p>
      <w:pPr>
        <w:pStyle w:val="ImageCaption"/>
      </w:pPr>
      <w:r>
        <w:t xml:space="preserve">Figure 14: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w:t>
      </w:r>
    </w:p>
    <w:p>
      <w:pPr>
        <w:pStyle w:val="BodyText"/>
      </w:pPr>
      <w:r>
        <w:t xml:space="preserve">The message shows Cryptographic Verification Successful — Access Granted.</w:t>
      </w:r>
    </w:p>
    <w:p>
      <w:pPr>
        <w:pStyle w:val="BodyText"/>
      </w:pPr>
      <w:r>
        <w:t xml:space="preserve">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65445" cy="3048937"/>
            <wp:effectExtent b="0" l="0" r="0" t="0"/>
            <wp:docPr descr="Figure 15: HALAH doctor subsystem – requested modules, access decision and authorised medical records" title="" id="140" name="Picture"/>
            <a:graphic>
              <a:graphicData uri="http://schemas.openxmlformats.org/drawingml/2006/picture">
                <pic:pic>
                  <pic:nvPicPr>
                    <pic:cNvPr descr="halah_media/media/image4.png" id="141" name="Picture"/>
                    <pic:cNvPicPr>
                      <a:picLocks noChangeArrowheads="1" noChangeAspect="1"/>
                    </pic:cNvPicPr>
                  </pic:nvPicPr>
                  <pic:blipFill>
                    <a:blip r:embed="rId139"/>
                    <a:stretch>
                      <a:fillRect/>
                    </a:stretch>
                  </pic:blipFill>
                  <pic:spPr bwMode="auto">
                    <a:xfrm>
                      <a:off x="0" y="0"/>
                      <a:ext cx="5465445" cy="3048937"/>
                    </a:xfrm>
                    <a:prstGeom prst="rect">
                      <a:avLst/>
                    </a:prstGeom>
                    <a:noFill/>
                    <a:ln w="9525">
                      <a:noFill/>
                      <a:headEnd/>
                      <a:tailEnd/>
                    </a:ln>
                  </pic:spPr>
                </pic:pic>
              </a:graphicData>
            </a:graphic>
          </wp:inline>
        </w:drawing>
      </w:r>
    </w:p>
    <w:p>
      <w:pPr>
        <w:pStyle w:val="ImageCaption"/>
      </w:pPr>
      <w:r>
        <w:t xml:space="preserve">Figure 15: HALAH doctor subsystem – requested modules, access decision and authorised medical records</w:t>
      </w:r>
    </w:p>
    <w:p>
      <w:pPr>
        <w:pStyle w:val="BodyText"/>
      </w:pPr>
      <w:r>
        <w:t xml:space="preserve">This distinction is central to the HALAH design. Consent and data access are not treated as identical events. Instead, it goes the flow as below</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42"/>
    <w:bookmarkStart w:id="146"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5465445" cy="2905354"/>
            <wp:effectExtent b="0" l="0" r="0" t="0"/>
            <wp:docPr descr="Figure 16: HALAH auditor subsystem – Blockchain Audit &amp; Consent Lifecycle" title="" id="144" name="Picture"/>
            <a:graphic>
              <a:graphicData uri="http://schemas.openxmlformats.org/drawingml/2006/picture">
                <pic:pic>
                  <pic:nvPicPr>
                    <pic:cNvPr descr="halah_media/media/image5.png" id="145" name="Picture"/>
                    <pic:cNvPicPr>
                      <a:picLocks noChangeArrowheads="1" noChangeAspect="1"/>
                    </pic:cNvPicPr>
                  </pic:nvPicPr>
                  <pic:blipFill>
                    <a:blip r:embed="rId143"/>
                    <a:stretch>
                      <a:fillRect/>
                    </a:stretch>
                  </pic:blipFill>
                  <pic:spPr bwMode="auto">
                    <a:xfrm>
                      <a:off x="0" y="0"/>
                      <a:ext cx="5465445" cy="2905354"/>
                    </a:xfrm>
                    <a:prstGeom prst="rect">
                      <a:avLst/>
                    </a:prstGeom>
                    <a:noFill/>
                    <a:ln w="9525">
                      <a:noFill/>
                      <a:headEnd/>
                      <a:tailEnd/>
                    </a:ln>
                  </pic:spPr>
                </pic:pic>
              </a:graphicData>
            </a:graphic>
          </wp:inline>
        </w:drawing>
      </w:r>
    </w:p>
    <w:p>
      <w:pPr>
        <w:pStyle w:val="ImageCaption"/>
      </w:pPr>
      <w:r>
        <w:t xml:space="preserve">Figure 16: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BodyText"/>
      </w:pPr>
      <w:r>
        <w:t xml:space="preserve">More importantly, the</w:t>
      </w:r>
      <w:r>
        <w:t xml:space="preserve"> </w:t>
      </w:r>
      <w:r>
        <w:rPr>
          <w:b/>
          <w:bCs/>
        </w:rPr>
        <w:t xml:space="preserve">Consent Lifecycle</w:t>
      </w:r>
      <w:r>
        <w:t xml:space="preserve"> </w:t>
      </w:r>
      <w:r>
        <w:t xml:space="preserve">section reconstructs the sequence of events associated with a particular consent. The displayed records include:</w:t>
      </w:r>
      <w:r>
        <w:t xml:space="preserve"> </w:t>
      </w:r>
      <m:oMath>
        <m:r>
          <m:t>C</m:t>
        </m:r>
        <m:r>
          <m:t>R</m:t>
        </m:r>
        <m:r>
          <m:t>E</m:t>
        </m:r>
        <m:r>
          <m:t>A</m:t>
        </m:r>
        <m:r>
          <m:t>T</m:t>
        </m:r>
        <m:r>
          <m:t>E</m:t>
        </m:r>
        <m:r>
          <m:rPr>
            <m:nor/>
          </m:rPr>
          <m:t>_</m:t>
        </m:r>
        <m:r>
          <m:t>C</m:t>
        </m:r>
        <m:r>
          <m:t>O</m:t>
        </m:r>
        <m:r>
          <m:t>N</m:t>
        </m:r>
        <m:r>
          <m:t>S</m:t>
        </m:r>
        <m:r>
          <m:t>E</m:t>
        </m:r>
        <m:r>
          <m:t>N</m:t>
        </m:r>
        <m:r>
          <m:t>T</m:t>
        </m:r>
      </m:oMath>
    </w:p>
    <w:p>
      <w:pPr>
        <w:pStyle w:val="BodyText"/>
      </w:pPr>
      <w:r>
        <w:t xml:space="preserve">performed by the patient, followed by:</w:t>
      </w:r>
      <w:r>
        <w:t xml:space="preserve"> </w:t>
      </w:r>
      <m:oMath>
        <m:r>
          <m:t>S</m:t>
        </m:r>
        <m:r>
          <m:t>I</m:t>
        </m:r>
        <m:r>
          <m:t>G</m:t>
        </m:r>
        <m:r>
          <m:t>N</m:t>
        </m:r>
        <m:r>
          <m:rPr>
            <m:nor/>
          </m:rPr>
          <m:t>_</m:t>
        </m:r>
        <m:r>
          <m:t>C</m:t>
        </m:r>
        <m:r>
          <m:t>O</m:t>
        </m:r>
        <m:r>
          <m:t>N</m:t>
        </m:r>
        <m:r>
          <m:t>S</m:t>
        </m:r>
        <m:r>
          <m:t>E</m:t>
        </m:r>
        <m:r>
          <m:t>N</m:t>
        </m:r>
        <m:r>
          <m:t>T</m:t>
        </m:r>
      </m:oMath>
    </w:p>
    <w:p>
      <w:pPr>
        <w:pStyle w:val="BodyText"/>
      </w:pPr>
      <w:r>
        <w:t xml:space="preserve">performed by the guardians, followed by:</w:t>
      </w:r>
      <w:r>
        <w:t xml:space="preserve"> </w:t>
      </w:r>
      <m:oMath>
        <m:r>
          <m:t>M</m:t>
        </m:r>
        <m:r>
          <m:t>I</m:t>
        </m:r>
        <m:r>
          <m:t>N</m:t>
        </m:r>
        <m:r>
          <m:t>T</m:t>
        </m:r>
        <m:r>
          <m:rPr>
            <m:nor/>
          </m:rPr>
          <m:t>_</m:t>
        </m:r>
        <m:r>
          <m:t>S</m:t>
        </m:r>
        <m:r>
          <m:t>B</m:t>
        </m:r>
        <m:r>
          <m:t>T</m:t>
        </m:r>
      </m:oMath>
    </w:p>
    <w:p>
      <w:pPr>
        <w:pStyle w:val="BodyText"/>
      </w:pPr>
      <w:r>
        <w:t xml:space="preserve">performed by the smart contract.</w:t>
      </w:r>
    </w:p>
    <w:p>
      <w:pPr>
        <w:pStyle w:val="BodyText"/>
      </w:pPr>
      <w:r>
        <w:t xml:space="preserve">The subsequent system events:</w:t>
      </w:r>
      <w:r>
        <w:t xml:space="preserve"> </w:t>
      </w:r>
      <m:oMath>
        <m:r>
          <m:t>S</m:t>
        </m:r>
        <m:r>
          <m:t>T</m:t>
        </m:r>
        <m:r>
          <m:t>A</m:t>
        </m:r>
        <m:r>
          <m:t>T</m:t>
        </m:r>
        <m:r>
          <m:t>E</m:t>
        </m:r>
        <m:r>
          <m:rPr>
            <m:nor/>
          </m:rPr>
          <m:t>_</m:t>
        </m:r>
        <m:r>
          <m:t>C</m:t>
        </m:r>
        <m:r>
          <m:t>H</m:t>
        </m:r>
        <m:r>
          <m:t>E</m:t>
        </m:r>
        <m:r>
          <m:t>C</m:t>
        </m:r>
        <m:r>
          <m:t>K</m:t>
        </m:r>
      </m:oMath>
    </w:p>
    <w:p>
      <w:pPr>
        <w:pStyle w:val="BodyText"/>
      </w:pPr>
      <w:r>
        <w:t xml:space="preserve">demonstrate that the Consent Engine continuously evaluates the state of the authorisation. Finally, the doctor generates:</w:t>
      </w:r>
      <w:r>
        <w:t xml:space="preserve"> </w:t>
      </w:r>
      <m:oMath>
        <m:r>
          <m:t>D</m:t>
        </m:r>
        <m:r>
          <m:t>A</m:t>
        </m:r>
        <m:r>
          <m:t>T</m:t>
        </m:r>
        <m:r>
          <m:t>A</m:t>
        </m:r>
        <m:r>
          <m:rPr>
            <m:nor/>
          </m:rPr>
          <m:t>_</m:t>
        </m:r>
        <m:r>
          <m:t>A</m:t>
        </m:r>
        <m:r>
          <m:t>C</m:t>
        </m:r>
        <m:r>
          <m:t>C</m:t>
        </m:r>
        <m:r>
          <m:t>E</m:t>
        </m:r>
        <m:r>
          <m:t>S</m:t>
        </m:r>
        <m:r>
          <m:t>S</m:t>
        </m:r>
      </m:oMath>
    </w:p>
    <w:p>
      <w:pPr>
        <w:pStyle w:val="BodyText"/>
      </w:pPr>
      <w:r>
        <w:t xml:space="preserve">with the result:</w:t>
      </w:r>
      <w:r>
        <w:t xml:space="preserve"> </w:t>
      </w:r>
      <m:oMath>
        <m:r>
          <m:t>G</m:t>
        </m:r>
        <m:r>
          <m:t>R</m:t>
        </m:r>
        <m:r>
          <m:t>A</m:t>
        </m:r>
        <m:r>
          <m:t>N</m:t>
        </m:r>
        <m:r>
          <m:t>T</m:t>
        </m:r>
        <m:r>
          <m:t>E</m:t>
        </m:r>
        <m:r>
          <m:t>D</m:t>
        </m:r>
      </m:oMath>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46"/>
    <w:bookmarkStart w:id="147"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p>
      <w:pPr>
        <w:pStyle w:val="BodyText"/>
      </w:pPr>
      <w:r>
        <w:rPr>
          <w:b/>
          <w:bCs/>
        </w:rPr>
        <w:t xml:space="preserve">CA 3 Discussion</w:t>
      </w:r>
    </w:p>
    <w:bookmarkEnd w:id="147"/>
    <w:bookmarkStart w:id="148"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48"/>
    <w:bookmarkStart w:id="149"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 Correspondence Between Subsystems and the HALAH Framework</w:t>
      </w:r>
    </w:p>
    <w:tbl>
      <w:tblPr>
        <w:tblStyle w:val="Table"/>
        <w:tblW w:type="pct" w:w="4937"/>
        <w:tblLayout w:type="fixed"/>
        <w:tblLook w:firstRow="1" w:lastRow="0" w:firstColumn="0" w:lastColumn="0" w:noHBand="0" w:noVBand="0" w:val="0020"/>
        <w:tblCaption w:val="Table 7: Correspondence Between Subsystems and the HALAH Framework"/>
      </w:tblPr>
      <w:tblGrid>
        <w:gridCol w:w="1593"/>
        <w:gridCol w:w="2141"/>
        <w:gridCol w:w="4084"/>
      </w:tblGrid>
      <w:tr>
        <w:trPr>
          <w:tblHeader w:val="on"/>
        </w:trPr>
        <w:tc>
          <w:tcPr/>
          <w:p>
            <w:pPr>
              <w:pStyle w:val="Compact"/>
              <w:jc w:val="left"/>
            </w:pPr>
            <w:r>
              <w:rPr>
                <w:b/>
                <w:bCs/>
              </w:rPr>
              <w:t xml:space="preserve">HALAH Framework Component</w:t>
            </w:r>
          </w:p>
        </w:tc>
        <w:tc>
          <w:tcPr/>
          <w:p>
            <w:pPr>
              <w:pStyle w:val="Compact"/>
              <w:jc w:val="left"/>
            </w:pPr>
            <w:r>
              <w:rPr>
                <w:b/>
                <w:bCs/>
              </w:rPr>
              <w:t xml:space="preserve">Implementation Subsystem</w:t>
            </w:r>
          </w:p>
        </w:tc>
        <w:tc>
          <w:tcPr/>
          <w:p>
            <w:pPr>
              <w:pStyle w:val="Compact"/>
              <w:jc w:val="left"/>
            </w:pPr>
            <w:r>
              <w:rPr>
                <w:b/>
                <w:bCs/>
              </w:rPr>
              <w:t xml:space="preserve">Main Function</w:t>
            </w:r>
          </w:p>
        </w:tc>
      </w:tr>
      <w:t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49"/>
    <w:bookmarkStart w:id="150"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0"/>
    <w:bookmarkStart w:id="151" w:name="X88b3d53607b792a9f4430f1be3c348b9a46cb27"/>
    <w:p>
      <w:pPr>
        <w:pStyle w:val="Heading2"/>
      </w:pPr>
      <w:r>
        <w:t xml:space="preserve">7.10 Implementation Mapping to the Source Code</w:t>
      </w:r>
    </w:p>
    <w:p>
      <w:pPr>
        <w:pStyle w:val="FirstParagraph"/>
      </w:pPr>
      <w:r>
        <w:t xml:space="preserve">Table 8 shows how the MVC layers of Chapter 5 are realised in the HALAH prototype (repository commit 0a960ca, 22 September 2026), so that the architectural claims can be checked directly against the source code.</w:t>
      </w:r>
    </w:p>
    <w:p>
      <w:pPr>
        <w:pStyle w:val="TableCaption"/>
      </w:pPr>
      <w:r>
        <w:t xml:space="preserve">Table 8: MVC layers and their HALAH implementation</w:t>
      </w:r>
    </w:p>
    <w:tbl>
      <w:tblPr>
        <w:tblStyle w:val="Table"/>
        <w:tblW w:type="pct" w:w="5000"/>
        <w:tblLayout w:type="fixed"/>
        <w:tblLook w:firstRow="1" w:lastRow="0" w:firstColumn="0" w:lastColumn="0" w:noHBand="0" w:noVBand="0" w:val="0020"/>
        <w:tblCaption w:val="Table 8: MVC layers and their HALAH implementation"/>
      </w:tblPr>
      <w:tblGrid>
        <w:gridCol w:w="1096"/>
        <w:gridCol w:w="3168"/>
        <w:gridCol w:w="3655"/>
      </w:tblGrid>
      <w:tr>
        <w:trPr>
          <w:tblHeader w:val="on"/>
        </w:trPr>
        <w:tc>
          <w:tcPr/>
          <w:p>
            <w:pPr>
              <w:pStyle w:val="Compact"/>
              <w:jc w:val="left"/>
            </w:pPr>
            <w:r>
              <w:rPr>
                <w:b/>
                <w:bCs/>
              </w:rPr>
              <w:t xml:space="preserve">Layer</w:t>
            </w:r>
          </w:p>
        </w:tc>
        <w:tc>
          <w:tcPr/>
          <w:p>
            <w:pPr>
              <w:pStyle w:val="Compact"/>
              <w:jc w:val="left"/>
            </w:pPr>
            <w:r>
              <w:rPr>
                <w:b/>
                <w:bCs/>
              </w:rPr>
              <w:t xml:space="preserve">HALAH module(s)</w:t>
            </w:r>
          </w:p>
        </w:tc>
        <w:tc>
          <w:tcPr/>
          <w:p>
            <w:pPr>
              <w:pStyle w:val="Compact"/>
              <w:jc w:val="left"/>
            </w:pPr>
            <w:r>
              <w:rPr>
                <w:b/>
                <w:bCs/>
              </w:rPr>
              <w:t xml:space="preserve">Responsibility</w:t>
            </w:r>
          </w:p>
        </w:tc>
      </w:tr>
      <w:t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c>
          <w:tcPr/>
          <w:p>
            <w:pPr>
              <w:pStyle w:val="Compact"/>
              <w:jc w:val="left"/>
            </w:pPr>
            <w:r>
              <w:t xml:space="preserve">Controller</w:t>
            </w:r>
          </w:p>
        </w:tc>
        <w:tc>
          <w:tcPr/>
          <w:p>
            <w:pPr>
              <w:pStyle w:val="Compact"/>
              <w:jc w:val="left"/>
            </w:pPr>
            <w:r>
              <w:t xml:space="preserve">services/identity_service.py</w:t>
            </w:r>
          </w:p>
        </w:tc>
        <w:tc>
          <w:tcPr/>
          <w:p>
            <w:pPr>
              <w:pStyle w:val="Compact"/>
              <w:jc w:val="left"/>
            </w:pPr>
            <w:r>
              <w:t xml:space="preserve">DID check; EIP-712 approval signing and verification (Algorithm 2,</w:t>
            </w:r>
            <w:r>
              <w:t xml:space="preserve"> </w:t>
            </w:r>
            <m:oMath>
              <m:sSub>
                <m:e>
                  <m:r>
                    <m:t>V</m:t>
                  </m:r>
                </m:e>
                <m:sub>
                  <m:r>
                    <m:t>I</m:t>
                  </m:r>
                </m:sub>
              </m:sSub>
            </m:oMath>
            <w:r>
              <w:t xml:space="preserve">)</w:t>
            </w:r>
          </w:p>
        </w:tc>
      </w:tr>
      <w:tr>
        <w:tc>
          <w:tcPr/>
          <w:p>
            <w:pPr>
              <w:pStyle w:val="Compact"/>
              <w:jc w:val="left"/>
            </w:pPr>
            <w:r>
              <w:t xml:space="preserve">Controller</w:t>
            </w:r>
          </w:p>
        </w:tc>
        <w:tc>
          <w:tcPr/>
          <w:p>
            <w:pPr>
              <w:pStyle w:val="Compact"/>
              <w:jc w:val="left"/>
            </w:pPr>
            <w:r>
              <w:t xml:space="preserve">services/state_service.py</w:t>
            </w:r>
          </w:p>
        </w:tc>
        <w:tc>
          <w:tcPr/>
          <w:p>
            <w:pPr>
              <w:pStyle w:val="Compact"/>
              <w:jc w:val="left"/>
            </w:pPr>
            <w:r>
              <w:t xml:space="preserve">Consent state: PENDING_SIGNATURE, PENDING_TOKEN, NOT_STARTED, EXPIRED, REVOKED, ACTIVE (</w:t>
            </w:r>
            <m:oMath>
              <m:sSub>
                <m:e>
                  <m:r>
                    <m:t>V</m:t>
                  </m:r>
                </m:e>
                <m:sub>
                  <m:r>
                    <m:t>A</m:t>
                  </m:r>
                </m:sub>
              </m:sSub>
            </m:oMath>
            <w:r>
              <w:t xml:space="preserve">,</w:t>
            </w:r>
            <w:r>
              <w:t xml:space="preserve"> </w:t>
            </w:r>
            <m:oMath>
              <m:sSub>
                <m:e>
                  <m:r>
                    <m:t>V</m:t>
                  </m:r>
                </m:e>
                <m:sub>
                  <m:r>
                    <m:t>T</m:t>
                  </m:r>
                </m:sub>
              </m:sSub>
            </m:oMath>
            <w:r>
              <w:t xml:space="preserve">)</w:t>
            </w:r>
          </w:p>
        </w:tc>
      </w:tr>
      <w:t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[38], released only after authorisation</w:t>
            </w:r>
          </w:p>
        </w:tc>
      </w:tr>
      <w:tr>
        <w:tc>
          <w:tcPr/>
          <w:p>
            <w:pPr>
              <w:pStyle w:val="Compact"/>
              <w:jc w:val="left"/>
            </w:pPr>
            <w:r>
              <w:t xml:space="preserve">Smart contract</w:t>
            </w:r>
          </w:p>
        </w:tc>
        <w:tc>
          <w:tcPr/>
          <w:p>
            <w:pPr>
              <w:pStyle w:val="Compact"/>
              <w:jc w:val="left"/>
            </w:pPr>
            <w:r>
              <w:t xml:space="preserve">contracts/ConsentSBTv3.sol</w:t>
            </w:r>
          </w:p>
        </w:tc>
        <w:tc>
          <w:tcPr/>
          <w:p>
            <w:pPr>
              <w:pStyle w:val="Compact"/>
              <w:jc w:val="left"/>
            </w:pPr>
            <w:r>
              <w:t xml:space="preserve">Soulbound consent token; on-chain validity; ERC-5484 burn [40]</w:t>
            </w:r>
          </w:p>
        </w:tc>
      </w:tr>
    </w:tbl>
    <w:bookmarkEnd w:id="151"/>
    <w:bookmarkStart w:id="152" w:name="automated-test-evidence"/>
    <w:p>
      <w:pPr>
        <w:pStyle w:val="Heading2"/>
      </w:pPr>
      <w:r>
        <w:t xml:space="preserve">7.11 Automated Test Evidence</w:t>
      </w:r>
    </w:p>
    <w:p>
      <w:pPr>
        <w:pStyle w:val="FirstParagraph"/>
      </w:pPr>
      <w:r>
        <w:t xml:space="preserve">Table 9 summarises the automated tests of the prototype (pytest 9.1.1, Python 3.11, run on 28 September 2026): 16 tests passed, 2 were skipped and none failed.</w:t>
      </w:r>
    </w:p>
    <w:p>
      <w:pPr>
        <w:pStyle w:val="TableCaption"/>
      </w:pPr>
      <w:r>
        <w:t xml:space="preserve">Table 9: Automated test results of the HALAH prototype</w:t>
      </w:r>
    </w:p>
    <w:tbl>
      <w:tblPr>
        <w:tblStyle w:val="Table"/>
        <w:tblW w:type="pct" w:w="5000"/>
        <w:tblLayout w:type="fixed"/>
        <w:tblLook w:firstRow="1" w:lastRow="0" w:firstColumn="0" w:lastColumn="0" w:noHBand="0" w:noVBand="0" w:val="0020"/>
        <w:tblCaption w:val="Table 9: Automated test results of the HALAH prototype"/>
      </w:tblPr>
      <w:tblGrid>
        <w:gridCol w:w="803"/>
        <w:gridCol w:w="1377"/>
        <w:gridCol w:w="3328"/>
        <w:gridCol w:w="1147"/>
        <w:gridCol w:w="1262"/>
      </w:tblGrid>
      <w:tr>
        <w:trPr>
          <w:tblHeader w:val="on"/>
        </w:trPr>
        <w:tc>
          <w:tcPr/>
          <w:p>
            <w:pPr>
              <w:pStyle w:val="Compact"/>
              <w:jc w:val="left"/>
            </w:pPr>
            <w:r>
              <w:rPr>
                <w:b/>
                <w:bCs/>
              </w:rPr>
              <w:t xml:space="preserve">ID</w:t>
            </w:r>
          </w:p>
        </w:tc>
        <w:tc>
          <w:tcPr/>
          <w:p>
            <w:pPr>
              <w:pStyle w:val="Compact"/>
              <w:jc w:val="left"/>
            </w:pPr>
            <w:r>
              <w:rPr>
                <w:b/>
                <w:bCs/>
              </w:rPr>
              <w:t xml:space="preserve">Scenario</w:t>
            </w:r>
          </w:p>
        </w:tc>
        <w:tc>
          <w:tcPr/>
          <w:p>
            <w:pPr>
              <w:pStyle w:val="Compact"/>
              <w:jc w:val="left"/>
            </w:pPr>
            <w:r>
              <w:rPr>
                <w:b/>
                <w:bCs/>
              </w:rPr>
              <w:t xml:space="preserve">Condition tested → expected outcome</w:t>
            </w:r>
          </w:p>
        </w:tc>
        <w:tc>
          <w:tcPr/>
          <w:p>
            <w:pPr>
              <w:pStyle w:val="Compact"/>
              <w:jc w:val="left"/>
            </w:pPr>
            <w:r>
              <w:rPr>
                <w:b/>
                <w:bCs/>
              </w:rPr>
              <w:t xml:space="preserve">Predicate</w:t>
            </w:r>
          </w:p>
        </w:tc>
        <w:tc>
          <w:tcPr/>
          <w:p>
            <w:pPr>
              <w:pStyle w:val="Compact"/>
              <w:jc w:val="left"/>
            </w:pPr>
            <w:r>
              <w:rPr>
                <w:b/>
                <w:bCs/>
              </w:rPr>
              <w:t xml:space="preserve">Observed</w:t>
            </w:r>
          </w:p>
        </w:tc>
      </w:tr>
      <w:t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52"/>
    <w:bookmarkStart w:id="153" w:name="on-chain-evidence"/>
    <w:p>
      <w:pPr>
        <w:pStyle w:val="Heading2"/>
      </w:pPr>
      <w:r>
        <w:t xml:space="preserve">7.12 On-Chain Evidence</w:t>
      </w:r>
    </w:p>
    <w:p>
      <w:pPr>
        <w:pStyle w:val="FirstParagraph"/>
      </w:pPr>
      <w:r>
        <w:t xml:space="preserve">Table 10 lists the consent tokens anchored on the Ethereum Sepolia testnet (chain ID 11155111) by the ConsentSBTv2 contract at address 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10: Consent SBTs anchored on Ethereum Sepolia</w:t>
      </w:r>
    </w:p>
    <w:tbl>
      <w:tblPr>
        <w:tblStyle w:val="Table"/>
        <w:tblW w:type="pct" w:w="5000"/>
        <w:tblLayout w:type="fixed"/>
        <w:tblLook w:firstRow="1" w:lastRow="0" w:firstColumn="0" w:lastColumn="0" w:noHBand="0" w:noVBand="0" w:val="0020"/>
        <w:tblCaption w:val="Table 10: Consent SBTs anchored on Ethereum Sepolia"/>
      </w:tblPr>
      <w:tblGrid>
        <w:gridCol w:w="1111"/>
        <w:gridCol w:w="1389"/>
        <w:gridCol w:w="5418"/>
      </w:tblGrid>
      <w:tr>
        <w:trPr>
          <w:tblHeader w:val="on"/>
        </w:trPr>
        <w:tc>
          <w:tcPr/>
          <w:p>
            <w:pPr>
              <w:pStyle w:val="Compact"/>
              <w:jc w:val="left"/>
            </w:pPr>
            <w:r>
              <w:rPr>
                <w:b/>
                <w:bCs/>
              </w:rPr>
              <w:t xml:space="preserve">Token</w:t>
            </w:r>
          </w:p>
        </w:tc>
        <w:tc>
          <w:tcPr/>
          <w:p>
            <w:pPr>
              <w:pStyle w:val="Compact"/>
              <w:jc w:val="left"/>
            </w:pPr>
            <w:r>
              <w:rPr>
                <w:b/>
                <w:bCs/>
              </w:rPr>
              <w:t xml:space="preserve">Block</w:t>
            </w:r>
          </w:p>
        </w:tc>
        <w:tc>
          <w:tcPr/>
          <w:p>
            <w:pPr>
              <w:pStyle w:val="Compact"/>
              <w:jc w:val="left"/>
            </w:pPr>
            <w:r>
              <w:rPr>
                <w:b/>
                <w:bCs/>
              </w:rPr>
              <w:t xml:space="preserve">Transaction hash</w:t>
            </w:r>
          </w:p>
        </w:tc>
      </w:tr>
      <w:t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53"/>
    <w:bookmarkStart w:id="154" w:name="implementation-status-and-limitations"/>
    <w:p>
      <w:pPr>
        <w:pStyle w:val="Heading2"/>
      </w:pPr>
      <w:r>
        <w:t xml:space="preserve">7.13 Implementation Status and Limitations</w:t>
      </w:r>
    </w:p>
    <w:p>
      <w:pPr>
        <w:pStyle w:val="FirstParagraph"/>
      </w:pPr>
      <w:r>
        <w:t xml:space="preserve">The screenshots in Figures 12–16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5"/>
        </w:numPr>
      </w:pPr>
      <w:r>
        <w:t xml:space="preserve">Guardian signing keys are derived from the DID for demonstration; a deployment would use each guardian’s own wallet.</w:t>
      </w:r>
    </w:p>
    <w:p>
      <w:pPr>
        <w:pStyle w:val="Compact"/>
        <w:numPr>
          <w:ilvl w:val="0"/>
          <w:numId w:val="1075"/>
        </w:numPr>
      </w:pPr>
      <w:r>
        <w:t xml:space="preserve">DID verification is syntactic, and no W3C Verifiable Credential is yet issued or verified (Stage 2).</w:t>
      </w:r>
    </w:p>
    <w:p>
      <w:pPr>
        <w:pStyle w:val="Compact"/>
        <w:numPr>
          <w:ilvl w:val="0"/>
          <w:numId w:val="1075"/>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5"/>
        </w:numPr>
      </w:pPr>
      <w:r>
        <w:t xml:space="preserve">Purpose is checked against a fixed list; per-request purpose binding is Stage 2 work.</w:t>
      </w:r>
    </w:p>
    <w:p>
      <w:pPr>
        <w:pStyle w:val="Compact"/>
        <w:numPr>
          <w:ilvl w:val="0"/>
          <w:numId w:val="1075"/>
        </w:numPr>
      </w:pPr>
      <w:r>
        <w:t xml:space="preserve">Data release is gated by consent state, proof and scope rather than by the full decision matrix.</w:t>
      </w:r>
    </w:p>
    <w:p>
      <w:pPr>
        <w:pStyle w:val="Compact"/>
        <w:numPr>
          <w:ilvl w:val="0"/>
          <w:numId w:val="1075"/>
        </w:numPr>
      </w:pPr>
      <w:r>
        <w:t xml:space="preserve">Healthcare data are synthetic (Synthea [38]), and the blockchain is a public testnet rather than a production network.</w:t>
      </w:r>
    </w:p>
    <w:p>
      <w:pPr>
        <w:pStyle w:val="Compact"/>
        <w:numPr>
          <w:ilvl w:val="0"/>
          <w:numId w:val="1075"/>
        </w:numPr>
      </w:pPr>
      <w:r>
        <w:t xml:space="preserve">The Groth16 circuit proves consent validity only and uses a development-only trusted setup.</w:t>
      </w:r>
    </w:p>
    <w:p>
      <w:pPr>
        <w:pStyle w:val="Compact"/>
        <w:numPr>
          <w:ilvl w:val="0"/>
          <w:numId w:val="1075"/>
        </w:numPr>
      </w:pPr>
      <w:r>
        <w:t xml:space="preserve">Evaluation to date is functional (18 automated tests); performance and adversarial measurements are Stage 2 work.</w:t>
      </w:r>
    </w:p>
    <w:bookmarkEnd w:id="154"/>
    <w:bookmarkEnd w:id="155"/>
    <w:bookmarkStart w:id="162" w:name="current-progress-status"/>
    <w:p>
      <w:pPr>
        <w:pStyle w:val="Heading1"/>
      </w:pPr>
      <w:r>
        <w:t xml:space="preserve">8 Current Progress Status</w:t>
      </w:r>
    </w:p>
    <w:bookmarkStart w:id="156"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 </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 provides a conceptual basis for dynamic access decisions and allows subsequent authorisation conditions to be evaluated consistently.</w:t>
      </w:r>
    </w:p>
    <w:bookmarkEnd w:id="156"/>
    <w:bookmarkStart w:id="157"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 </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 </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9, T1).</w:t>
      </w:r>
    </w:p>
    <w:bookmarkEnd w:id="157"/>
    <w:bookmarkStart w:id="158"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 </w:t>
      </w:r>
    </w:p>
    <w:p>
      <w:pPr>
        <w:pStyle w:val="BodyText"/>
      </w:pPr>
      <w:r>
        <w:t xml:space="preserve">If the threshold is not satisfied, the decision is DENY (Eq. (10)).</w:t>
      </w:r>
    </w:p>
    <w:p>
      <w:pPr>
        <w:pStyle w:val="BodyText"/>
      </w:pPr>
      <w:r>
        <w:t xml:space="preserve"> </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13; Table 9, T3).</w:t>
      </w:r>
    </w:p>
    <w:p>
      <w:pPr>
        <w:pStyle w:val="BodyText"/>
      </w:pPr>
      <w:r>
        <w:t xml:space="preserve"> </w:t>
      </w:r>
    </w:p>
    <w:p>
      <w:pPr>
        <w:pStyle w:val="BodyText"/>
      </w:pPr>
      <w:r>
        <w:t xml:space="preserve">This provides preliminary evidence that the proposed framework can enforce collective rather than unilateral authorisation.</w:t>
      </w:r>
    </w:p>
    <w:bookmarkEnd w:id="158"/>
    <w:bookmarkStart w:id="159"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 Doctor interface (Figures 14–15,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59"/>
    <w:bookmarkStart w:id="160"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 The consent validity interval is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by Eq. (12).</w:t>
      </w:r>
    </w:p>
    <w:p>
      <w:pPr>
        <w:pStyle w:val="BodyText"/>
      </w:pPr>
      <w:r>
        <w:t xml:space="preserve"> </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60"/>
    <w:bookmarkStart w:id="161"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9)</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 </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61"/>
    <w:bookmarkEnd w:id="162"/>
    <w:bookmarkStart w:id="163"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BodyText"/>
      </w:pPr>
      <w:r>
        <w:t xml:space="preserve">Table: Table 11: Summary of Research Outputs and Publication Plan</w:t>
      </w:r>
    </w:p>
    <w:tbl>
      <w:tblPr>
        <w:tblStyle w:val="Table"/>
        <w:tblW w:type="pct" w:w="5000"/>
        <w:tblLayout w:type="fixed"/>
        <w:tblLook w:firstRow="1" w:lastRow="0" w:firstColumn="0" w:lastColumn="0" w:noHBand="0" w:noVBand="0" w:val="0020"/>
      </w:tblPr>
      <w:tblGrid>
        <w:gridCol w:w="2554"/>
        <w:gridCol w:w="1532"/>
        <w:gridCol w:w="1277"/>
        <w:gridCol w:w="2554"/>
      </w:tblGrid>
      <w:tr>
        <w:trPr>
          <w:tblHeader w:val="on"/>
        </w:trPr>
        <w:tc>
          <w:tcPr/>
          <w:p>
            <w:pPr>
              <w:pStyle w:val="Compact"/>
              <w:jc w:val="left"/>
            </w:pPr>
            <w:r>
              <w:rPr>
                <w:b/>
                <w:bCs/>
              </w:rPr>
              <w:t xml:space="preserve">Research Output / Topic</w:t>
            </w:r>
          </w:p>
        </w:tc>
        <w:tc>
          <w:tcPr/>
          <w:p>
            <w:pPr>
              <w:pStyle w:val="Compact"/>
              <w:jc w:val="left"/>
            </w:pPr>
            <w:r>
              <w:rPr>
                <w:b/>
                <w:bCs/>
              </w:rPr>
              <w:t xml:space="preserve">Target Venue</w:t>
            </w:r>
          </w:p>
        </w:tc>
        <w:tc>
          <w:tcPr/>
          <w:p>
            <w:pPr>
              <w:pStyle w:val="Compact"/>
              <w:jc w:val="left"/>
            </w:pPr>
            <w:r>
              <w:rPr>
                <w:b/>
                <w:bCs/>
              </w:rPr>
              <w:t xml:space="preserve">Current Status</w:t>
            </w:r>
          </w:p>
        </w:tc>
        <w:tc>
          <w:tcPr/>
          <w:p>
            <w:pPr>
              <w:pStyle w:val="Compact"/>
              <w:jc w:val="left"/>
            </w:pPr>
            <w:r>
              <w:rPr>
                <w:b/>
                <w:bCs/>
              </w:rPr>
              <w:t xml:space="preserve">Thesis Alignment</w:t>
            </w:r>
          </w:p>
        </w:tc>
      </w:tr>
      <w:t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[name the target journal]</w:t>
            </w:r>
          </w:p>
        </w:tc>
        <w:tc>
          <w:tcPr/>
          <w:p>
            <w:pPr>
              <w:pStyle w:val="Compact"/>
              <w:jc w:val="left"/>
            </w:pPr>
            <w:r>
              <w:t xml:space="preserve">Draft complete; submission planned [month] 2026</w:t>
            </w:r>
          </w:p>
        </w:tc>
        <w:tc>
          <w:tcPr/>
          <w:p>
            <w:pPr>
              <w:pStyle w:val="Compact"/>
              <w:jc w:val="left"/>
            </w:pPr>
            <w:r>
              <w:t xml:space="preserve">Core architectural contribution; addresses SRQ1-RQ4 (Chapters 3-4).</w:t>
            </w:r>
          </w:p>
        </w:tc>
      </w:tr>
      <w:t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63"/>
    <w:bookmarkStart w:id="166" w:name="research-plan"/>
    <w:p>
      <w:pPr>
        <w:pStyle w:val="Heading1"/>
      </w:pPr>
      <w:r>
        <w:t xml:space="preserve">10 Research Plan</w:t>
      </w:r>
    </w:p>
    <w:p>
      <w:pPr>
        <w:pStyle w:val="FirstParagraph"/>
      </w:pPr>
      <w:r>
        <w:t xml:space="preserve">The research plan is divided into two major stages corresponding to current and next stage.</w:t>
      </w:r>
    </w:p>
    <w:bookmarkStart w:id="164"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64"/>
    <w:bookmarkStart w:id="165"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12.</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12: Next Stage Research Activities, Methodological Focus, and Expected Outcomes</w:t>
      </w:r>
    </w:p>
    <w:tbl>
      <w:tblPr>
        <w:tblStyle w:val="Table"/>
        <w:tblW w:type="pct" w:w="5000"/>
        <w:tblLayout w:type="fixed"/>
        <w:tblLook w:firstRow="1" w:lastRow="0" w:firstColumn="0" w:lastColumn="0" w:noHBand="0" w:noVBand="0" w:val="0020"/>
        <w:tblCaption w:val="Table 12: Next Stage Research Activities, Methodological Focus, and Expected Outcomes"/>
      </w:tblPr>
      <w:tblGrid>
        <w:gridCol w:w="1760"/>
        <w:gridCol w:w="3520"/>
        <w:gridCol w:w="2640"/>
      </w:tblGrid>
      <w:tr>
        <w:trPr>
          <w:tblHeader w:val="on"/>
        </w:trPr>
        <w:tc>
          <w:tcPr/>
          <w:p>
            <w:pPr>
              <w:pStyle w:val="Compact"/>
              <w:jc w:val="left"/>
            </w:pPr>
            <w:r>
              <w:rPr>
                <w:b/>
                <w:bCs/>
              </w:rPr>
              <w:t xml:space="preserve">Research Focus</w:t>
            </w:r>
          </w:p>
        </w:tc>
        <w:tc>
          <w:tcPr/>
          <w:p>
            <w:pPr>
              <w:pStyle w:val="Compact"/>
              <w:jc w:val="left"/>
            </w:pPr>
            <w:r>
              <w:rPr>
                <w:b/>
                <w:bCs/>
              </w:rPr>
              <w:t xml:space="preserve">Planned Activities</w:t>
            </w:r>
          </w:p>
        </w:tc>
        <w:tc>
          <w:tcPr/>
          <w:p>
            <w:pPr>
              <w:pStyle w:val="Compact"/>
              <w:jc w:val="left"/>
            </w:pPr>
            <w:r>
              <w:rPr>
                <w:b/>
                <w:bCs/>
              </w:rPr>
              <w:t xml:space="preserve">Expected Outcome</w:t>
            </w:r>
          </w:p>
        </w:tc>
      </w:tr>
      <w:t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 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65"/>
    <w:bookmarkEnd w:id="166"/>
    <w:bookmarkStart w:id="167"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2022.</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 A Xinjiang case study.</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r>
        <w:t xml:space="preserve"> </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bookmarkEnd w:id="167"/>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83" Target="media/rId83.png" /><Relationship Type="http://schemas.openxmlformats.org/officeDocument/2006/relationships/image" Id="rId91" Target="media/rId91.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13" Target="media/rId113.png" /><Relationship Type="http://schemas.openxmlformats.org/officeDocument/2006/relationships/image" Id="rId119" Target="media/rId1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2026-09-28T09:46:58Z</dcterms:created>
  <dcterms:modified xsi:type="dcterms:W3CDTF">2026-09-28T09:46:58Z</dcterms:modified>
</cp:coreProperties>
</file>

<file path=docProps/custom.xml><?xml version="1.0" encoding="utf-8"?>
<Properties xmlns="http://schemas.openxmlformats.org/officeDocument/2006/custom-properties" xmlns:vt="http://schemas.openxmlformats.org/officeDocument/2006/docPropsVTypes"/>
</file>