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Authorization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pPr>
        <w:spacing w:before="400"/>
        <w:jc w:val="center"/>
      </w:pPr>
      <w:r>
        <w:rPr>
          <w:rFonts w:ascii="Cambria" w:cs="Cambria" w:eastAsia="Cambria" w:hAnsi="Cambria"/>
          <w:i/>
          <w:iCs/>
          <w:color w:val="C00000"/>
          <w:sz w:val="20"/>
          <w:szCs w:val="20"/>
        </w:rPr>
        <w:t xml:space="preserve">Final aligned copy: the corrections aligning this report with the implemented HALAH v1.2 system (companion document: HALAH Implementation v1.3) have been applied in place. New and revised wording appears in red, reference corrections in green; recolour to black after review.</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9</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2.2 Systematic Literature Review Methodology</w:t>
      </w:r>
      <w:r>
        <w:rPr>
          <w:rFonts w:ascii="Cambria" w:cs="Cambria" w:eastAsia="Cambria" w:hAnsi="Cambria"/>
          <w:sz w:val="22"/>
          <w:szCs w:val="22"/>
        </w:rPr>
        <w:t xml:space="preserve">	13</w:t>
      </w:r>
    </w:p>
    <w:p>
      <w:pPr>
        <w:tabs>
          <w:tab w:val="right" w:pos="9360" w:leader="dot"/>
        </w:tabs>
        <w:spacing w:after="60"/>
        <w:ind w:left="720"/>
      </w:pPr>
      <w:r>
        <w:rPr>
          <w:rFonts w:ascii="Cambria" w:cs="Cambria" w:eastAsia="Cambria" w:hAnsi="Cambria"/>
          <w:b w:val="false"/>
          <w:bCs w:val="false"/>
          <w:sz w:val="20"/>
          <w:szCs w:val="20"/>
        </w:rPr>
        <w:t xml:space="preserve">2.2.1 Review Design and Reporting Framework</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2.2.2 Questions for Review</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2.2.3 Search Databases and Search Strategy</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2.2.4 Search Period and Search Execution</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2.2.5 Eligibility Criteria</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2.2.6 Screening and Study Selection</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2.2.7 Data Extraction and Synthesis</w:t>
      </w:r>
      <w:r>
        <w:rPr>
          <w:rFonts w:ascii="Cambria" w:cs="Cambria" w:eastAsia="Cambria" w:hAnsi="Cambria"/>
          <w:sz w:val="20"/>
          <w:szCs w:val="20"/>
        </w:rPr>
        <w:t xml:space="preserve">	18</w:t>
      </w:r>
    </w:p>
    <w:p>
      <w:pPr>
        <w:tabs>
          <w:tab w:val="right" w:pos="9360" w:leader="dot"/>
        </w:tabs>
        <w:spacing w:after="60"/>
        <w:ind w:left="360"/>
      </w:pPr>
      <w:r>
        <w:rPr>
          <w:rFonts w:ascii="Cambria" w:cs="Cambria" w:eastAsia="Cambria" w:hAnsi="Cambria"/>
          <w:b w:val="false"/>
          <w:bCs w:val="false"/>
          <w:sz w:val="22"/>
          <w:szCs w:val="22"/>
        </w:rPr>
        <w:t xml:space="preserve">2.3 Review</w:t>
      </w:r>
      <w:r>
        <w:rPr>
          <w:rFonts w:ascii="Cambria" w:cs="Cambria" w:eastAsia="Cambria" w:hAnsi="Cambria"/>
          <w:sz w:val="22"/>
          <w:szCs w:val="22"/>
        </w:rPr>
        <w:t xml:space="preserve">	19</w:t>
      </w:r>
    </w:p>
    <w:p>
      <w:pPr>
        <w:tabs>
          <w:tab w:val="right" w:pos="9360" w:leader="dot"/>
        </w:tabs>
        <w:spacing w:after="60"/>
        <w:ind w:left="720"/>
      </w:pPr>
      <w:r>
        <w:rPr>
          <w:rFonts w:ascii="Cambria" w:cs="Cambria" w:eastAsia="Cambria" w:hAnsi="Cambria"/>
          <w:b w:val="false"/>
          <w:bCs w:val="false"/>
          <w:sz w:val="20"/>
          <w:szCs w:val="20"/>
        </w:rPr>
        <w:t xml:space="preserve">2.3.1 Healthcare Consent and Decentralised Data Governance</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2.3.2 Blockchain-Based Consent and Data Governance</w:t>
      </w:r>
      <w:r>
        <w:rPr>
          <w:rFonts w:ascii="Cambria" w:cs="Cambria" w:eastAsia="Cambria" w:hAnsi="Cambria"/>
          <w:sz w:val="20"/>
          <w:szCs w:val="20"/>
        </w:rPr>
        <w:t xml:space="preserve">	21</w:t>
      </w:r>
    </w:p>
    <w:p>
      <w:pPr>
        <w:tabs>
          <w:tab w:val="right" w:pos="9360" w:leader="dot"/>
        </w:tabs>
        <w:spacing w:after="60"/>
        <w:ind w:left="720"/>
      </w:pPr>
      <w:r>
        <w:rPr>
          <w:rFonts w:ascii="Cambria" w:cs="Cambria" w:eastAsia="Cambria" w:hAnsi="Cambria"/>
          <w:b w:val="false"/>
          <w:bCs w:val="false"/>
          <w:sz w:val="20"/>
          <w:szCs w:val="20"/>
        </w:rPr>
        <w:t xml:space="preserve">2.3.3 Decentralised Identity and Verifiable Credentials</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2.3.4 Multi-Party Authorisation and Collaborative Consent</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2.3.5 Policy-Based and Context-Aware Access Control</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2.3.6 Trusted Computing, Secure Execution, and Security Assurance</w:t>
      </w:r>
      <w:r>
        <w:rPr>
          <w:rFonts w:ascii="Cambria" w:cs="Cambria" w:eastAsia="Cambria" w:hAnsi="Cambria"/>
          <w:sz w:val="20"/>
          <w:szCs w:val="20"/>
        </w:rPr>
        <w:t xml:space="preserve">	25</w:t>
      </w:r>
    </w:p>
    <w:p>
      <w:pPr>
        <w:tabs>
          <w:tab w:val="right" w:pos="9360" w:leader="dot"/>
        </w:tabs>
        <w:spacing w:after="60"/>
        <w:ind w:left="720"/>
      </w:pPr>
      <w:r>
        <w:rPr>
          <w:rFonts w:ascii="Cambria" w:cs="Cambria" w:eastAsia="Cambria" w:hAnsi="Cambria"/>
          <w:b w:val="false"/>
          <w:bCs w:val="false"/>
          <w:sz w:val="20"/>
          <w:szCs w:val="20"/>
        </w:rPr>
        <w:t xml:space="preserve">2.3.7 Comparative Analysis of Existing Approaches</w:t>
      </w:r>
      <w:r>
        <w:rPr>
          <w:rFonts w:ascii="Cambria" w:cs="Cambria" w:eastAsia="Cambria" w:hAnsi="Cambria"/>
          <w:sz w:val="20"/>
          <w:szCs w:val="20"/>
        </w:rPr>
        <w:t xml:space="preserve">	26</w:t>
      </w:r>
    </w:p>
    <w:p>
      <w:pPr>
        <w:tabs>
          <w:tab w:val="right" w:pos="9360" w:leader="dot"/>
        </w:tabs>
        <w:spacing w:after="60"/>
        <w:ind w:left="360"/>
      </w:pPr>
      <w:r>
        <w:rPr>
          <w:rFonts w:ascii="Cambria" w:cs="Cambria" w:eastAsia="Cambria" w:hAnsi="Cambria"/>
          <w:b w:val="false"/>
          <w:bCs w:val="false"/>
          <w:sz w:val="22"/>
          <w:szCs w:val="22"/>
        </w:rPr>
        <w:t xml:space="preserve">2.4 Synthesis and Research Gap</w:t>
      </w:r>
      <w:r>
        <w:rPr>
          <w:rFonts w:ascii="Cambria" w:cs="Cambria" w:eastAsia="Cambria" w:hAnsi="Cambria"/>
          <w:sz w:val="22"/>
          <w:szCs w:val="22"/>
        </w:rPr>
        <w:t xml:space="preserve">	27</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30</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30</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31</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32</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32</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33</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33</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35</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37</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40</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40</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40</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41</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41</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41</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43</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47</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47</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49</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51</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53</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Authorization Workflow</w:t>
      </w:r>
      <w:r>
        <w:rPr>
          <w:rFonts w:ascii="Cambria" w:cs="Cambria" w:eastAsia="Cambria" w:hAnsi="Cambria"/>
          <w:sz w:val="22"/>
          <w:szCs w:val="22"/>
        </w:rPr>
        <w:t xml:space="preserve">	54</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57</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59</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63</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63</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66</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66</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66</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68</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70</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70</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71</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71</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74</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75</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75</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76</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78</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80</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80</w:t>
      </w:r>
    </w:p>
    <w:p>
      <w:pPr>
        <w:tabs>
          <w:tab w:val="right" w:pos="9360" w:leader="dot"/>
        </w:tabs>
        <w:spacing w:after="60"/>
        <w:ind w:left="720"/>
      </w:pPr>
      <w:r>
        <w:rPr>
          <w:rFonts w:ascii="Cambria" w:cs="Cambria" w:eastAsia="Cambria" w:hAnsi="Cambria"/>
          <w:b w:val="false"/>
          <w:bCs w:val="false"/>
          <w:sz w:val="20"/>
          <w:szCs w:val="20"/>
        </w:rPr>
        <w:t xml:space="preserve">6.4.2 Procedure for Temporal and Lifecycle Validation</w:t>
      </w:r>
      <w:r>
        <w:rPr>
          <w:rFonts w:ascii="Cambria" w:cs="Cambria" w:eastAsia="Cambria" w:hAnsi="Cambria"/>
          <w:sz w:val="20"/>
          <w:szCs w:val="20"/>
        </w:rPr>
        <w:t xml:space="preserve">	81</w:t>
      </w:r>
    </w:p>
    <w:p>
      <w:pPr>
        <w:tabs>
          <w:tab w:val="right" w:pos="9360" w:leader="dot"/>
        </w:tabs>
        <w:spacing w:after="60"/>
        <w:ind w:left="720"/>
      </w:pPr>
      <w:r>
        <w:rPr>
          <w:rFonts w:ascii="Cambria" w:cs="Cambria" w:eastAsia="Cambria" w:hAnsi="Cambria"/>
          <w:b w:val="false"/>
          <w:bCs w:val="false"/>
          <w:sz w:val="20"/>
          <w:szCs w:val="20"/>
        </w:rPr>
        <w:t xml:space="preserve">6.4.3 Algorithm 4: Policy-Aware Access Decision</w:t>
      </w:r>
      <w:r>
        <w:rPr>
          <w:rFonts w:ascii="Cambria" w:cs="Cambria" w:eastAsia="Cambria" w:hAnsi="Cambria"/>
          <w:sz w:val="20"/>
          <w:szCs w:val="20"/>
        </w:rPr>
        <w:t xml:space="preserve">	84</w:t>
      </w:r>
    </w:p>
    <w:p>
      <w:pPr>
        <w:tabs>
          <w:tab w:val="right" w:pos="9360" w:leader="dot"/>
        </w:tabs>
        <w:spacing w:after="60"/>
        <w:ind w:left="720"/>
      </w:pPr>
      <w:r>
        <w:rPr>
          <w:rFonts w:ascii="Cambria" w:cs="Cambria" w:eastAsia="Cambria" w:hAnsi="Cambria"/>
          <w:b w:val="false"/>
          <w:bCs w:val="false"/>
          <w:sz w:val="20"/>
          <w:szCs w:val="20"/>
        </w:rPr>
        <w:t xml:space="preserve">6.4.4 Procedure for Policy-Aware Access Decision</w:t>
      </w:r>
      <w:r>
        <w:rPr>
          <w:rFonts w:ascii="Cambria" w:cs="Cambria" w:eastAsia="Cambria" w:hAnsi="Cambria"/>
          <w:sz w:val="20"/>
          <w:szCs w:val="20"/>
        </w:rPr>
        <w:t xml:space="preserve">	85</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88</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6.5.2 Algorithm 5: Temporal and Lifecycle Validation</w:t>
      </w:r>
      <w:r>
        <w:rPr>
          <w:rFonts w:ascii="Cambria" w:cs="Cambria" w:eastAsia="Cambria" w:hAnsi="Cambria"/>
          <w:sz w:val="20"/>
          <w:szCs w:val="20"/>
        </w:rPr>
        <w:t xml:space="preserve">	89</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91</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91</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92</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97</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97</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99</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99</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w:t>
      </w:r>
      <w:r>
        <w:rPr>
          <w:rFonts w:ascii="Cambria" w:cs="Cambria" w:eastAsia="Cambria" w:hAnsi="Cambria"/>
          <w:sz w:val="22"/>
          <w:szCs w:val="22"/>
        </w:rPr>
        <w:t xml:space="preserve">	99</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sz w:val="22"/>
          <w:szCs w:val="22"/>
        </w:rPr>
        <w:t xml:space="preserve">7.4 Progress of RO4: Policy-Aware Access Control</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101</w:t>
      </w:r>
    </w:p>
    <w:p>
      <w:pPr>
        <w:tabs>
          <w:tab w:val="right" w:pos="9360" w:leader="dot"/>
        </w:tabs>
        <w:spacing w:after="60"/>
        <w:ind w:left="360"/>
      </w:pPr>
      <w:r>
        <w:rPr>
          <w:rFonts w:ascii="Cambria" w:cs="Cambria" w:eastAsia="Cambria" w:hAnsi="Cambria"/>
          <w:b w:val="false"/>
          <w:bCs w:val="false"/>
          <w:sz w:val="22"/>
          <w:szCs w:val="22"/>
        </w:rPr>
        <w:t xml:space="preserve">7.6 Progress of RO6: Security Assurance and Validation</w:t>
      </w:r>
      <w:r>
        <w:rPr>
          <w:rFonts w:ascii="Cambria" w:cs="Cambria" w:eastAsia="Cambria" w:hAnsi="Cambria"/>
          <w:sz w:val="22"/>
          <w:szCs w:val="22"/>
        </w:rPr>
        <w:t xml:space="preserve">	102</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103</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104</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104</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104</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109</w:t>
      </w:r>
    </w:p>
    <w:p>
      <w:pPr>
        <w:pStyle w:val="Heading1"/>
        <w:pageBreakBefore/>
        <w:spacing w:after="160" w:before="400"/>
      </w:pPr>
      <w:r>
        <w:t xml:space="preserve">1  Introduction</w:t>
      </w:r>
    </w:p>
    <w:p>
      <w:pPr>
        <w:pStyle w:val="Heading2"/>
        <w:spacing w:after="160" w:before="280"/>
      </w:pPr>
      <w: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w:t>
      </w:r>
      <w:r>
        <w:rPr>
          <w:rFonts w:ascii="Cambria" w:cs="Cambria" w:eastAsia="Cambria" w:hAnsi="Cambria"/>
          <w:b/>
          <w:bCs/>
          <w:color w:val="007A00"/>
          <w:sz w:val="24"/>
          <w:szCs w:val="24"/>
        </w:rPr>
        <w:t xml:space="preserve">[31, 14]</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Heading2"/>
        <w:spacing w:after="160" w:before="280"/>
      </w:pPr>
      <w: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sz w:val="24"/>
          <w:szCs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pStyle w:val="Heading2"/>
        <w:spacing w:after="160" w:before="280"/>
      </w:pPr>
      <w:r>
        <w:t xml:space="preserve">1.3  Research Motivation</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sz w:val="24"/>
          <w:szCs w:val="24"/>
        </w:rP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sz w:val="24"/>
          <w:szCs w:val="24"/>
        </w:rPr>
        <w:t xml:space="preserve">The subsequent next stage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spacing w:after="140" w:line="300"/>
        <w:jc w:val="both"/>
      </w:pPr>
      <w:r>
        <w:rPr>
          <w:rFonts w:ascii="Cambria" w:cs="Cambria" w:eastAsia="Cambria" w:hAnsi="Cambria"/>
          <w:color w:val="C00000"/>
          <w:sz w:val="24"/>
          <w:szCs w:val="24"/>
        </w:rPr>
        <w:t xml:space="preserve">The framework has been extended to incorporate temporal validity and lifecycle trust.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C00000"/>
          <w:sz w:val="24"/>
          <w:szCs w:val="24"/>
        </w:rPr>
        <w:t xml:space="preserve">The research has since extended this foundation towards dynamic trust management, and stronger formal security assurance remains the focus of the subsequent research stage.</w:t>
      </w:r>
    </w:p>
    <w:p>
      <w:pPr>
        <w:spacing w:after="140" w:line="300"/>
        <w:jc w:val="both"/>
      </w:pPr>
      <w:r>
        <w:rPr>
          <w:rFonts w:ascii="Cambria" w:cs="Cambria" w:eastAsia="Cambria" w:hAnsi="Cambria"/>
          <w:sz w:val="24"/>
          <w:szCs w:val="24"/>
        </w:rPr>
        <w:t xml:space="preserve">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w:t>
      </w:r>
    </w:p>
    <w:p>
      <w:pPr>
        <w:spacing w:after="140" w:line="300"/>
        <w:jc w:val="both"/>
      </w:pPr>
      <w:r>
        <w:rPr>
          <w:rFonts w:ascii="Cambria" w:cs="Cambria" w:eastAsia="Cambria" w:hAnsi="Cambria"/>
          <w:color w:val="C00000"/>
          <w:sz w:val="24"/>
          <w:szCs w:val="24"/>
        </w:rPr>
        <w:t xml:space="preserve">Adversarial and negative testing has been undertaken using the HALAH prototype, encompassing per-dimension denial scenarios, signature-rejection tests, and zero-knowledge tamper and expiry tests, together with a live negative evaluation on the Sepolia network. Consequently, formal security analysis remains the subject of the next research stage.</w:t>
      </w:r>
    </w:p>
    <w:p>
      <w:pPr>
        <w:spacing w:after="140" w:line="300"/>
        <w:jc w:val="both"/>
      </w:pPr>
      <w:r>
        <w:rPr>
          <w:rFonts w:ascii="Cambria" w:cs="Cambria" w:eastAsia="Cambria" w:hAnsi="Cambria"/>
          <w:color w:val="C00000"/>
          <w:sz w:val="24"/>
          <w:szCs w:val="24"/>
        </w:rPr>
        <w:t xml:space="preserve">The next stage will investigate formal security assurance, whereas empirical validation has now been undertaken on the implemented prototype.</w:t>
      </w:r>
    </w:p>
    <w:p>
      <w:pPr>
        <w:spacing w:after="140" w:line="300"/>
        <w:jc w:val="both"/>
      </w:pPr>
      <w:r>
        <w:rPr>
          <w:rFonts w:ascii="Cambria" w:cs="Cambria" w:eastAsia="Cambria" w:hAnsi="Cambria"/>
          <w:color w:val="C00000"/>
          <w:sz w:val="24"/>
          <w:szCs w:val="24"/>
        </w:rPr>
        <w:t xml:space="preserve">Table 1 summarises the research dimensions, distinguishing those realised in the implemented HALAH prototype from the formal security assurance that remains for the subsequent research.</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current research is concerned primarily with establishing the conceptual and technical foundations through which trustworthy multi-party authorisation can be constructed. Next stage will build upon these foundations by investigating how authorisation trust can be maintained dynamically over time, formally reasoned about under defined security assumptions, and comprehensively validated through prototype-based experimentation.</w:t>
      </w:r>
    </w:p>
    <w:p>
      <w:pPr>
        <w:spacing w:after="140" w:line="300"/>
        <w:jc w:val="both"/>
      </w:pPr>
      <w:r>
        <w:rPr>
          <w:rFonts w:ascii="Cambria" w:cs="Cambria" w:eastAsia="Cambria" w:hAnsi="Cambria"/>
          <w:color w:val="C00000"/>
          <w:sz w:val="24"/>
          <w:szCs w:val="24"/>
        </w:rPr>
        <w:t xml:space="preserve">The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C00000"/>
          <w:sz w:val="24"/>
          <w:szCs w:val="24"/>
        </w:rPr>
        <w:t xml:space="preserve">The implemented prototype now maintains authorisation trust dynamically over time and has been validated through prototype-based experimentation. Consequently, the next stage will build upon these foundations by reasoning formally about the authorisation model under defined security assumptions.</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C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keepNext/>
        <w:spacing w:after="80" w:before="160"/>
        <w:jc w:val="center"/>
      </w:pPr>
      <w:r>
        <w:rPr>
          <w:rFonts w:ascii="Cambria" w:cs="Cambria" w:eastAsia="Cambria" w:hAnsi="Cambria"/>
          <w:b/>
          <w:bCs/>
          <w:sz w:val="21"/>
          <w:szCs w:val="21"/>
        </w:rPr>
        <w:t xml:space="preserve">Table 1: </w:t>
      </w:r>
      <w:r>
        <w:rPr>
          <w:rFonts w:ascii="Cambria" w:cs="Cambria" w:eastAsia="Cambria" w:hAnsi="Cambria"/>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Modelling</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pStyle w:val="Heading1"/>
        <w:pageBreakBefore/>
        <w:spacing w:after="160" w:before="400"/>
      </w:pPr>
      <w:r>
        <w:t xml:space="preserve">2  Systematic Literature Review</w:t>
      </w:r>
    </w:p>
    <w:p>
      <w:pPr>
        <w:pStyle w:val="Heading2"/>
        <w:spacing w:after="160" w:before="280"/>
      </w:pPr>
      <w: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2"/>
        <w:spacing w:after="160" w:before="280"/>
      </w:pPr>
      <w:r>
        <w:t xml:space="preserve">2.2  Systematic Literature Review Methodology</w:t>
      </w:r>
    </w:p>
    <w:p>
      <w:pPr>
        <w:spacing w:after="140" w:line="300"/>
        <w:jc w:val="both"/>
      </w:pPr>
      <w:r>
        <w:rPr>
          <w:rFonts w:ascii="Cambria" w:cs="Cambria" w:eastAsia="Cambria" w:hAnsi="Cambria"/>
          <w:b/>
          <w:bCs/>
          <w:color w:val="007A00"/>
          <w:sz w:val="24"/>
          <w:szCs w:val="24"/>
        </w:rPr>
        <w:t xml:space="preserve">The review corpus comprises the 33 studies identified through the search and screening process described in the remainder of this section. The included studies span the years 2022 to 2026 and concentrate on blockchain-based data governance, decentralised identity, verifiable credentials, healthcare access control, and consent management.</w:t>
      </w:r>
    </w:p>
    <w:p>
      <w:pPr>
        <w:spacing w:after="140" w:line="300"/>
        <w:jc w:val="both"/>
      </w:pPr>
      <w:r>
        <w:rPr>
          <w:rFonts w:ascii="Cambria" w:cs="Cambria" w:eastAsia="Cambria" w:hAnsi="Cambria"/>
          <w:b/>
          <w:bCs/>
          <w:color w:val="007A00"/>
          <w:sz w:val="24"/>
          <w:szCs w:val="24"/>
        </w:rPr>
        <w:t xml:space="preserve">Within this corpus, references [1, 2, 3, 7, 9, 11, 12, 13, 14, 21, 22, 24, 28, 31, 32] address the healthcare data sharing, consent, and access-control dimensions of the review, while references [4, 5, 10, 15, 16, 20, 23, 25, 27, 33] address the decentralised identifier, verifiable credential, and trust-architecture dimensions; the remaining studies contribute to multi-party governance and security assurance.</w:t>
      </w:r>
    </w:p>
    <w:p>
      <w:pPr>
        <w:pStyle w:val="Heading3"/>
        <w:spacing w:after="160" w:before="280"/>
      </w:pPr>
      <w:r>
        <w:t xml:space="preserve">2.2.1  Review Design and Reporting Framework</w:t>
      </w:r>
    </w:p>
    <w:p>
      <w:pPr>
        <w:spacing w:after="140" w:line="300"/>
        <w:jc w:val="both"/>
      </w:pPr>
      <w:r>
        <w:rPr>
          <w:rFonts w:ascii="Cambria" w:cs="Cambria" w:eastAsia="Cambria" w:hAnsi="Cambria"/>
          <w:sz w:val="24"/>
          <w:szCs w:val="24"/>
        </w:rPr>
        <w:t xml:space="preserve">A systematic literature review (SLR) was conducted to identify, classify, and critically evaluate existing research on multi-party healthcare data sharing, patient consent management, decentralized identity, privacy-preserving access control, and auditability. The review was designed to establish the conceptual and technical foundations of the research and thus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authorization enforcement, privacy preservation, and auditable data access.</w:t>
      </w:r>
    </w:p>
    <w:p>
      <w:pPr>
        <w:spacing w:after="140" w:line="300"/>
        <w:jc w:val="both"/>
      </w:pPr>
      <w:r>
        <w:rPr>
          <w:rFonts w:ascii="Cambria" w:cs="Cambria" w:eastAsia="Cambria" w:hAnsi="Cambria"/>
          <w:sz w:val="24"/>
          <w:szCs w:val="24"/>
        </w:rP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pStyle w:val="Heading3"/>
        <w:spacing w:after="160" w:before="280"/>
      </w:pPr>
      <w:r>
        <w:t xml:space="preserve">2.2.2  Questions for Review</w:t>
      </w:r>
    </w:p>
    <w:p>
      <w:pPr>
        <w:spacing w:after="140" w:line="300"/>
        <w:jc w:val="both"/>
      </w:pPr>
      <w:r>
        <w:rPr>
          <w:rFonts w:ascii="Cambria" w:cs="Cambria" w:eastAsia="Cambria" w:hAnsi="Cambria"/>
          <w:sz w:val="24"/>
          <w:szCs w:val="24"/>
        </w:rPr>
        <w:t xml:space="preserve">This systematic literature review (SLR) is guided by the following questions</w:t>
      </w:r>
    </w:p>
    <w:p>
      <w:pPr>
        <w:spacing w:after="140" w:line="300"/>
        <w:jc w:val="both"/>
      </w:pPr>
      <w:r>
        <w:rPr>
          <w:rFonts w:ascii="Cambria" w:cs="Cambria" w:eastAsia="Cambria" w:hAnsi="Cambria"/>
          <w:sz w:val="24"/>
          <w:szCs w:val="24"/>
        </w:rPr>
        <w:t xml:space="preserve">1. What multi-party trust approaches have been proposed for healthcare data sharing and patient consent management?</w:t>
      </w:r>
    </w:p>
    <w:p>
      <w:pPr>
        <w:spacing w:after="140" w:line="300"/>
        <w:jc w:val="both"/>
      </w:pPr>
      <w:r>
        <w:rPr>
          <w:rFonts w:ascii="Cambria" w:cs="Cambria" w:eastAsia="Cambria" w:hAnsi="Cambria"/>
          <w:sz w:val="24"/>
          <w:szCs w:val="24"/>
        </w:rPr>
        <w:t xml:space="preserve">2. How do existing approaches represent, verify, and enforce patient consent and data access permissions?</w:t>
      </w:r>
    </w:p>
    <w:p>
      <w:pPr>
        <w:spacing w:after="140" w:line="300"/>
        <w:jc w:val="both"/>
      </w:pPr>
      <w:r>
        <w:rPr>
          <w:rFonts w:ascii="Cambria" w:cs="Cambria" w:eastAsia="Cambria" w:hAnsi="Cambria"/>
          <w:sz w:val="24"/>
          <w:szCs w:val="24"/>
        </w:rPr>
        <w:t xml:space="preserve">3. What mechanisms are used to support decentralized identity, verifiable credentials, and authentication in healthcare data ecosystems?</w:t>
      </w:r>
    </w:p>
    <w:p>
      <w:pPr>
        <w:spacing w:after="140" w:line="300"/>
        <w:jc w:val="both"/>
      </w:pPr>
      <w:r>
        <w:rPr>
          <w:rFonts w:ascii="Cambria" w:cs="Cambria" w:eastAsia="Cambria" w:hAnsi="Cambria"/>
          <w:sz w:val="24"/>
          <w:szCs w:val="24"/>
        </w:rPr>
        <w:t xml:space="preserve">4. How do existing systems address privacy preservation, selective disclosure, interoperability, and auditability?</w:t>
      </w:r>
    </w:p>
    <w:p>
      <w:pPr>
        <w:spacing w:after="140" w:line="300"/>
        <w:jc w:val="both"/>
      </w:pPr>
      <w:r>
        <w:rPr>
          <w:rFonts w:ascii="Cambria" w:cs="Cambria" w:eastAsia="Cambria" w:hAnsi="Cambria"/>
          <w:sz w:val="24"/>
          <w:szCs w:val="24"/>
        </w:rPr>
        <w:t xml:space="preserve">5. What limitations remain regarding the integration of consent management, identity verification, access control, and auditable healthcare data sharing?</w:t>
      </w:r>
    </w:p>
    <w:p>
      <w:pPr>
        <w:spacing w:after="140" w:line="300"/>
        <w:jc w:val="both"/>
      </w:pPr>
      <w:r>
        <w:rPr>
          <w:rFonts w:ascii="Cambria" w:cs="Cambria" w:eastAsia="Cambria" w:hAnsi="Cambria"/>
          <w:sz w:val="24"/>
          <w:szCs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pStyle w:val="Heading3"/>
        <w:spacing w:after="160" w:before="280"/>
      </w:pPr>
      <w:r>
        <w:t xml:space="preserve">2.2.3  Search Databases and Search Strategy</w:t>
      </w:r>
    </w:p>
    <w:p>
      <w:pPr>
        <w:spacing w:after="140" w:line="300"/>
        <w:jc w:val="both"/>
      </w:pPr>
      <w:r>
        <w:rPr>
          <w:rFonts w:ascii="Cambria" w:cs="Cambria" w:eastAsia="Cambria" w:hAnsi="Cambria"/>
          <w:sz w:val="24"/>
          <w:szCs w:val="24"/>
        </w:rPr>
        <w:t xml:space="preserve">The literature search was conducted using the following academic databases including 1) IEEE Xplore, 2) ACM Digital Library, 3) ScienceDirect, 4) SpringerLink, 5) PubMed, 6) Scopus; and 7) Web of Science.</w:t>
      </w:r>
    </w:p>
    <w:p>
      <w:pPr>
        <w:spacing w:after="140" w:line="300"/>
        <w:jc w:val="both"/>
      </w:pPr>
      <w:r>
        <w:rPr>
          <w:rFonts w:ascii="Cambria" w:cs="Cambria" w:eastAsia="Cambria" w:hAnsi="Cambria"/>
          <w:sz w:val="24"/>
          <w:szCs w:val="24"/>
        </w:rP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decentralized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spacing w:after="140" w:line="300"/>
        <w:jc w:val="both"/>
      </w:pPr>
      <w:r>
        <w:rPr>
          <w:rFonts w:ascii="Cambria" w:cs="Cambria" w:eastAsia="Cambria" w:hAnsi="Cambria"/>
          <w:sz w:val="24"/>
          <w:szCs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decentralized identity, access control, privacy, and auditability. The general search string was defined as shown in Figure 1.</w:t>
      </w:r>
    </w:p>
    <w:p>
      <w:pPr>
        <w:spacing w:after="140" w:line="300"/>
        <w:jc w:val="both"/>
      </w:pPr>
      <w:r>
        <w:rPr>
          <w:rFonts w:ascii="Cambria" w:cs="Cambria" w:eastAsia="Cambria" w:hAnsi="Cambria"/>
          <w:b/>
          <w:bCs/>
          <w:color w:val="007A00"/>
          <w:sz w:val="24"/>
          <w:szCs w:val="24"/>
        </w:rPr>
        <w:t xml:space="preserve">The supporting-requirements block of the search string additionally captured trusted-execution terminology (trusted computing, trusted execution environment, attestation), which yielded the secure-execution studies reviewed in Section 2.3.6.</w:t>
      </w:r>
    </w:p>
    <w:p>
      <w:pPr>
        <w:keepNext/>
        <w:spacing w:after="60" w:before="140"/>
        <w:jc w:val="center"/>
      </w:pPr>
      <w:r>
        <w:drawing>
          <wp:inline distT="0" distB="0" distL="0" distR="0">
            <wp:extent cx="5715000" cy="3638550"/>
            <wp:effectExtent t="0" r="0" b="0" l="0"/>
            <wp:docPr id="1" name="gfig1.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38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pStyle w:val="Heading3"/>
        <w:spacing w:after="160" w:before="280"/>
      </w:pPr>
      <w:r>
        <w:t xml:space="preserve">2.2.4  Search Period and Search Execution</w:t>
      </w:r>
    </w:p>
    <w:p>
      <w:pPr>
        <w:spacing w:after="140" w:line="300"/>
        <w:jc w:val="both"/>
      </w:pPr>
      <w:r>
        <w:rPr>
          <w:rFonts w:ascii="Cambria" w:cs="Cambria" w:eastAsia="Cambria" w:hAnsi="Cambria"/>
          <w:sz w:val="24"/>
          <w:szCs w:val="24"/>
        </w:rPr>
        <w:t xml:space="preserve">The search was restricted to studies published between 2022 and 2026. The search was performed on August 2026. The search period was selected to capture the rapid development of multi-party trust healthcare data management, decentralized identity, and consent-aware access control while maintaining a sufficiently contemporary evidence base. Earlier foundational studies were retained when they provided critical contributions to the technical or conceptual development of the reviewed approaches.</w:t>
      </w:r>
    </w:p>
    <w:p>
      <w:pPr>
        <w:spacing w:after="140" w:line="300"/>
        <w:jc w:val="both"/>
      </w:pPr>
      <w:r>
        <w:rPr>
          <w:rFonts w:ascii="Cambria" w:cs="Cambria" w:eastAsia="Cambria" w:hAnsi="Cambria"/>
          <w:sz w:val="24"/>
          <w:szCs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Heading3"/>
        <w:spacing w:after="160" w:before="280"/>
      </w:pPr>
      <w:r>
        <w:t xml:space="preserve">2.2.5  Eligibility Criteria</w:t>
      </w:r>
    </w:p>
    <w:p>
      <w:pPr>
        <w:spacing w:after="140" w:line="300"/>
        <w:jc w:val="both"/>
      </w:pPr>
      <w:r>
        <w:rPr>
          <w:rFonts w:ascii="Cambria" w:cs="Cambria" w:eastAsia="Cambria" w:hAnsi="Cambria"/>
          <w:sz w:val="24"/>
          <w:szCs w:val="24"/>
        </w:rPr>
        <w:t xml:space="preserve">The eligibility criteria were defined before the screening process to ensure consistency in the selection of studies. The criteria were designed to identify research that was directly relevant to the objectives of the SLR.</w:t>
      </w:r>
    </w:p>
    <w:p>
      <w:pPr>
        <w:spacing w:after="140" w:line="300"/>
        <w:jc w:val="both"/>
      </w:pPr>
      <w:r>
        <w:rPr>
          <w:rFonts w:ascii="Cambria" w:cs="Cambria" w:eastAsia="Cambria" w:hAnsi="Cambria"/>
          <w:sz w:val="24"/>
          <w:szCs w:val="24"/>
        </w:rPr>
        <w:t xml:space="preserve">A study was included if it satisfied the following criteria</w:t>
      </w:r>
    </w:p>
    <w:p>
      <w:pPr>
        <w:spacing w:after="140" w:line="300"/>
        <w:jc w:val="both"/>
      </w:pPr>
      <w:r>
        <w:rPr>
          <w:rFonts w:ascii="Cambria" w:cs="Cambria" w:eastAsia="Cambria" w:hAnsi="Cambria"/>
          <w:sz w:val="24"/>
          <w:szCs w:val="24"/>
        </w:rPr>
        <w:t xml:space="preserve">1. The study was published as a peer-reviewed journal article, conference paper, or systematic review relevant to the research questions.</w:t>
      </w:r>
    </w:p>
    <w:p>
      <w:pPr>
        <w:spacing w:after="140" w:line="300"/>
        <w:jc w:val="both"/>
      </w:pPr>
      <w:r>
        <w:rPr>
          <w:rFonts w:ascii="Cambria" w:cs="Cambria" w:eastAsia="Cambria" w:hAnsi="Cambria"/>
          <w:sz w:val="24"/>
          <w:szCs w:val="24"/>
        </w:rPr>
        <w:t xml:space="preserve">2. The study addressed healthcare data sharing, electronic health records, patient consent, healthcare access control, decentralized identity, privacy preservation, or a closely related topic.</w:t>
      </w:r>
    </w:p>
    <w:p>
      <w:pPr>
        <w:spacing w:after="140" w:line="300"/>
        <w:jc w:val="both"/>
      </w:pPr>
      <w:r>
        <w:rPr>
          <w:rFonts w:ascii="Cambria" w:cs="Cambria" w:eastAsia="Cambria" w:hAnsi="Cambria"/>
          <w:sz w:val="24"/>
          <w:szCs w:val="24"/>
        </w:rPr>
        <w:t xml:space="preserve">3. The study proposed, implemented, evaluated, or critically reviewed a technical, architectural, conceptual, or governance-oriented approach relevant to the research questions.</w:t>
      </w:r>
    </w:p>
    <w:p>
      <w:pPr>
        <w:spacing w:after="140" w:line="300"/>
        <w:jc w:val="both"/>
      </w:pPr>
      <w:r>
        <w:rPr>
          <w:rFonts w:ascii="Cambria" w:cs="Cambria" w:eastAsia="Cambria" w:hAnsi="Cambria"/>
          <w:sz w:val="24"/>
          <w:szCs w:val="24"/>
        </w:rPr>
        <w:t xml:space="preserve">4. The study provided sufficient methodological or conceptual information to support the extraction of relevant findings.</w:t>
      </w:r>
    </w:p>
    <w:p>
      <w:pPr>
        <w:spacing w:after="140" w:line="300"/>
        <w:jc w:val="both"/>
      </w:pPr>
      <w:r>
        <w:rPr>
          <w:rFonts w:ascii="Cambria" w:cs="Cambria" w:eastAsia="Cambria" w:hAnsi="Cambria"/>
          <w:sz w:val="24"/>
          <w:szCs w:val="24"/>
        </w:rPr>
        <w:t xml:space="preserve">5. The full text was available for inspection.</w:t>
      </w:r>
    </w:p>
    <w:p>
      <w:pPr>
        <w:spacing w:after="140" w:line="300"/>
        <w:jc w:val="both"/>
      </w:pPr>
      <w:r>
        <w:rPr>
          <w:rFonts w:ascii="Cambria" w:cs="Cambria" w:eastAsia="Cambria" w:hAnsi="Cambria"/>
          <w:sz w:val="24"/>
          <w:szCs w:val="24"/>
        </w:rPr>
        <w:t xml:space="preserve">6. The publication language was English.</w:t>
      </w:r>
    </w:p>
    <w:p>
      <w:pPr>
        <w:spacing w:after="140" w:line="300"/>
        <w:jc w:val="both"/>
      </w:pPr>
      <w:r>
        <w:rPr>
          <w:rFonts w:ascii="Cambria" w:cs="Cambria" w:eastAsia="Cambria" w:hAnsi="Cambria"/>
          <w:sz w:val="24"/>
          <w:szCs w:val="24"/>
        </w:rPr>
        <w:t xml:space="preserve">Studies were excluded if they satisfied one or more of the following conditions</w:t>
      </w:r>
    </w:p>
    <w:p>
      <w:pPr>
        <w:spacing w:after="140" w:line="300"/>
        <w:jc w:val="both"/>
      </w:pPr>
      <w:r>
        <w:rPr>
          <w:rFonts w:ascii="Cambria" w:cs="Cambria" w:eastAsia="Cambria" w:hAnsi="Cambria"/>
          <w:sz w:val="24"/>
          <w:szCs w:val="24"/>
        </w:rPr>
        <w:t xml:space="preserve">1. The study was unrelated to healthcare data sharing, patient consent, identity management, access control, privacy, or auditability.</w:t>
      </w:r>
    </w:p>
    <w:p>
      <w:pPr>
        <w:spacing w:after="140" w:line="300"/>
        <w:jc w:val="both"/>
      </w:pPr>
      <w:r>
        <w:rPr>
          <w:rFonts w:ascii="Cambria" w:cs="Cambria" w:eastAsia="Cambria" w:hAnsi="Cambria"/>
          <w:sz w:val="24"/>
          <w:szCs w:val="24"/>
        </w:rPr>
        <w:t xml:space="preserve">2. The study was a duplicate of another retrieved record.</w:t>
      </w:r>
    </w:p>
    <w:p>
      <w:pPr>
        <w:spacing w:after="140" w:line="300"/>
        <w:jc w:val="both"/>
      </w:pPr>
      <w:r>
        <w:rPr>
          <w:rFonts w:ascii="Cambria" w:cs="Cambria" w:eastAsia="Cambria" w:hAnsi="Cambria"/>
          <w:sz w:val="24"/>
          <w:szCs w:val="24"/>
        </w:rPr>
        <w:t xml:space="preserve">3. The study was a short abstract, editorial, opinion article, thesis, book chapter, or non-peer-reviewed publication without sufficient methodological detail, unless it provided a necessary foundational contribution.</w:t>
      </w:r>
    </w:p>
    <w:p>
      <w:pPr>
        <w:spacing w:after="140" w:line="300"/>
        <w:jc w:val="both"/>
      </w:pPr>
      <w:r>
        <w:rPr>
          <w:rFonts w:ascii="Cambria" w:cs="Cambria" w:eastAsia="Cambria" w:hAnsi="Cambria"/>
          <w:sz w:val="24"/>
          <w:szCs w:val="24"/>
        </w:rPr>
        <w:t xml:space="preserve">4. The study did not provide sufficient information to evaluate its contribution to the research questions.</w:t>
      </w:r>
    </w:p>
    <w:p>
      <w:pPr>
        <w:spacing w:after="140" w:line="300"/>
        <w:jc w:val="both"/>
      </w:pPr>
      <w:r>
        <w:rPr>
          <w:rFonts w:ascii="Cambria" w:cs="Cambria" w:eastAsia="Cambria" w:hAnsi="Cambria"/>
          <w:sz w:val="24"/>
          <w:szCs w:val="24"/>
        </w:rPr>
        <w:t xml:space="preserve">5. The full text was unavailable.</w:t>
      </w:r>
    </w:p>
    <w:p>
      <w:pPr>
        <w:spacing w:after="140" w:line="300"/>
        <w:jc w:val="both"/>
      </w:pPr>
      <w:r>
        <w:rPr>
          <w:rFonts w:ascii="Cambria" w:cs="Cambria" w:eastAsia="Cambria" w:hAnsi="Cambria"/>
          <w:sz w:val="24"/>
          <w:szCs w:val="24"/>
        </w:rPr>
        <w:t xml:space="preserve">6. The study focused exclusively on a technical problem that was outside the scope of healthcare data management and did not provide transferable insights relevant to the review.</w:t>
      </w:r>
    </w:p>
    <w:p>
      <w:pPr>
        <w:spacing w:after="140" w:line="300"/>
        <w:jc w:val="both"/>
      </w:pPr>
      <w:r>
        <w:rPr>
          <w:rFonts w:ascii="Cambria" w:cs="Cambria" w:eastAsia="Cambria" w:hAnsi="Cambria"/>
          <w:sz w:val="24"/>
          <w:szCs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Heading3"/>
        <w:spacing w:after="160" w:before="280"/>
      </w:pPr>
      <w:r>
        <w:t xml:space="preserve">2.2.6  Screening and Study Selection</w:t>
      </w:r>
    </w:p>
    <w:p>
      <w:pPr>
        <w:spacing w:after="140" w:line="300"/>
        <w:jc w:val="both"/>
      </w:pPr>
      <w:r>
        <w:rPr>
          <w:rFonts w:ascii="Cambria" w:cs="Cambria" w:eastAsia="Cambria" w:hAnsi="Cambria"/>
          <w:sz w:val="24"/>
          <w:szCs w:val="24"/>
        </w:rPr>
        <w:t xml:space="preserve">The screening process consisted of three sequential stages: title and abstract screening, full-text eligibility assessment, and final inclusion.</w:t>
      </w:r>
    </w:p>
    <w:p>
      <w:pPr>
        <w:spacing w:after="140" w:line="300"/>
        <w:jc w:val="both"/>
      </w:pPr>
      <w:r>
        <w:rPr>
          <w:rFonts w:ascii="Cambria" w:cs="Cambria" w:eastAsia="Cambria" w:hAnsi="Cambria"/>
          <w:sz w:val="24"/>
          <w:szCs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authorization, privacy, and healthcare data sharing.</w:t>
      </w:r>
    </w:p>
    <w:p>
      <w:pPr>
        <w:spacing w:after="140" w:line="300"/>
        <w:jc w:val="both"/>
      </w:pPr>
      <w:r>
        <w:rPr>
          <w:rFonts w:ascii="Cambria" w:cs="Cambria" w:eastAsia="Cambria" w:hAnsi="Cambria"/>
          <w:sz w:val="24"/>
          <w:szCs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keepNext/>
        <w:spacing w:after="60" w:before="140"/>
        <w:jc w:val="center"/>
      </w:pPr>
      <w:r>
        <w:drawing>
          <wp:inline distT="0" distB="0" distL="0" distR="0">
            <wp:extent cx="5715000" cy="3981450"/>
            <wp:effectExtent t="0" r="0" b="0" l="0"/>
            <wp:docPr id="1" name="gfig2.png" descr="Figure 2: PRISMA Study Selection Summary" title="Figure 2: PRISMA Study Sele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Study Selection Summary</w:t>
      </w:r>
    </w:p>
    <w:p>
      <w:pPr>
        <w:spacing w:after="140" w:line="300"/>
        <w:jc w:val="both"/>
      </w:pPr>
      <w:r>
        <w:rPr>
          <w:rFonts w:ascii="Cambria" w:cs="Cambria" w:eastAsia="Cambria" w:hAnsi="Cambria"/>
          <w:sz w:val="24"/>
          <w:szCs w:val="24"/>
        </w:rPr>
        <w:t xml:space="preserve">Figure 2 presents the PRISMA flow diagram for this review which summarizes the identification, screening, eligibility, and inclusion stages of the SLR. The final number of included studies was derived after completing the screening and eligibility assessment across the identified literature base.</w:t>
      </w:r>
    </w:p>
    <w:p>
      <w:pPr>
        <w:spacing w:after="140" w:line="300"/>
        <w:jc w:val="both"/>
      </w:pPr>
      <w:r>
        <w:rPr>
          <w:rFonts w:ascii="Cambria" w:cs="Cambria" w:eastAsia="Cambria" w:hAnsi="Cambria"/>
          <w:b/>
          <w:bCs/>
          <w:color w:val="007A00"/>
          <w:sz w:val="24"/>
          <w:szCs w:val="24"/>
        </w:rPr>
        <w:t xml:space="preserve">Seven of the removed records were flagged as ineligible during automated pre-screening (non-English sources and non-peer-reviewed material) and were excluded before the manual title and abstract screening.</w:t>
      </w:r>
    </w:p>
    <w:p>
      <w:pPr>
        <w:pStyle w:val="Heading3"/>
        <w:spacing w:after="160" w:before="280"/>
      </w:pPr>
      <w:r>
        <w:t xml:space="preserve">2.2.7  Data Extraction and Synthesis</w:t>
      </w:r>
    </w:p>
    <w:p>
      <w:pPr>
        <w:spacing w:after="140" w:line="300"/>
        <w:jc w:val="both"/>
      </w:pPr>
      <w:r>
        <w:rPr>
          <w:rFonts w:ascii="Cambria" w:cs="Cambria" w:eastAsia="Cambria" w:hAnsi="Cambria"/>
          <w:sz w:val="24"/>
          <w:szCs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spacing w:after="140" w:line="300"/>
        <w:jc w:val="both"/>
      </w:pPr>
      <w:r>
        <w:rPr>
          <w:rFonts w:ascii="Cambria" w:cs="Cambria" w:eastAsia="Cambria" w:hAnsi="Cambria"/>
          <w:sz w:val="24"/>
          <w:szCs w:val="24"/>
        </w:rPr>
        <w:t xml:space="preserve">The extracted data were organized into thematic categories corresponding to the research questions. These categories included consent specification and management, decentralized identity and credential verification, authorization and access control, privacy preservation, interoperability, auditability, and system evaluation.</w:t>
      </w:r>
    </w:p>
    <w:p>
      <w:pPr>
        <w:spacing w:after="140" w:line="300"/>
        <w:jc w:val="both"/>
      </w:pPr>
      <w:r>
        <w:rPr>
          <w:rFonts w:ascii="Cambria" w:cs="Cambria" w:eastAsia="Cambria" w:hAnsi="Cambria"/>
          <w:sz w:val="24"/>
          <w:szCs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authorization, auditable access records, and mechanisms for preserving patient autonomy.</w:t>
      </w:r>
    </w:p>
    <w:p>
      <w:pPr>
        <w:spacing w:after="140" w:line="300"/>
        <w:jc w:val="both"/>
      </w:pPr>
      <w:r>
        <w:rPr>
          <w:rFonts w:ascii="Cambria" w:cs="Cambria" w:eastAsia="Cambria" w:hAnsi="Cambria"/>
          <w:sz w:val="24"/>
          <w:szCs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Heading2"/>
        <w:spacing w:after="160" w:before="280"/>
      </w:pPr>
      <w:r>
        <w:t xml:space="preserve">2.3  Review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blockchain-based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Blockchain research has investigated immutable data governance, distributed auditability, and decentralised trust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3"/>
        <w:spacing w:after="160" w:before="280"/>
      </w:pPr>
      <w:r>
        <w:t xml:space="preserve">2.3.1  Healthcare Consent and Decentralised Data Governance</w:t>
      </w:r>
    </w:p>
    <w:p>
      <w:pPr>
        <w:spacing w:after="140" w:line="300"/>
        <w:jc w:val="both"/>
      </w:pPr>
      <w:r>
        <w:rPr>
          <w:rFonts w:ascii="Cambria" w:cs="Cambria" w:eastAsia="Cambria" w:hAnsi="Cambria"/>
          <w:sz w:val="24"/>
          <w:szCs w:val="24"/>
        </w:rP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spacing w:after="140" w:line="300"/>
        <w:jc w:val="both"/>
      </w:pPr>
      <w:r>
        <w:rPr>
          <w:rFonts w:ascii="Cambria" w:cs="Cambria" w:eastAsia="Cambria" w:hAnsi="Cambria"/>
          <w:sz w:val="24"/>
          <w:szCs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spacing w:after="140" w:line="300"/>
        <w:jc w:val="both"/>
      </w:pPr>
      <w:r>
        <w:rPr>
          <w:rFonts w:ascii="Cambria" w:cs="Cambria" w:eastAsia="Cambria" w:hAnsi="Cambria"/>
          <w:sz w:val="24"/>
          <w:szCs w:val="24"/>
        </w:rP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spacing w:after="140" w:line="300"/>
        <w:jc w:val="both"/>
      </w:pPr>
      <w:r>
        <w:rPr>
          <w:rFonts w:ascii="Cambria" w:cs="Cambria" w:eastAsia="Cambria" w:hAnsi="Cambria"/>
          <w:sz w:val="24"/>
          <w:szCs w:val="24"/>
        </w:rP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spacing w:after="140" w:line="300"/>
        <w:jc w:val="both"/>
      </w:pPr>
      <w:r>
        <w:rPr>
          <w:rFonts w:ascii="Cambria" w:cs="Cambria" w:eastAsia="Cambria" w:hAnsi="Cambria"/>
          <w:sz w:val="24"/>
          <w:szCs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Heading3"/>
        <w:spacing w:after="160" w:before="280"/>
      </w:pPr>
      <w:r>
        <w:t xml:space="preserve">2.3.2  Blockchain-Based Consent and Data Governance</w:t>
      </w:r>
    </w:p>
    <w:p>
      <w:pPr>
        <w:spacing w:after="140" w:line="300"/>
        <w:jc w:val="both"/>
      </w:pPr>
      <w:r>
        <w:rPr>
          <w:rFonts w:ascii="Cambria" w:cs="Cambria" w:eastAsia="Cambria" w:hAnsi="Cambria"/>
          <w:sz w:val="24"/>
          <w:szCs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spacing w:after="140" w:line="300"/>
        <w:jc w:val="both"/>
      </w:pPr>
      <w:r>
        <w:rPr>
          <w:rFonts w:ascii="Cambria" w:cs="Cambria" w:eastAsia="Cambria" w:hAnsi="Cambria"/>
          <w:sz w:val="24"/>
          <w:szCs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spacing w:after="140" w:line="300"/>
        <w:jc w:val="both"/>
      </w:pPr>
      <w:r>
        <w:rPr>
          <w:rFonts w:ascii="Cambria" w:cs="Cambria" w:eastAsia="Cambria" w:hAnsi="Cambria"/>
          <w:sz w:val="24"/>
          <w:szCs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spacing w:after="140" w:line="300"/>
        <w:jc w:val="both"/>
      </w:pPr>
      <w:r>
        <w:rPr>
          <w:rFonts w:ascii="Cambria" w:cs="Cambria" w:eastAsia="Cambria" w:hAnsi="Cambria"/>
          <w:sz w:val="24"/>
          <w:szCs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spacing w:after="140" w:line="300"/>
        <w:jc w:val="both"/>
      </w:pPr>
      <w:r>
        <w:rPr>
          <w:rFonts w:ascii="Cambria" w:cs="Cambria" w:eastAsia="Cambria" w:hAnsi="Cambria"/>
          <w:sz w:val="24"/>
          <w:szCs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spacing w:after="140" w:line="300"/>
        <w:jc w:val="both"/>
      </w:pPr>
      <w:r>
        <w:rPr>
          <w:rFonts w:ascii="Cambria" w:cs="Cambria" w:eastAsia="Cambria" w:hAnsi="Cambria"/>
          <w:sz w:val="24"/>
          <w:szCs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Heading3"/>
        <w:spacing w:after="160" w:before="280"/>
      </w:pPr>
      <w:r>
        <w:t xml:space="preserve">2.3.3  Decentralised Identity and Verifiable Credentials</w:t>
      </w:r>
    </w:p>
    <w:p>
      <w:pPr>
        <w:spacing w:after="140" w:line="300"/>
        <w:jc w:val="both"/>
      </w:pPr>
      <w:r>
        <w:rPr>
          <w:rFonts w:ascii="Cambria" w:cs="Cambria" w:eastAsia="Cambria" w:hAnsi="Cambria"/>
          <w:sz w:val="24"/>
          <w:szCs w:val="24"/>
        </w:rP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spacing w:after="140" w:line="300"/>
        <w:jc w:val="both"/>
      </w:pPr>
      <w:r>
        <w:rPr>
          <w:rFonts w:ascii="Cambria" w:cs="Cambria" w:eastAsia="Cambria" w:hAnsi="Cambria"/>
          <w:sz w:val="24"/>
          <w:szCs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spacing w:after="140" w:line="300"/>
        <w:jc w:val="both"/>
      </w:pPr>
      <w:r>
        <w:rPr>
          <w:rFonts w:ascii="Cambria" w:cs="Cambria" w:eastAsia="Cambria" w:hAnsi="Cambria"/>
          <w:sz w:val="24"/>
          <w:szCs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spacing w:after="140" w:line="300"/>
        <w:jc w:val="both"/>
      </w:pPr>
      <w:r>
        <w:rPr>
          <w:rFonts w:ascii="Cambria" w:cs="Cambria" w:eastAsia="Cambria" w:hAnsi="Cambria"/>
          <w:sz w:val="24"/>
          <w:szCs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spacing w:after="140" w:line="300"/>
        <w:jc w:val="both"/>
      </w:pPr>
      <w:r>
        <w:rPr>
          <w:rFonts w:ascii="Cambria" w:cs="Cambria" w:eastAsia="Cambria" w:hAnsi="Cambria"/>
          <w:sz w:val="24"/>
          <w:szCs w:val="24"/>
        </w:rPr>
        <w:t xml:space="preserve">The proposed research therefore extends the role of DID and VC technologies from identity representation and credential verification towards their use as trusted inputs to a broader authorisation process. Under this approach,</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spacing w:after="140" w:line="300"/>
        <w:jc w:val="both"/>
      </w:pPr>
      <w:r>
        <w:rPr>
          <w:rFonts w:ascii="Cambria" w:cs="Cambria" w:eastAsia="Cambria" w:hAnsi="Cambria"/>
          <w:sz w:val="24"/>
          <w:szCs w:val="24"/>
        </w:rP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spacing w:after="140" w:line="300"/>
        <w:jc w:val="both"/>
      </w:pPr>
      <w:r>
        <w:rPr>
          <w:rFonts w:ascii="Cambria" w:cs="Cambria" w:eastAsia="Cambria" w:hAnsi="Cambria"/>
          <w:b/>
          <w:bCs/>
          <w:color w:val="007A00"/>
          <w:sz w:val="24"/>
          <w:szCs w:val="24"/>
        </w:rPr>
        <w:t xml:space="preserve">Recent reviews of blockchain-based identity management further consolidate this stream, surveying identity management, access control and trust mechanisms for connected environments and confirming the maturity of DID- and VC-based designs [15].</w:t>
      </w:r>
    </w:p>
    <w:p>
      <w:pPr>
        <w:pStyle w:val="Heading3"/>
        <w:spacing w:after="160" w:before="280"/>
      </w:pPr>
      <w:r>
        <w:t xml:space="preserve">2.3.4  Multi-Party Authorisation and Collaborative Consent</w:t>
      </w:r>
    </w:p>
    <w:p>
      <w:pPr>
        <w:spacing w:after="140" w:line="300"/>
        <w:jc w:val="both"/>
      </w:pPr>
      <w:r>
        <w:rPr>
          <w:rFonts w:ascii="Cambria" w:cs="Cambria" w:eastAsia="Cambria" w:hAnsi="Cambria"/>
          <w:sz w:val="24"/>
          <w:szCs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p>
    <w:p>
      <w:pPr>
        <w:spacing w:after="140" w:line="300"/>
        <w:jc w:val="both"/>
      </w:pPr>
      <w:r>
        <w:rPr>
          <w:rFonts w:ascii="Cambria" w:cs="Cambria" w:eastAsia="Cambria" w:hAnsi="Cambria"/>
          <w:sz w:val="24"/>
          <w:szCs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spacing w:after="140" w:line="300"/>
        <w:jc w:val="both"/>
      </w:pPr>
      <w:r>
        <w:rPr>
          <w:rFonts w:ascii="Cambria" w:cs="Cambria" w:eastAsia="Cambria" w:hAnsi="Cambria"/>
          <w:sz w:val="24"/>
          <w:szCs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40" w:line="300"/>
        <w:jc w:val="both"/>
      </w:pPr>
      <w:r>
        <w:rPr>
          <w:rFonts w:ascii="Cambria" w:cs="Cambria" w:eastAsia="Cambria" w:hAnsi="Cambria"/>
          <w:sz w:val="24"/>
          <w:szCs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spacing w:after="140" w:line="300"/>
        <w:jc w:val="both"/>
      </w:pPr>
      <w:r>
        <w:rPr>
          <w:rFonts w:ascii="Cambria" w:cs="Cambria" w:eastAsia="Cambria" w:hAnsi="Cambria"/>
          <w:b/>
          <w:bCs/>
          <w:color w:val="007A00"/>
          <w:sz w:val="24"/>
          <w:szCs w:val="24"/>
        </w:rPr>
        <w:t xml:space="preserve">Beyond healthcare, decentralised trust mechanisms have also been applied to empower independent stakeholders in cross-organisational data sharing, demonstrating that multi-party governance generalises across application domains [6].</w:t>
      </w:r>
    </w:p>
    <w:p>
      <w:pPr>
        <w:pStyle w:val="Heading3"/>
        <w:spacing w:after="160" w:before="280"/>
      </w:pPr>
      <w:r>
        <w:t xml:space="preserve">2.3.5  Policy-Based and Context-Aware Access Control</w:t>
      </w:r>
    </w:p>
    <w:p>
      <w:pPr>
        <w:spacing w:after="140" w:line="300"/>
        <w:jc w:val="both"/>
      </w:pPr>
      <w:r>
        <w:rPr>
          <w:rFonts w:ascii="Cambria" w:cs="Cambria" w:eastAsia="Cambria" w:hAnsi="Cambria"/>
          <w:sz w:val="24"/>
          <w:szCs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spacing w:after="140" w:line="300"/>
        <w:jc w:val="both"/>
      </w:pPr>
      <w:r>
        <w:rPr>
          <w:rFonts w:ascii="Cambria" w:cs="Cambria" w:eastAsia="Cambria" w:hAnsi="Cambria"/>
          <w:sz w:val="24"/>
          <w:szCs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spacing w:after="140" w:line="300"/>
        <w:jc w:val="both"/>
      </w:pPr>
      <w:r>
        <w:rPr>
          <w:rFonts w:ascii="Cambria" w:cs="Cambria" w:eastAsia="Cambria" w:hAnsi="Cambria"/>
          <w:sz w:val="24"/>
          <w:szCs w:val="24"/>
        </w:rP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spacing w:after="140" w:line="300"/>
        <w:jc w:val="both"/>
      </w:pPr>
      <w:r>
        <w:rPr>
          <w:rFonts w:ascii="Cambria" w:cs="Cambria" w:eastAsia="Cambria" w:hAnsi="Cambria"/>
          <w:sz w:val="24"/>
          <w:szCs w:val="24"/>
        </w:rPr>
        <w:t xml:space="preserve">The proposed framework consequently treats policy compliance as an explicit authorisation condition. Let C represent the consent object and R represent a requested operation. Policy validity can be represented conceptually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For example, if a consent authorises access to observations and medications,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then a request for observations, medications, and procedures,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should be rejected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Heading3"/>
        <w:spacing w:after="160" w:before="280"/>
      </w:pPr>
      <w:r>
        <w:t xml:space="preserve">2.3.6  Trusted Computing, Secure Execution, and Security Assurance</w:t>
      </w:r>
    </w:p>
    <w:p>
      <w:pPr>
        <w:spacing w:after="140" w:line="300"/>
        <w:jc w:val="both"/>
      </w:pPr>
      <w:r>
        <w:rPr>
          <w:rFonts w:ascii="Cambria" w:cs="Cambria" w:eastAsia="Cambria" w:hAnsi="Cambria"/>
          <w:sz w:val="24"/>
          <w:szCs w:val="24"/>
        </w:rP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spacing w:after="140" w:line="300"/>
        <w:jc w:val="both"/>
      </w:pPr>
      <w:r>
        <w:rPr>
          <w:rFonts w:ascii="Cambria" w:cs="Cambria" w:eastAsia="Cambria" w:hAnsi="Cambria"/>
          <w:sz w:val="24"/>
          <w:szCs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spacing w:after="140" w:line="300"/>
        <w:jc w:val="both"/>
      </w:pPr>
      <w:r>
        <w:rPr>
          <w:rFonts w:ascii="Cambria" w:cs="Cambria" w:eastAsia="Cambria" w:hAnsi="Cambria"/>
          <w:sz w:val="24"/>
          <w:szCs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spacing w:after="140" w:line="300"/>
        <w:jc w:val="both"/>
      </w:pPr>
      <w:r>
        <w:rPr>
          <w:rFonts w:ascii="Cambria" w:cs="Cambria" w:eastAsia="Cambria" w:hAnsi="Cambria"/>
          <w:sz w:val="24"/>
          <w:szCs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 This research establishes the conceptual foundation for such integration.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color w:val="C00000"/>
          <w:sz w:val="24"/>
          <w:szCs w:val="24"/>
        </w:rPr>
        <w:t xml:space="preserve">This research establishes the conceptual foundation for such integration and, moreover, demonstrates it through an implemented and empirically evaluated prototype.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sz w:val="24"/>
          <w:szCs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spacing w:after="140" w:line="300"/>
        <w:jc w:val="both"/>
      </w:pPr>
      <w:r>
        <w:rPr>
          <w:rFonts w:ascii="Cambria" w:cs="Cambria" w:eastAsia="Cambria" w:hAnsi="Cambria"/>
          <w:color w:val="C00000"/>
          <w:sz w:val="24"/>
          <w:szCs w:val="24"/>
        </w:rPr>
        <w:t xml:space="preserve">The present prototype addresses this concern empirically through adversarial and negative testing across each verification dimension. Nevertheless, formal analysis remains necessary in order to demonstrate that these properties hold under defined assumptions.</w:t>
      </w:r>
    </w:p>
    <w:p>
      <w:pPr>
        <w:spacing w:after="140" w:line="300"/>
        <w:jc w:val="both"/>
      </w:pPr>
      <w:r>
        <w:rPr>
          <w:rFonts w:ascii="Cambria" w:cs="Cambria" w:eastAsia="Cambria" w:hAnsi="Cambria"/>
          <w:b/>
          <w:bCs/>
          <w:color w:val="007A00"/>
          <w:sz w:val="24"/>
          <w:szCs w:val="24"/>
        </w:rPr>
        <w:t xml:space="preserve">Complementary work in this stream applies entropy-based measurement to quantify blockchain immutability and tamper-resilient trust, providing an analytical basis for treating the ledger itself as part of the trusted computing base [18].</w:t>
      </w:r>
    </w:p>
    <w:p>
      <w:pPr>
        <w:pStyle w:val="Heading3"/>
        <w:spacing w:after="160" w:before="280"/>
      </w:pPr>
      <w:r>
        <w:t xml:space="preserve">2.3.7  Comparative Analysis of Existing Approaches</w:t>
      </w:r>
    </w:p>
    <w:p>
      <w:pPr>
        <w:spacing w:after="140" w:line="300"/>
        <w:jc w:val="both"/>
      </w:pPr>
      <w:r>
        <w:rPr>
          <w:rFonts w:ascii="Cambria" w:cs="Cambria" w:eastAsia="Cambria" w:hAnsi="Cambria"/>
          <w:sz w:val="24"/>
          <w:szCs w:val="24"/>
        </w:rP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spacing w:after="140" w:line="300"/>
        <w:jc w:val="both"/>
      </w:pPr>
      <w:r>
        <w:rPr>
          <w:rFonts w:ascii="Cambria" w:cs="Cambria" w:eastAsia="Cambria" w:hAnsi="Cambria"/>
          <w:sz w:val="24"/>
          <w:szCs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spacing w:after="140" w:line="300"/>
        <w:jc w:val="both"/>
      </w:pPr>
      <w:r>
        <w:rPr>
          <w:rFonts w:ascii="Cambria" w:cs="Cambria" w:eastAsia="Cambria" w:hAnsi="Cambria"/>
          <w:sz w:val="24"/>
          <w:szCs w:val="24"/>
        </w:rPr>
        <w:t xml:space="preserve">Table 2 summarises the principal focus and limitations of the major research streams and positions the proposed framework relative to the existing literature.</w:t>
      </w:r>
    </w:p>
    <w:p>
      <w:pPr>
        <w:keepNext/>
        <w:spacing w:after="80" w:before="160"/>
        <w:jc w:val="center"/>
      </w:pPr>
      <w:r>
        <w:rPr>
          <w:rFonts w:ascii="Cambria" w:cs="Cambria" w:eastAsia="Cambria" w:hAnsi="Cambria"/>
          <w:b/>
          <w:bCs/>
          <w:sz w:val="21"/>
          <w:szCs w:val="21"/>
        </w:rPr>
        <w:t xml:space="preserve">Table 2: </w:t>
      </w:r>
      <w:r>
        <w:rPr>
          <w:rFonts w:ascii="Cambria" w:cs="Cambria" w:eastAsia="Cambria" w:hAnsi="Cambria"/>
          <w:sz w:val="21"/>
          <w:szCs w:val="21"/>
        </w:rPr>
        <w:t xml:space="preserve">Comparison of Existing Research Approaches and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Stream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Contribution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Main Limitation for Authorisation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Representative References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Healthcare consent and privacy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Patient autonomy, informed consent, and controlled data sharing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Consent is treated as permission rather than an evaluable authorisation object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[31, 22, 14, 24, 12, 13, 10]</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Blockchain-based data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Tamper-resistant records, distributed auditability, and transparency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Immutable records do not establish participant legitimacy, authority, or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 2, 7, 3, 30, 26, 8, 29]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Decentralised identity and verifiable credentials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Self-controlled identity, verifiable attributes, and authentication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 and credential validity do not independently determine if access is authorised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[20, 33, 4, 16, 27,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and decentralised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Collaborative participation and distributed verification or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Limited integration between collective approval thresholds, consent, and access decisions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[19, 4, 21, 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Policy-based and healthcare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Fine-grained restriction based on attributes, risk, context, and constraints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enforcement is separated from decentralised identity and multi-party consent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[32, 11, 28, 25]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Trusted Computing and secure execution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Hardware-supported isolation, execution integrity, and attestation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Secure execution does not determine whether underlying authorisation conditions are sufficient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[23, 17, 18]</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Proposed Framework</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evaluation of consent, identity, authority, multi-party approval, and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Requires further extension towards lifecycle trust, formal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This research</w:t>
            </w:r>
          </w:p>
        </w:tc>
      </w:tr>
    </w:tbl>
    <w:p>
      <w:pPr>
        <w:spacing w:after="180"/>
      </w:pPr>
    </w:p>
    <w:p>
      <w:pPr>
        <w:spacing w:after="140" w:line="300"/>
        <w:jc w:val="both"/>
      </w:pPr>
      <w:r>
        <w:rPr>
          <w:rFonts w:ascii="Cambria" w:cs="Cambria" w:eastAsia="Cambria" w:hAnsi="Cambria"/>
          <w:color w:val="C00000"/>
          <w:sz w:val="24"/>
          <w:szCs w:val="24"/>
        </w:rPr>
        <w:t xml:space="preserve">Lifecycle trust and empirical validation realised in the implemented prototype; formal security assurance requires further extension</w:t>
      </w:r>
    </w:p>
    <w:p>
      <w:pPr>
        <w:spacing w:after="140" w:line="300"/>
        <w:jc w:val="both"/>
      </w:pPr>
      <w:r>
        <w:rPr>
          <w:rFonts w:ascii="Cambria" w:cs="Cambria" w:eastAsia="Cambria" w:hAnsi="Cambria"/>
          <w:sz w:val="24"/>
          <w:szCs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pStyle w:val="Heading2"/>
        <w:spacing w:after="160" w:before="280"/>
      </w:pPr>
      <w:r>
        <w:t xml:space="preserve">2.4  Synthesis and Research Gap</w:t>
      </w:r>
    </w:p>
    <w:p>
      <w:pPr>
        <w:spacing w:after="140" w:line="300"/>
        <w:jc w:val="both"/>
      </w:pPr>
      <w:r>
        <w:rPr>
          <w:rFonts w:ascii="Cambria" w:cs="Cambria" w:eastAsia="Cambria" w:hAnsi="Cambria"/>
          <w:sz w:val="24"/>
          <w:szCs w:val="24"/>
        </w:rP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spacing w:after="140" w:line="300"/>
        <w:jc w:val="both"/>
      </w:pPr>
      <w:r>
        <w:rPr>
          <w:rFonts w:ascii="Cambria" w:cs="Cambria" w:eastAsia="Cambria" w:hAnsi="Cambria"/>
          <w:sz w:val="24"/>
          <w:szCs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spacing w:after="140" w:line="300"/>
        <w:jc w:val="both"/>
      </w:pPr>
      <w:r>
        <w:rPr>
          <w:rFonts w:ascii="Cambria" w:cs="Cambria" w:eastAsia="Cambria" w:hAnsi="Cambria"/>
          <w:sz w:val="24"/>
          <w:szCs w:val="24"/>
        </w:rP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tabs>
          <w:tab w:val="right" w:pos="9360"/>
        </w:tabs>
        <w:spacing w:after="160" w:before="60"/>
        <w:jc w:val="center"/>
      </w:pPr>
      <w:r>
        <w:rPr>
          <w:rFonts w:ascii="Cambria Math" w:cs="Cambria Math" w:eastAsia="Cambria Math" w:hAnsi="Cambria Math"/>
          <w:i/>
          <w:iCs/>
          <w:color w:val="C00000"/>
          <w:sz w:val="22"/>
          <w:szCs w:val="22"/>
        </w:rPr>
        <w:t xml:space="preserve">Decision(C, R, t) = ALLOW ⟺ VI ∧ VA ∧ VP ∧ VT ∧ VL</w:t>
      </w:r>
    </w:p>
    <w:p>
      <w:pPr>
        <w:spacing w:after="140" w:line="300"/>
        <w:jc w:val="both"/>
      </w:pPr>
      <w:r>
        <w:rPr>
          <w:rFonts w:ascii="Cambria" w:cs="Cambria" w:eastAsia="Cambria" w:hAnsi="Cambria"/>
          <w:color w:val="C00000"/>
          <w:sz w:val="24"/>
          <w:szCs w:val="24"/>
        </w:rPr>
        <w:t xml:space="preserve">This is the rule enforced by the implemented Consent Engine: every access request is evaluated over the complete tuple, and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pStyle w:val="Heading1"/>
        <w:pageBreakBefore/>
        <w:spacing w:after="160" w:before="400"/>
      </w:pPr>
      <w:r>
        <w:t xml:space="preserve">3  Research Gaps and Questions</w:t>
      </w:r>
    </w:p>
    <w:p>
      <w:pPr>
        <w:pStyle w:val="Heading2"/>
        <w:spacing w:after="160" w:before="280"/>
      </w:pPr>
      <w:r>
        <w:t xml:space="preserve">3.1  Research Gap</w:t>
      </w:r>
    </w:p>
    <w:p>
      <w:pPr>
        <w:spacing w:after="140" w:line="300"/>
        <w:jc w:val="both"/>
      </w:pPr>
      <w:r>
        <w:rPr>
          <w:rFonts w:ascii="Cambria" w:cs="Cambria" w:eastAsia="Cambria" w:hAnsi="Cambria"/>
          <w:sz w:val="24"/>
          <w:szCs w:val="24"/>
        </w:rP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there remains a need for an integrated </w:t>
      </w:r>
      <w:r>
        <w:rPr>
          <w:rFonts w:ascii="Cambria" w:cs="Cambria" w:eastAsia="Cambria" w:hAnsi="Cambria"/>
          <w:color w:val="C00000"/>
          <w:sz w:val="24"/>
          <w:szCs w:val="24"/>
        </w:rPr>
        <w:t xml:space="preserve">trust-oriented authorisation framework</w:t>
      </w:r>
      <w:r>
        <w:rPr>
          <w:rFonts w:ascii="Cambria" w:cs="Cambria" w:eastAsia="Cambria" w:hAnsi="Cambria"/>
          <w:sz w:val="24"/>
          <w:szCs w:val="24"/>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pStyle w:val="Heading2"/>
        <w:spacing w:after="160" w:before="280"/>
      </w:pPr>
      <w:r>
        <w:t xml:space="preserve">3.2  Main Research Question</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p>
      <w:pPr>
        <w:spacing w:after="140" w:line="300"/>
        <w:jc w:val="both"/>
      </w:pPr>
      <w:r>
        <w:rPr>
          <w:rFonts w:ascii="Cambria" w:cs="Cambria" w:eastAsia="Cambria" w:hAnsi="Cambria"/>
          <w:color w:val="C00000"/>
          <w:sz w:val="24"/>
          <w:szCs w:val="24"/>
        </w:rPr>
        <w:t xml:space="preserve">Temporal and lifecycle trust has been operationalised in the current prototype, and empirical validation has been partially completed through automated and live negative testing. Consequently, formal security assurance forms the subsequent research scope and will be developed further in CA3.</w:t>
      </w:r>
    </w:p>
    <w:p>
      <w:pPr>
        <w:pStyle w:val="Heading2"/>
        <w:spacing w:after="160" w:before="280"/>
      </w:pPr>
      <w: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pStyle w:val="Heading3"/>
        <w:spacing w:after="160" w:before="280"/>
      </w:pPr>
      <w: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tabs>
          <w:tab w:val="right" w:pos="9360"/>
        </w:tabs>
        <w:spacing w:after="160" w:before="60"/>
        <w:jc w:val="center"/>
      </w:pPr>
      <w:r>
        <w:rPr>
          <w:rFonts w:ascii="Cambria Math" w:cs="Cambria Math" w:eastAsia="Cambria Math" w:hAnsi="Cambria Math"/>
          <w:i/>
          <w:iCs/>
          <w:color w:val="C00000"/>
          <w:sz w:val="22"/>
          <w:szCs w:val="22"/>
        </w:rPr>
        <w:t xml:space="preserve">C = (I, A, P, T, L, E)</w:t>
      </w:r>
      <w:r>
        <w:rPr>
          <w:rFonts w:ascii="Cambria" w:cs="Cambria" w:eastAsia="Cambria" w:hAnsi="Cambria"/>
          <w:color w:val="C00000"/>
          <w:sz w:val="22"/>
          <w:szCs w:val="22"/>
        </w:rPr>
        <w:t xml:space="preserve">	(7)</w:t>
      </w:r>
    </w:p>
    <w:p>
      <w:pPr>
        <w:spacing w:after="140" w:line="300"/>
        <w:jc w:val="both"/>
      </w:pPr>
      <w:r>
        <w:rPr>
          <w:rFonts w:ascii="Cambria" w:cs="Cambria" w:eastAsia="Cambria" w:hAnsi="Cambria"/>
          <w:color w:val="C00000"/>
          <w:sz w:val="24"/>
          <w:szCs w:val="24"/>
        </w:rPr>
        <w:t xml:space="preserve">where I represents the participating identities, A represents the authority and multi-party authorisation evidence, P represents the purpose and data-scope constraints, T represents the temporal validity window, L represents the jurisdictional constraint, and E represents the enforcement state recording whether the consent remains active or has been revoked.</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w:t>
      </w:r>
      <w:r>
        <w:rPr>
          <w:rFonts w:ascii="Cambria" w:cs="Cambria" w:eastAsia="Cambria" w:hAnsi="Cambria"/>
          <w:color w:val="C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spacing w:after="140" w:line="300"/>
        <w:jc w:val="both"/>
      </w:pPr>
      <w:r>
        <w:rPr>
          <w:rFonts w:ascii="Cambria" w:cs="Cambria" w:eastAsia="Cambria" w:hAnsi="Cambria"/>
          <w:color w:val="C00000"/>
          <w:sz w:val="24"/>
          <w:szCs w:val="24"/>
        </w:rPr>
        <w:t xml:space="preserve">In the implemented framework, N is instantiated as |G|, the number of designated guardians, such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cannot necessarily be assumed to remain valid indefinitely.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sz w:val="22"/>
          <w:szCs w:val="22"/>
        </w:rPr>
        <w:t xml:space="preserve">Decision(C, R) =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C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consent lifecycle validity.</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C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current stage, while the final two objectives extend and evaluate these mechanisms as part of the next research programme.</w:t>
      </w:r>
    </w:p>
    <w:p>
      <w:pPr>
        <w:spacing w:after="140" w:line="300"/>
        <w:jc w:val="both"/>
      </w:pPr>
      <w:r>
        <w:rPr>
          <w:rFonts w:ascii="Cambria" w:cs="Cambria" w:eastAsia="Cambria" w:hAnsi="Cambria"/>
          <w:color w:val="C00000"/>
          <w:sz w:val="24"/>
          <w:szCs w:val="24"/>
        </w:rPr>
        <w:t xml:space="preserve">while the fifth objective is realised operationally in the current prototype and the sixth objective is addressed empirically at this stage, with its formal component reserved for the next research programme.</w:t>
      </w:r>
    </w:p>
    <w:p>
      <w:pPr>
        <w:pStyle w:val="Heading2"/>
        <w:spacing w:after="160" w:before="280"/>
      </w:pPr>
      <w: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t xml:space="preserve">4.3  RO3 - Trustworthy Multi-Party Authorisation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spacing w:after="140" w:line="300"/>
        <w:jc w:val="both"/>
      </w:pPr>
      <w:r>
        <w:rPr>
          <w:rFonts w:ascii="Cambria" w:cs="Cambria" w:eastAsia="Cambria" w:hAnsi="Cambria"/>
          <w:color w:val="C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t xml:space="preserve">4.4  RO4 - Policy- and Context-Aware Access Control</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spacing w:after="140" w:line="300"/>
        <w:jc w:val="both"/>
      </w:pPr>
      <w:r>
        <w:rPr>
          <w:rFonts w:ascii="Cambria" w:cs="Cambria" w:eastAsia="Cambria" w:hAnsi="Cambria"/>
          <w:color w:val="C00000"/>
          <w:sz w:val="24"/>
          <w:szCs w:val="24"/>
        </w:rPr>
        <w:t xml:space="preserve">Accordingly, the implemented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current stage. Together, RO1–RO4 establish the representation, verification, collective authorisation, and policy-enforcement mechanisms required for a trust-oriented healthcare data-sharing decision.</w:t>
      </w:r>
    </w:p>
    <w:p>
      <w:pPr>
        <w:pStyle w:val="Heading2"/>
        <w:spacing w:after="160" w:before="280"/>
      </w:pPr>
      <w:r>
        <w:t xml:space="preserve">4.5  RO5 - Temporal and Lifecycle Trust</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spacing w:after="140" w:line="300"/>
        <w:jc w:val="both"/>
      </w:pPr>
      <w:r>
        <w:rPr>
          <w:rFonts w:ascii="Cambria" w:cs="Cambria" w:eastAsia="Cambria" w:hAnsi="Cambria"/>
          <w:sz w:val="24"/>
          <w:szCs w:val="24"/>
        </w:rPr>
        <w:t xml:space="preserve">This objective constitutes a principal component of the </w:t>
      </w:r>
      <w:r>
        <w:rPr>
          <w:rFonts w:ascii="Cambria" w:cs="Cambria" w:eastAsia="Cambria" w:hAnsi="Cambria"/>
          <w:color w:val="C00000"/>
          <w:sz w:val="24"/>
          <w:szCs w:val="24"/>
        </w:rPr>
        <w:t xml:space="preserve">next stage research</w:t>
      </w:r>
      <w:r>
        <w:rPr>
          <w:rFonts w:ascii="Cambria" w:cs="Cambria" w:eastAsia="Cambria" w:hAnsi="Cambria"/>
          <w:sz w:val="24"/>
          <w:szCs w:val="24"/>
        </w:rPr>
        <w:t xml:space="preserve"> programme. It will investigate how temporal and lifecycle conditions can be incorporated into the authorisation decision without weakening the trust relationships established by the current stage mechanisms.</w:t>
      </w:r>
    </w:p>
    <w:p>
      <w:pPr>
        <w:spacing w:after="140" w:line="300"/>
        <w:jc w:val="both"/>
      </w:pPr>
      <w:r>
        <w:rPr>
          <w:rFonts w:ascii="Cambria" w:cs="Cambria" w:eastAsia="Cambria" w:hAnsi="Cambria"/>
          <w:color w:val="C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work therefore concerns hardening these controls rather than introducing them.</w:t>
      </w:r>
    </w:p>
    <w:p>
      <w:pPr>
        <w:pStyle w:val="Heading2"/>
        <w:spacing w:after="160" w:before="280"/>
      </w:pPr>
      <w:r>
        <w:t xml:space="preserve">4.6  RO6 - Formal Security Assurance and Empirical Validation</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next stage works.</w:t>
      </w:r>
    </w:p>
    <w:p>
      <w:pPr>
        <w:spacing w:after="140" w:line="300"/>
        <w:jc w:val="both"/>
      </w:pPr>
      <w:r>
        <w:rPr>
          <w:rFonts w:ascii="Cambria" w:cs="Cambria" w:eastAsia="Cambria" w:hAnsi="Cambria"/>
          <w:color w:val="C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pStyle w:val="Heading2"/>
        <w:spacing w:after="160" w:before="280"/>
      </w:pPr>
      <w:r>
        <w:t xml:space="preserve">4.7  Relationship Between Research Questions and Objectives</w:t>
      </w:r>
    </w:p>
    <w:p>
      <w:pPr>
        <w:spacing w:after="140" w:line="300"/>
        <w:jc w:val="both"/>
      </w:pPr>
      <w:r>
        <w:rPr>
          <w:rFonts w:ascii="Cambria" w:cs="Cambria" w:eastAsia="Cambria" w:hAnsi="Cambria"/>
          <w:sz w:val="24"/>
          <w:szCs w:val="24"/>
        </w:rPr>
        <w:t xml:space="preserve">The relationship between the six research questions and the six research objectives is summarised in Table 3 and Table 3. The mapping follows the structure of the research programme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spacing w:after="140" w:line="300"/>
        <w:jc w:val="both"/>
      </w:pPr>
      <w:r>
        <w:rPr>
          <w:rFonts w:ascii="Cambria" w:cs="Cambria" w:eastAsia="Cambria" w:hAnsi="Cambria"/>
          <w:color w:val="C00000"/>
          <w:sz w:val="24"/>
          <w:szCs w:val="24"/>
        </w:rPr>
        <w:t xml:space="preserve">summarised in Table 3 and Table 4.</w:t>
      </w:r>
    </w:p>
    <w:p>
      <w:pPr>
        <w:spacing w:after="140" w:line="300"/>
        <w:jc w:val="both"/>
      </w:pPr>
      <w:r>
        <w:rPr>
          <w:rFonts w:ascii="Cambria" w:cs="Cambria" w:eastAsia="Cambria" w:hAnsi="Cambria"/>
          <w:sz w:val="24"/>
          <w:szCs w:val="24"/>
        </w:rP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spacing w:after="140" w:line="300"/>
        <w:jc w:val="both"/>
      </w:pPr>
      <w:r>
        <w:rPr>
          <w:rFonts w:ascii="Cambria" w:cs="Cambria" w:eastAsia="Cambria" w:hAnsi="Cambria"/>
          <w:color w:val="C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together with the identified prototype hardening.</w:t>
      </w:r>
    </w:p>
    <w:p>
      <w:pPr>
        <w:spacing w:after="140" w:line="300"/>
        <w:jc w:val="both"/>
      </w:pPr>
      <w:r>
        <w:rPr>
          <w:rFonts w:ascii="Cambria" w:cs="Cambria" w:eastAsia="Cambria" w:hAnsi="Cambria"/>
          <w:sz w:val="24"/>
          <w:szCs w:val="24"/>
        </w:rP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Current stage establishes the foundational mechanisms and their conceptual relationships, whereas next stage investigates whether these mechanisms remain</w:t>
      </w:r>
    </w:p>
    <w:p>
      <w:pPr>
        <w:keepNext/>
        <w:spacing w:after="80" w:before="160"/>
        <w:jc w:val="center"/>
      </w:pPr>
      <w:r>
        <w:rPr>
          <w:rFonts w:ascii="Cambria" w:cs="Cambria" w:eastAsia="Cambria" w:hAnsi="Cambria"/>
          <w:b/>
          <w:bCs/>
          <w:sz w:val="21"/>
          <w:szCs w:val="21"/>
        </w:rPr>
        <w:t xml:space="preserve">Table 3: </w:t>
      </w:r>
      <w:r>
        <w:rPr>
          <w:rFonts w:ascii="Cambria" w:cs="Cambria" w:eastAsia="Cambria" w:hAnsi="Cambria"/>
          <w:sz w:val="21"/>
          <w:szCs w:val="21"/>
        </w:rPr>
        <w:t xml:space="preserve">Research Questions, Research Objectives, and Thesis Chapters for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bl>
    <w:p>
      <w:pPr>
        <w:spacing w:after="180"/>
      </w:pPr>
    </w:p>
    <w:p>
      <w:pPr>
        <w:keepNext/>
        <w:spacing w:after="80" w:before="160"/>
        <w:jc w:val="center"/>
      </w:pPr>
      <w:r>
        <w:rPr>
          <w:rFonts w:ascii="Cambria" w:cs="Cambria" w:eastAsia="Cambria" w:hAnsi="Cambria"/>
          <w:b/>
          <w:bCs/>
          <w:sz w:val="21"/>
          <w:szCs w:val="21"/>
        </w:rPr>
        <w:t xml:space="preserve">Table 4: </w:t>
      </w:r>
      <w:r>
        <w:rPr>
          <w:rFonts w:ascii="Cambria" w:cs="Cambria" w:eastAsia="Cambria" w:hAnsi="Cambria"/>
          <w:sz w:val="21"/>
          <w:szCs w:val="21"/>
        </w:rPr>
        <w:t xml:space="preserve">Research Questions, Research Objectives, and Thesis Chapters for CA3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temporal validity, expiration, revocation, and controlled consent-state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bl>
    <w:p>
      <w:pPr>
        <w:spacing w:after="180"/>
      </w:pPr>
    </w:p>
    <w:p>
      <w:pPr>
        <w:spacing w:after="140" w:line="300"/>
        <w:jc w:val="both"/>
      </w:pPr>
      <w:r>
        <w:rPr>
          <w:rFonts w:ascii="Cambria" w:cs="Cambria" w:eastAsia="Cambria" w:hAnsi="Cambria"/>
          <w:color w:val="C00000"/>
          <w:sz w:val="24"/>
          <w:szCs w:val="24"/>
        </w:rPr>
        <w:t xml:space="preserve">RO5_SCOPE_Temporal validity, expiration, revocation and controlled state transitions, enforced in the current prototype and anchored on-chain RO6_SCOPE_Formal analysis of the security properties (CA3), building upon the empirical negative and adversarial testing already performed with the HALAH prototype</w:t>
      </w:r>
    </w:p>
    <w:p>
      <w:pPr>
        <w:spacing w:after="140" w:line="300"/>
        <w:jc w:val="both"/>
      </w:pPr>
      <w:r>
        <w:rPr>
          <w:rFonts w:ascii="Cambria" w:cs="Cambria" w:eastAsia="Cambria" w:hAnsi="Cambria"/>
          <w:sz w:val="24"/>
          <w:szCs w:val="24"/>
        </w:rPr>
        <w:t xml:space="preserve">reliable under dynamic lifecycle conditions and whether their security and practical effectiveness can be formally and empirically demonstrated. 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C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tabs>
          <w:tab w:val="right" w:pos="9360"/>
        </w:tabs>
        <w:spacing w:after="160" w:before="60"/>
        <w:jc w:val="center"/>
      </w:pPr>
      <w:r>
        <w:rPr>
          <w:rFonts w:ascii="Cambria Math" w:cs="Cambria Math" w:eastAsia="Cambria Math" w:hAnsi="Cambria Math"/>
          <w:i/>
          <w:iCs/>
          <w:color w:val="C00000"/>
          <w:sz w:val="22"/>
          <w:szCs w:val="22"/>
        </w:rPr>
        <w:t xml:space="preserve">Decision(C, R, t) = ALLOW ⟺ VI ∧ VA ∧ VP ∧ VT ∧ VL</w:t>
      </w:r>
      <w:r>
        <w:rPr>
          <w:rFonts w:ascii="Cambria" w:cs="Cambria" w:eastAsia="Cambria" w:hAnsi="Cambria"/>
          <w:color w:val="C00000"/>
          <w:sz w:val="22"/>
          <w:szCs w:val="22"/>
        </w:rPr>
        <w:t xml:space="preserve">	(29)</w:t>
      </w:r>
    </w:p>
    <w:p>
      <w:pPr>
        <w:spacing w:after="140" w:line="300"/>
        <w:jc w:val="both"/>
      </w:pPr>
      <w:r>
        <w:rPr>
          <w:rFonts w:ascii="Cambria" w:cs="Cambria" w:eastAsia="Cambria" w:hAnsi="Cambria"/>
          <w:color w:val="C00000"/>
          <w:sz w:val="24"/>
          <w:szCs w:val="24"/>
        </w:rPr>
        <w:t xml:space="preserve">This five-predicate conjunction constitutes the decision rule of the implemented Consent Engine and is applied consistently throughout this chapter; the earlier three-predicate formulation represents an initial design iteration that has since been superseded by the implementation.</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The next stage research will extend this decision model by incorporating temporal and lifecycle conditions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VT (C, t) represents temporal validity and VL (C) represents the validity of the consent lifecycle state and its transitions. This extension provides a consistent connection between the foundational current stage objectives and the planned next research on dynamic trust, formal assurance, and comprehensive validation.</w:t>
      </w:r>
    </w:p>
    <w:p>
      <w:pPr>
        <w:pStyle w:val="Heading1"/>
        <w:pageBreakBefore/>
        <w:spacing w:after="160" w:before="400"/>
      </w:pPr>
      <w: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3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This distinction is important because healthcare data should not be</w:t>
      </w:r>
    </w:p>
    <w:p>
      <w:pPr>
        <w:keepNext/>
        <w:spacing w:after="60" w:before="140"/>
        <w:jc w:val="center"/>
      </w:pPr>
      <w:r>
        <w:drawing>
          <wp:inline distT="0" distB="0" distL="0" distR="0">
            <wp:extent cx="5715000" cy="3543300"/>
            <wp:effectExtent t="0" r="0" b="0" l="0"/>
            <wp:docPr id="1" name="fig3.png" descr="Figure 3: Layered MVC Architecture and Component Decomposition of the HALAH Framework" title="Figure 3: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Layered MVC Architecture and Component Decomposition of the HALAH Framework</w:t>
      </w:r>
    </w:p>
    <w:p>
      <w:pPr>
        <w:spacing w:after="140" w:line="300"/>
        <w:jc w:val="both"/>
      </w:pPr>
      <w:r>
        <w:rPr>
          <w:rFonts w:ascii="Cambria" w:cs="Cambria" w:eastAsia="Cambria" w:hAnsi="Cambria"/>
          <w:color w:val="C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deployed on Sepolia alongside the SQLite Audit Ledger, a revocation path flows from the Patient interface through the Controller to both the ledger and the contract, and an external independent verifier, verify_poc, reads from both the audit ledger and the Sepolia chain.</w:t>
      </w:r>
    </w:p>
    <w:p>
      <w:pPr>
        <w:spacing w:after="140" w:line="300"/>
        <w:jc w:val="both"/>
      </w:pPr>
      <w:r>
        <w:rPr>
          <w:rFonts w:ascii="Cambria" w:cs="Cambria" w:eastAsia="Cambria" w:hAnsi="Cambria"/>
          <w:color w:val="C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w:t>
      </w:r>
    </w:p>
    <w:p>
      <w:pPr>
        <w:spacing w:after="140" w:line="300"/>
        <w:jc w:val="both"/>
      </w:pPr>
      <w:r>
        <w:rPr>
          <w:rFonts w:ascii="Cambria" w:cs="Cambria" w:eastAsia="Cambria" w:hAnsi="Cambria"/>
          <w:sz w:val="24"/>
          <w:szCs w:val="24"/>
        </w:rPr>
        <w:t xml:space="preserve">treated as ordinary application state that can be directly manipulated by the View. Instead, access to the protected resource is mediated by the Controller after the relevant trust conditions have been evaluated.</w:t>
      </w:r>
    </w:p>
    <w:p>
      <w:pPr>
        <w:pStyle w:val="Heading3"/>
        <w:spacing w:after="160" w:before="280"/>
      </w:pPr>
      <w:r>
        <w:t xml:space="preserve">5.1.1  MVC Component Decomposition</w:t>
      </w:r>
    </w:p>
    <w:p>
      <w:pPr>
        <w:spacing w:after="140" w:line="300"/>
        <w:jc w:val="both"/>
      </w:pPr>
      <w:r>
        <w:rPr>
          <w:rFonts w:ascii="Cambria" w:cs="Cambria" w:eastAsia="Cambria" w:hAnsi="Cambria"/>
          <w:color w:val="C00000"/>
          <w:sz w:val="24"/>
          <w:szCs w:val="24"/>
        </w:rPr>
        <w:t xml:space="preserve">The Controller layer therefore comprises eight principal functions, the two additional functions being Cryptographic Proof Generation and Verification, realised through the Groth16 proving system, and On-chain Anchoring and State Synchronisation, which performs the Sepolia mint and revoke operations as a background process; the Controller row of Figure 4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4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4: Functional Decomposition of the MVC Components" title="Figure 4: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5. Figure 5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VL (C), determines whether the consent remains in a valid lifecycle state. The integrated decision can therefore be expressed as</w:t>
      </w:r>
    </w:p>
    <w:p>
      <w:pPr>
        <w:spacing w:after="140" w:line="300"/>
        <w:jc w:val="both"/>
      </w:pPr>
      <w:r>
        <w:rPr>
          <w:rFonts w:ascii="Cambria" w:cs="Cambria" w:eastAsia="Cambria" w:hAnsi="Cambria"/>
          <w:color w:val="C00000"/>
          <w:sz w:val="24"/>
          <w:szCs w:val="24"/>
        </w:rPr>
        <w:t xml:space="preserve">V_L(C, j) verifies that the jurisdiction j declared by the requester matches the jurisdiction L recorded within the consent object. This distinction is important because revocation and lifecycle state are not enforced by this function but within V_A. Consequently, the corresponding component in Figure 5 is depicted as V_L(C, j), the jurisdiction verification function, rather than as a lifecycle check.</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5: Trust Predicate Evaluation and Authorisation Decision Flow" title="Figure 5: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following</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pStyle w:val="Heading2"/>
        <w:spacing w:after="160" w:before="280"/>
      </w:pPr>
      <w:r>
        <w:t xml:space="preserve">5.2  Trust-Oriented Consent Authorization Workflow</w:t>
      </w:r>
    </w:p>
    <w:p>
      <w:pPr>
        <w:spacing w:after="140" w:line="300"/>
        <w:jc w:val="both"/>
      </w:pPr>
      <w:r>
        <w:rPr>
          <w:rFonts w:ascii="Cambria" w:cs="Cambria" w:eastAsia="Cambria" w:hAnsi="Cambria"/>
          <w:sz w:val="24"/>
          <w:szCs w:val="24"/>
        </w:rPr>
        <w:t xml:space="preserve">Figure 6 presents the end-to-end workflow of the proposed trust-oriented patient consent authorization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authorization, and policy compliance. Accordingly, the proposed workflow transforms a patient’s consent from a static permission record into an evaluable authorization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authorization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authorization decisions. The next stage performs decentralized identity and authority verification using Decentralized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authorization.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 After identity and authority verification, the framework identifies the participants required to establish the consent decision. The authorization requirement may involve multiple independent participants, such as a patient together with one or more guardians or other authorized parties. The framework then collects their independent approvals and evaluates whether the predefined authorization threshold has been satisfied. Let Av denote the set of successfully verified approvals and let N denote the required authorization threshold. Multi-party authorization is satisfied when</w:t>
      </w:r>
    </w:p>
    <w:p>
      <w:pPr>
        <w:keepNext/>
        <w:spacing w:after="60" w:before="140"/>
        <w:jc w:val="center"/>
      </w:pPr>
      <w:r>
        <w:drawing>
          <wp:inline distT="0" distB="0" distL="0" distR="0">
            <wp:extent cx="4000500" cy="6181725"/>
            <wp:effectExtent t="0" r="0" b="0" l="0"/>
            <wp:docPr id="1" name="fig6.png" descr="Figure 6: End-to-End Workflow of Trust-Oriented Consent Authorization Framework" title="Figure 6: End-to-End Workflow of Trust-Oriented Consent Authoriz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End-to-End Workflow of Trust-Oriented Consent Authorization Framework</w:t>
      </w:r>
    </w:p>
    <w:p>
      <w:pPr>
        <w:spacing w:after="140" w:line="300"/>
        <w:jc w:val="both"/>
      </w:pPr>
      <w:r>
        <w:rPr>
          <w:rFonts w:ascii="Cambria" w:cs="Cambria" w:eastAsia="Cambria" w:hAnsi="Cambria"/>
          <w:color w:val="C00000"/>
          <w:sz w:val="24"/>
          <w:szCs w:val="24"/>
        </w:rPr>
        <w:t xml:space="preserve">Once all |G| guardians have signed, satisfying the N-of-N condition, the consent token is minted in the local ledger while a background job anchors the mint on Sepolia asynchronously; the temporal check V_T and the jurisdictional check V_L are then evaluated before the Authorisation Decision, a Groth16 proof is generated and verified on the ALLOW branch, and after the audit evidence is recorded the flow continues through patient-initiated revocation, the corresponding on-chain revoke transaction, and finally auditor review together with independent verification through verify_poc.</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140" w:line="300"/>
        <w:jc w:val="both"/>
      </w:pPr>
      <w:r>
        <w:rPr>
          <w:rFonts w:ascii="Cambria" w:cs="Cambria" w:eastAsia="Cambria" w:hAnsi="Cambria"/>
          <w:color w:val="C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required threshold is not satisfied, the authorization process terminates with a denial decision. This prevents a single participant from unilaterally establishing authorization when the consent policy requires collective approval. When the authorization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authorized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consent-authorized scope. Similarly, the requested purpose must be consistent with the purpose specified in the consent. Consequently, a valid identity and sufficient multi-party approval are necessary but not sufficient conditions for access. The final authorization decision is therefore determined by the conjunction of identity and authority verification, multi-party authorization, and policy compliance. For the current stage scope of the proposed framework,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authorization threshold, and VP (C, R) represents compliance between the access request and the consent policy. If any of these conditions is false, the request is denied. Only when all required conditions are satisfied is healthcare data access granted. Finally, the framework records the resulting authorization evidence in the audit layer. Importantly, both successful and denied decisions should be recorded because a trustworthy authorization framework requires accountability not only for data that were released but also for access attempts that were rejected. The audit evidence can therefore provide a traceable record of the authorization decision, including the relevant consent, participants, policy evaluation, decision outcome, and associated evidence. In this manner, the workflow connects consent specification with identity trust, collective authorization, policy enforcement, and accountability, providing the operational foundation of the proposed trust-oriented authorization framework.</w:t>
      </w:r>
    </w:p>
    <w:p>
      <w:pPr>
        <w:pStyle w:val="Heading2"/>
        <w:spacing w:after="160" w:before="280"/>
      </w:pPr>
      <w:r>
        <w:t xml:space="preserve">5.3  Model: Trust-Aware Consent and Authorisation Representation</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C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C00000"/>
          <w:sz w:val="22"/>
          <w:szCs w:val="22"/>
        </w:rPr>
        <w:t xml:space="preserve">C = (I, A, P, T, L, E)</w:t>
      </w:r>
      <w:r>
        <w:rPr>
          <w:rFonts w:ascii="Cambria" w:cs="Cambria" w:eastAsia="Cambria" w:hAnsi="Cambria"/>
          <w:color w:val="C00000"/>
          <w:sz w:val="22"/>
          <w:szCs w:val="22"/>
        </w:rPr>
        <w:t xml:space="preserve">	(36)</w:t>
      </w:r>
    </w:p>
    <w:p>
      <w:pPr>
        <w:spacing w:after="140" w:line="300"/>
        <w:jc w:val="both"/>
      </w:pPr>
      <w:r>
        <w:rPr>
          <w:rFonts w:ascii="Cambria" w:cs="Cambria" w:eastAsia="Cambria" w:hAnsi="Cambria"/>
          <w:color w:val="C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sz w:val="24"/>
          <w:szCs w:val="24"/>
        </w:rPr>
        <w:t xml:space="preserve">where I represents identity-related information associated with the relevant participants,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Let Av denote the set of participants whose identities and authority have been successfully verified,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 For the </w:t>
      </w:r>
      <w:r>
        <w:rPr>
          <w:rFonts w:ascii="Cambria" w:cs="Cambria" w:eastAsia="Cambria" w:hAnsi="Cambria"/>
          <w:color w:val="C00000"/>
          <w:sz w:val="24"/>
          <w:szCs w:val="24"/>
        </w:rPr>
        <w:t xml:space="preserve">current stage</w:t>
      </w:r>
      <w:r>
        <w:rPr>
          <w:rFonts w:ascii="Cambria" w:cs="Cambria" w:eastAsia="Cambria" w:hAnsi="Cambria"/>
          <w:sz w:val="24"/>
          <w:szCs w:val="24"/>
        </w:rPr>
        <w:t xml:space="preserve"> implementation, the Model focuses on the foundational dimensions of identity, authority, multi-party approval, policy constraints, and authorisation evidence. The subsequent next research will extend this representation to include temporal validity, expiration, revocation, lifecycle transitions, and formal security properties.</w:t>
      </w:r>
    </w:p>
    <w:p>
      <w:pPr>
        <w:spacing w:after="140" w:line="300"/>
        <w:jc w:val="both"/>
      </w:pPr>
      <w:r>
        <w:rPr>
          <w:rFonts w:ascii="Cambria" w:cs="Cambria" w:eastAsia="Cambria" w:hAnsi="Cambria"/>
          <w:color w:val="C00000"/>
          <w:sz w:val="24"/>
          <w:szCs w:val="24"/>
        </w:rPr>
        <w:t xml:space="preserve">The implementation realises this representation in full, including temporal validity, expiration, on-chain revocation and an explicit lifecycle state machine. Formal verification of the associated security properties, however, remains a matter for future work.</w:t>
      </w:r>
    </w:p>
    <w:p>
      <w:pPr>
        <w:pStyle w:val="Heading2"/>
        <w:spacing w:after="160" w:before="280"/>
      </w:pPr>
      <w: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The overall current stage authorisation decision is therefore determined by the conjunction of the foundational trust conditions: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pStyle w:val="Heading2"/>
        <w:spacing w:after="160" w:before="280"/>
      </w:pPr>
      <w: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 that</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without adequately considering the specific policy conditions associated with an individual patient’s consent.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t xml:space="preserve">5.8  Authorisation Evidence and Auditability</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 The trustworthiness of the access decision instead originates from the coordinated enforcement of identity, authority, multi-party approval, and policy conditions.</w:t>
      </w:r>
    </w:p>
    <w:p>
      <w:pPr>
        <w:spacing w:after="140" w:line="300"/>
        <w:jc w:val="both"/>
      </w:pPr>
      <w:r>
        <w:rPr>
          <w:rFonts w:ascii="Cambria" w:cs="Cambria" w:eastAsia="Cambria" w:hAnsi="Cambria"/>
          <w:color w:val="C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pStyle w:val="Heading2"/>
        <w:spacing w:after="160" w:before="280"/>
      </w:pPr>
      <w: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can be summarised as shown in Table 5.</w:t>
      </w:r>
    </w:p>
    <w:p>
      <w:pPr>
        <w:pStyle w:val="Heading2"/>
        <w:spacing w:after="160" w:before="280"/>
      </w:pPr>
      <w: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Heading2"/>
        <w:spacing w:after="160" w:before="280"/>
      </w:pPr>
      <w: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 For the current stage, the architecture therefore establishes the foundational mechanisms required to answer RQ1–RQ4. The implemented HALAH prototype provides the practical</w:t>
      </w:r>
    </w:p>
    <w:p>
      <w:pPr>
        <w:keepNext/>
        <w:spacing w:after="80" w:before="160"/>
        <w:jc w:val="center"/>
      </w:pPr>
      <w:r>
        <w:rPr>
          <w:rFonts w:ascii="Cambria" w:cs="Cambria" w:eastAsia="Cambria" w:hAnsi="Cambria"/>
          <w:b/>
          <w:bCs/>
          <w:sz w:val="21"/>
          <w:szCs w:val="21"/>
        </w:rPr>
        <w:t xml:space="preserve">Table 5: </w:t>
      </w:r>
      <w:r>
        <w:rPr>
          <w:rFonts w:ascii="Cambria" w:cs="Cambria" w:eastAsia="Cambria" w:hAnsi="Cambria"/>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provide</w:t>
            </w:r>
            <w:r>
              <w:rPr>
                <w:rFonts w:ascii="Cambria" w:cs="Cambria" w:eastAsia="Cambria" w:hAnsi="Cambria"/>
                <w:b w:val="false"/>
                <w:bCs w:val="false"/>
                <w:sz w:val="19"/>
                <w:szCs w:val="19"/>
              </w:rPr>
              <w:t xml:space="preserve"> traceability and supports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sz w:val="21"/>
          <w:szCs w:val="21"/>
        </w:rPr>
        <w:t xml:space="preserve">Table 6: </w:t>
      </w:r>
      <w:r>
        <w:rPr>
          <w:rFonts w:ascii="Cambria" w:cs="Cambria" w:eastAsia="Cambria" w:hAnsi="Cambria"/>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C00000"/>
          <w:sz w:val="24"/>
          <w:szCs w:val="24"/>
        </w:rPr>
        <w:t xml:space="preserve">next stage will</w:t>
      </w:r>
      <w:r>
        <w:rPr>
          <w:rFonts w:ascii="Cambria" w:cs="Cambria" w:eastAsia="Cambria" w:hAnsi="Cambria"/>
          <w:sz w:val="24"/>
          <w:szCs w:val="24"/>
        </w:rPr>
        <w:t xml:space="preserve"> investigate whether this core can maintain trust dynamically over time,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t xml:space="preserve">6  Proposed Solution</w:t>
      </w:r>
    </w:p>
    <w:p>
      <w:pPr>
        <w:pStyle w:val="Heading2"/>
        <w:spacing w:after="160" w:before="280"/>
      </w:pPr>
      <w: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C00000"/>
          <w:sz w:val="22"/>
          <w:szCs w:val="22"/>
        </w:rPr>
        <w:t xml:space="preserve">C = (I, A, P, T, L, E)</w:t>
      </w:r>
      <w:r>
        <w:rPr>
          <w:rFonts w:ascii="Cambria" w:cs="Cambria" w:eastAsia="Cambria" w:hAnsi="Cambria"/>
          <w:color w:val="C00000"/>
          <w:sz w:val="22"/>
          <w:szCs w:val="22"/>
        </w:rPr>
        <w:t xml:space="preserve">	(51)</w:t>
      </w:r>
    </w:p>
    <w:p>
      <w:pPr>
        <w:spacing w:after="140" w:line="300"/>
        <w:jc w:val="both"/>
      </w:pPr>
      <w:r>
        <w:rPr>
          <w:rFonts w:ascii="Cambria" w:cs="Cambria" w:eastAsia="Cambria" w:hAnsi="Cambria"/>
          <w:color w:val="C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sz w:val="24"/>
          <w:szCs w:val="24"/>
        </w:rP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7: RO1 workflow for trust-centric consent creation" title="Figure 7: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RO1 workflow for trust-centric consent creation</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C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I_p → D → G → P_u → S_C → T → L → A → id_C → C → E.</w:t>
      </w:r>
    </w:p>
    <w:p>
      <w:pPr>
        <w:pStyle w:val="Heading3"/>
        <w:spacing w:after="160" w:before="280"/>
      </w:pPr>
      <w: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C00000"/>
          <w:sz w:val="24"/>
          <w:szCs w:val="24"/>
        </w:rPr>
        <w:t xml:space="preserve">In the current prototype this validation is a structural check that each identifier constitutes a well-formed DID.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C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Patient identity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authorised doctor D, guardian set G, purpose P</w:t>
      </w:r>
      <w:r>
        <w:rPr>
          <w:rFonts w:ascii="Cambria" w:cs="Cambria" w:eastAsia="Cambria" w:hAnsi="Cambria"/>
          <w:sz w:val="21"/>
          <w:szCs w:val="21"/>
          <w:vertAlign w:val="subscript"/>
        </w:rPr>
        <w:t xml:space="preserve">u</w:t>
      </w:r>
      <w:r>
        <w:rPr>
          <w:rFonts w:ascii="Cambria" w:cs="Cambria" w:eastAsia="Cambria" w:hAnsi="Cambria"/>
          <w:sz w:val="21"/>
          <w:szCs w:val="21"/>
        </w:rPr>
        <w:t xml:space="preserve">, data scope S</w:t>
      </w:r>
      <w:r>
        <w:rPr>
          <w:rFonts w:ascii="Cambria" w:cs="Cambria" w:eastAsia="Cambria" w:hAnsi="Cambria"/>
          <w:sz w:val="21"/>
          <w:szCs w:val="21"/>
          <w:vertAlign w:val="subscript"/>
        </w:rPr>
        <w:t xml:space="preserve">C</w:t>
      </w:r>
      <w:r>
        <w:rPr>
          <w:rFonts w:ascii="Cambria" w:cs="Cambria" w:eastAsia="Cambria" w:hAnsi="Cambria"/>
          <w:sz w:val="21"/>
          <w:szCs w:val="21"/>
        </w:rPr>
        <w:t xml:space="preserve">, validity interval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C00000"/>
          <w:sz w:val="18"/>
          <w:szCs w:val="18"/>
        </w:rPr>
        <w:t xml:space="preserve">15:  </w:t>
      </w:r>
      <w:r>
        <w:rPr>
          <w:rFonts w:ascii="Cambria" w:cs="Cambria" w:eastAsia="Cambria" w:hAnsi="Cambria"/>
          <w:color w:val="C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C00000"/>
          <w:sz w:val="18"/>
          <w:szCs w:val="18"/>
        </w:rPr>
        <w:t xml:space="preserve">16a:  </w:t>
      </w:r>
      <w:r>
        <w:rPr>
          <w:rFonts w:ascii="Cambria" w:cs="Cambria" w:eastAsia="Cambria" w:hAnsi="Cambria"/>
          <w:color w:val="C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w:t>
      </w:r>
      <w:r>
        <w:rPr>
          <w:rFonts w:ascii="Cambria" w:cs="Cambria" w:eastAsia="Cambria" w:hAnsi="Cambria"/>
          <w:color w:val="C00000"/>
          <w:sz w:val="24"/>
          <w:szCs w:val="24"/>
        </w:rPr>
        <w:t xml:space="preserve">performs the credential verification step, implemented in the prototype as a structural DID-format check</w:t>
      </w:r>
      <w:r>
        <w:rPr>
          <w:rFonts w:ascii="Cambria" w:cs="Cambria" w:eastAsia="Cambria" w:hAnsi="Cambria"/>
          <w:sz w:val="24"/>
          <w:szCs w:val="24"/>
        </w:rPr>
        <w:t xml:space="preserve"> before adding the guardian’s signature to the consent. The code therefore demonstrates the separation between participant identity verification and the subsequent authorisation operation. The output of RO2 is not an access-grant decision. It is a verified identity and authority result that can be consumed by RO3 and RO4. This separation prevents a participant from obtaining access merely by presenting a valid identity credential.</w:t>
      </w:r>
    </w:p>
    <w:p>
      <w:pPr>
        <w:spacing w:after="140" w:line="300"/>
        <w:jc w:val="both"/>
      </w:pPr>
      <w:r>
        <w:rPr>
          <w:rFonts w:ascii="Cambria" w:cs="Cambria" w:eastAsia="Cambria" w:hAnsi="Cambria"/>
          <w:color w:val="C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8: RO2 workflow for decentralised identity and authority verification" title="Figure 8: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C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C00000"/>
          <w:sz w:val="24"/>
          <w:szCs w:val="24"/>
        </w:rPr>
        <w:t xml:space="preserve">This condition defines the target verification model rather than the behaviour presently exercised. The current prototype implements V_I(u)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sz w:val="24"/>
          <w:szCs w:val="24"/>
        </w:rPr>
        <w:t xml:space="preserve">The threshold mechanism establishes collective authorisation </w:t>
      </w:r>
      <w:r>
        <w:rPr>
          <w:rFonts w:ascii="Cambria" w:cs="Cambria" w:eastAsia="Cambria" w:hAnsi="Cambria"/>
          <w:color w:val="C00000"/>
          <w:sz w:val="24"/>
          <w:szCs w:val="24"/>
        </w:rPr>
        <w:t xml:space="preserve">without involving participants beyond the designated guardian set; in the implemented configuration every designated guardian must provide a valid approval, so the threshold takes the form N = |G|</w:t>
      </w:r>
      <w:r>
        <w:rPr>
          <w:rFonts w:ascii="Cambria" w:cs="Cambria" w:eastAsia="Cambria" w:hAnsi="Cambria"/>
          <w:sz w:val="24"/>
          <w:szCs w:val="24"/>
        </w:rPr>
        <w:t xml:space="preserve">.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C00000"/>
          <w:sz w:val="24"/>
          <w:szCs w:val="24"/>
        </w:rPr>
        <w:t xml:space="preserve">In the current implementation the threshold is fixed to the full guardian set, N = |G|, so that every designated guardian must approve before the consent is activated; the demonstrated configuration is therefore 2-of-2. This distinction is important because a configurable k-of-n threshold, while a direct generalisation of the implemented mechanism, is left to future work.</w:t>
      </w:r>
    </w:p>
    <w:p>
      <w:pPr>
        <w:pStyle w:val="Heading3"/>
        <w:spacing w:after="160" w:before="280"/>
      </w:pPr>
      <w: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pStyle w:val="Heading3"/>
        <w:spacing w:after="160" w:before="280"/>
      </w:pPr>
      <w: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9: RO3 workflow for threshold-based multi-party authorisation" title="Figure 9: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Authorisation(C) = { ALLOW,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PENDING,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sz w:val="21"/>
          <w:szCs w:val="21"/>
        </w:rPr>
        <w:t xml:space="preserve">Require: </w:t>
      </w:r>
      <w:r>
        <w:rPr>
          <w:rFonts w:ascii="Cambria" w:cs="Cambria" w:eastAsia="Cambria" w:hAnsi="Cambria"/>
          <w:strike/>
          <w:color w:val="808080"/>
          <w:sz w:val="21"/>
          <w:szCs w:val="21"/>
        </w:rPr>
        <w:t xml:space="preserve">Consent object C, participant approval a, threshold N</w:t>
      </w:r>
    </w:p>
    <w:p>
      <w:pPr>
        <w:spacing w:after="20"/>
      </w:pPr>
      <w:r>
        <w:rPr>
          <w:rFonts w:ascii="Cambria" w:cs="Cambria" w:eastAsia="Cambria" w:hAnsi="Cambria"/>
          <w:b/>
          <w:bCs/>
          <w:color w:val="C00000"/>
          <w:sz w:val="21"/>
          <w:szCs w:val="21"/>
        </w:rPr>
        <w:t xml:space="preserve">Require: </w:t>
      </w:r>
      <w:r>
        <w:rPr>
          <w:rFonts w:ascii="Cambria" w:cs="Cambria" w:eastAsia="Cambria" w:hAnsi="Cambria"/>
          <w:color w:val="C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C00000"/>
          <w:sz w:val="18"/>
          <w:szCs w:val="18"/>
        </w:rPr>
        <w:t xml:space="preserve">1a:  </w:t>
      </w:r>
      <w:r>
        <w:rPr>
          <w:rFonts w:ascii="Cambria" w:cs="Cambria" w:eastAsia="Cambria" w:hAnsi="Cambria"/>
          <w:color w:val="C00000"/>
          <w:sz w:val="21"/>
          <w:szCs w:val="21"/>
        </w:rPr>
        <w:t xml:space="preserve">N ← |G|</w:t>
      </w:r>
    </w:p>
    <w:p>
      <w:pPr>
        <w:spacing w:after="20"/>
        <w:ind w:left="240"/>
      </w:pPr>
      <w:r>
        <w:rPr>
          <w:rFonts w:ascii="Cambria" w:cs="Cambria" w:eastAsia="Cambria" w:hAnsi="Cambria"/>
          <w:color w:val="C00000"/>
          <w:sz w:val="18"/>
          <w:szCs w:val="18"/>
        </w:rPr>
        <w:t xml:space="preserve">2:  </w:t>
      </w:r>
      <w:r>
        <w:rPr>
          <w:rFonts w:ascii="Cambria" w:cs="Cambria" w:eastAsia="Cambria" w:hAnsi="Cambria"/>
          <w:color w:val="C00000"/>
          <w:sz w:val="21"/>
          <w:szCs w:val="21"/>
        </w:rPr>
        <w:t xml:space="preserve">signer ← RecoverEIP712(domain, {id</w:t>
      </w:r>
      <w:r>
        <w:rPr>
          <w:rFonts w:ascii="Cambria" w:cs="Cambria" w:eastAsia="Cambria" w:hAnsi="Cambria"/>
          <w:color w:val="C00000"/>
          <w:sz w:val="21"/>
          <w:szCs w:val="21"/>
          <w:vertAlign w:val="subscript"/>
        </w:rPr>
        <w:t xml:space="preserve">C</w:t>
      </w:r>
      <w:r>
        <w:rPr>
          <w:rFonts w:ascii="Cambria" w:cs="Cambria" w:eastAsia="Cambria" w:hAnsi="Cambria"/>
          <w:color w:val="C00000"/>
          <w:sz w:val="21"/>
          <w:szCs w:val="21"/>
        </w:rPr>
        <w:t xml:space="preserve">, g, APPROVE}, sig</w:t>
      </w:r>
      <w:r>
        <w:rPr>
          <w:rFonts w:ascii="Cambria" w:cs="Cambria" w:eastAsia="Cambria" w:hAnsi="Cambria"/>
          <w:color w:val="C00000"/>
          <w:sz w:val="21"/>
          <w:szCs w:val="21"/>
          <w:vertAlign w:val="subscript"/>
        </w:rPr>
        <w:t xml:space="preserve">a</w:t>
      </w:r>
      <w:r>
        <w:rPr>
          <w:rFonts w:ascii="Cambria" w:cs="Cambria" w:eastAsia="Cambria" w:hAnsi="Cambria"/>
          <w:color w:val="C00000"/>
          <w:sz w:val="21"/>
          <w:szCs w:val="21"/>
        </w:rPr>
        <w:t xml:space="preserve">)   ▷ off-chain recovery</w:t>
      </w:r>
    </w:p>
    <w:p>
      <w:pPr>
        <w:spacing w:after="20"/>
        <w:ind w:left="240"/>
      </w:pPr>
      <w:r>
        <w:rPr>
          <w:rFonts w:ascii="Cambria" w:cs="Cambria" w:eastAsia="Cambria" w:hAnsi="Cambria"/>
          <w:color w:val="C00000"/>
          <w:sz w:val="18"/>
          <w:szCs w:val="18"/>
        </w:rPr>
        <w:t xml:space="preserve">3:  </w:t>
      </w:r>
      <w:r>
        <w:rPr>
          <w:rFonts w:ascii="Cambria" w:cs="Cambria" w:eastAsia="Cambria" w:hAnsi="Cambria"/>
          <w:b/>
          <w:bCs/>
          <w:color w:val="C00000"/>
          <w:sz w:val="21"/>
          <w:szCs w:val="21"/>
        </w:rPr>
        <w:t xml:space="preserve">if</w:t>
      </w:r>
      <w:r>
        <w:rPr>
          <w:rFonts w:ascii="Cambria" w:cs="Cambria" w:eastAsia="Cambria" w:hAnsi="Cambria"/>
          <w:color w:val="C00000"/>
          <w:sz w:val="21"/>
          <w:szCs w:val="21"/>
        </w:rPr>
        <w:t xml:space="preserve"> signer ≠ Addr(g), or the signature binds a different consent, guardian, or chain </w:t>
      </w:r>
      <w:r>
        <w:rPr>
          <w:rFonts w:ascii="Cambria" w:cs="Cambria" w:eastAsia="Cambria" w:hAnsi="Cambria"/>
          <w:b/>
          <w:bCs/>
          <w:color w:val="C00000"/>
          <w:sz w:val="21"/>
          <w:szCs w:val="21"/>
        </w:rPr>
        <w:t xml:space="preserve">then</w:t>
      </w:r>
    </w:p>
    <w:p>
      <w:pPr>
        <w:spacing w:after="20"/>
        <w:ind w:left="600"/>
      </w:pPr>
      <w:r>
        <w:rPr>
          <w:rFonts w:ascii="Cambria" w:cs="Cambria" w:eastAsia="Cambria" w:hAnsi="Cambria"/>
          <w:color w:val="555555"/>
          <w:sz w:val="18"/>
          <w:szCs w:val="18"/>
        </w:rPr>
        <w:t xml:space="preserve">4: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12: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13: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end if</w:t>
      </w:r>
    </w:p>
    <w:p>
      <w:pPr>
        <w:spacing w:after="20"/>
        <w:ind w:left="240"/>
      </w:pPr>
      <w:r>
        <w:rPr>
          <w:rFonts w:ascii="Cambria" w:cs="Cambria" w:eastAsia="Cambria" w:hAnsi="Cambria"/>
          <w:color w:val="C00000"/>
          <w:sz w:val="18"/>
          <w:szCs w:val="18"/>
        </w:rPr>
        <w:t xml:space="preserve">15:  </w:t>
      </w:r>
      <w:r>
        <w:rPr>
          <w:rFonts w:ascii="Cambria" w:cs="Cambria" w:eastAsia="Cambria" w:hAnsi="Cambria"/>
          <w:color w:val="C00000"/>
          <w:sz w:val="21"/>
          <w:szCs w:val="21"/>
        </w:rPr>
        <w:t xml:space="preserve">Record signature_data[g] ← (signer, sig</w:t>
      </w:r>
      <w:r>
        <w:rPr>
          <w:rFonts w:ascii="Cambria" w:cs="Cambria" w:eastAsia="Cambria" w:hAnsi="Cambria"/>
          <w:color w:val="C00000"/>
          <w:sz w:val="21"/>
          <w:szCs w:val="21"/>
          <w:vertAlign w:val="subscript"/>
        </w:rPr>
        <w:t xml:space="preserve">a</w:t>
      </w:r>
      <w:r>
        <w:rPr>
          <w:rFonts w:ascii="Cambria" w:cs="Cambria" w:eastAsia="Cambria" w:hAnsi="Cambria"/>
          <w:color w:val="C00000"/>
          <w:sz w:val="21"/>
          <w:szCs w:val="21"/>
        </w:rPr>
        <w:t xml:space="preserv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C00000"/>
          <w:sz w:val="18"/>
          <w:szCs w:val="18"/>
        </w:rPr>
        <w:t xml:space="preserve">19:  </w:t>
      </w:r>
      <w:r>
        <w:rPr>
          <w:rFonts w:ascii="Cambria" w:cs="Cambria" w:eastAsia="Cambria" w:hAnsi="Cambria"/>
          <w:color w:val="C00000"/>
          <w:sz w:val="21"/>
          <w:szCs w:val="21"/>
        </w:rPr>
        <w:t xml:space="preserve">state ← PENDING_TOKEN</w:t>
      </w:r>
    </w:p>
    <w:p>
      <w:pPr>
        <w:spacing w:after="20"/>
        <w:ind w:left="600"/>
      </w:pPr>
      <w:r>
        <w:rPr>
          <w:rFonts w:ascii="Cambria" w:cs="Cambria" w:eastAsia="Cambria" w:hAnsi="Cambria"/>
          <w:color w:val="C00000"/>
          <w:sz w:val="18"/>
          <w:szCs w:val="18"/>
        </w:rPr>
        <w:t xml:space="preserve">19a:  </w:t>
      </w:r>
      <w:r>
        <w:rPr>
          <w:rFonts w:ascii="Cambria" w:cs="Cambria" w:eastAsia="Cambria" w:hAnsi="Cambria"/>
          <w:color w:val="C00000"/>
          <w:sz w:val="21"/>
          <w:szCs w:val="21"/>
        </w:rPr>
        <w:t xml:space="preserve">submit mintConsentV3(addr</w:t>
      </w:r>
      <w:r>
        <w:rPr>
          <w:rFonts w:ascii="Cambria" w:cs="Cambria" w:eastAsia="Cambria" w:hAnsi="Cambria"/>
          <w:color w:val="C00000"/>
          <w:sz w:val="21"/>
          <w:szCs w:val="21"/>
          <w:vertAlign w:val="subscript"/>
        </w:rPr>
        <w:t xml:space="preserve">p</w:t>
      </w:r>
      <w:r>
        <w:rPr>
          <w:rFonts w:ascii="Cambria" w:cs="Cambria" w:eastAsia="Cambria" w:hAnsi="Cambria"/>
          <w:color w:val="C00000"/>
          <w:sz w:val="21"/>
          <w:szCs w:val="21"/>
        </w:rPr>
        <w:t xml:space="preserve">, addr</w:t>
      </w:r>
      <w:r>
        <w:rPr>
          <w:rFonts w:ascii="Cambria" w:cs="Cambria" w:eastAsia="Cambria" w:hAnsi="Cambria"/>
          <w:color w:val="C00000"/>
          <w:sz w:val="21"/>
          <w:szCs w:val="21"/>
          <w:vertAlign w:val="subscript"/>
        </w:rPr>
        <w:t xml:space="preserve">r</w:t>
      </w:r>
      <w:r>
        <w:rPr>
          <w:rFonts w:ascii="Cambria" w:cs="Cambria" w:eastAsia="Cambria" w:hAnsi="Cambria"/>
          <w:color w:val="C00000"/>
          <w:sz w:val="21"/>
          <w:szCs w:val="21"/>
        </w:rPr>
        <w:t xml:space="preserve">, keccak(P</w:t>
      </w:r>
      <w:r>
        <w:rPr>
          <w:rFonts w:ascii="Cambria" w:cs="Cambria" w:eastAsia="Cambria" w:hAnsi="Cambria"/>
          <w:color w:val="C00000"/>
          <w:sz w:val="21"/>
          <w:szCs w:val="21"/>
          <w:vertAlign w:val="subscript"/>
        </w:rPr>
        <w:t xml:space="preserve">u</w:t>
      </w:r>
      <w:r>
        <w:rPr>
          <w:rFonts w:ascii="Cambria" w:cs="Cambria" w:eastAsia="Cambria" w:hAnsi="Cambria"/>
          <w:color w:val="C00000"/>
          <w:sz w:val="21"/>
          <w:szCs w:val="21"/>
        </w:rPr>
        <w:t xml:space="preserve">), t</w:t>
      </w:r>
      <w:r>
        <w:rPr>
          <w:rFonts w:ascii="Cambria" w:cs="Cambria" w:eastAsia="Cambria" w:hAnsi="Cambria"/>
          <w:color w:val="C00000"/>
          <w:sz w:val="21"/>
          <w:szCs w:val="21"/>
          <w:vertAlign w:val="subscript"/>
        </w:rPr>
        <w:t xml:space="preserve">s</w:t>
      </w:r>
      <w:r>
        <w:rPr>
          <w:rFonts w:ascii="Cambria" w:cs="Cambria" w:eastAsia="Cambria" w:hAnsi="Cambria"/>
          <w:color w:val="C00000"/>
          <w:sz w:val="21"/>
          <w:szCs w:val="21"/>
        </w:rPr>
        <w:t xml:space="preserve">, t</w:t>
      </w:r>
      <w:r>
        <w:rPr>
          <w:rFonts w:ascii="Cambria" w:cs="Cambria" w:eastAsia="Cambria" w:hAnsi="Cambria"/>
          <w:color w:val="C00000"/>
          <w:sz w:val="21"/>
          <w:szCs w:val="21"/>
          <w:vertAlign w:val="subscript"/>
        </w:rPr>
        <w:t xml:space="preserve">e</w:t>
      </w:r>
      <w:r>
        <w:rPr>
          <w:rFonts w:ascii="Cambria" w:cs="Cambria" w:eastAsia="Cambria" w:hAnsi="Cambria"/>
          <w:color w:val="C00000"/>
          <w:sz w:val="21"/>
          <w:szCs w:val="21"/>
        </w:rPr>
        <w:t xml:space="preserve">, L, burnAuth) via the owner account   ▷ background job; reconciled on next lookup</w:t>
      </w:r>
    </w:p>
    <w:p>
      <w:pPr>
        <w:spacing w:after="20"/>
        <w:ind w:left="600"/>
      </w:pPr>
      <w:r>
        <w:rPr>
          <w:rFonts w:ascii="Cambria" w:cs="Cambria" w:eastAsia="Cambria" w:hAnsi="Cambria"/>
          <w:color w:val="C00000"/>
          <w:sz w:val="18"/>
          <w:szCs w:val="18"/>
        </w:rPr>
        <w:t xml:space="preserve">19b:  </w:t>
      </w:r>
      <w:r>
        <w:rPr>
          <w:rFonts w:ascii="Cambria" w:cs="Cambria" w:eastAsia="Cambria" w:hAnsi="Cambria"/>
          <w:color w:val="C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20: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C00000"/>
          <w:sz w:val="18"/>
          <w:szCs w:val="18"/>
        </w:rPr>
        <w:t xml:space="preserve">21:  </w:t>
      </w:r>
      <w:r>
        <w:rPr>
          <w:rFonts w:ascii="Cambria" w:cs="Cambria" w:eastAsia="Cambria" w:hAnsi="Cambria"/>
          <w:b/>
          <w:bCs/>
          <w:color w:val="C00000"/>
          <w:sz w:val="21"/>
          <w:szCs w:val="21"/>
        </w:rPr>
        <w:t xml:space="preserve">return</w:t>
      </w:r>
      <w:r>
        <w:rPr>
          <w:rFonts w:ascii="Cambria" w:cs="Cambria" w:eastAsia="Cambria" w:hAnsi="Cambria"/>
          <w:color w:val="C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24: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26: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The complete current stage research on authorisation decision is</w:t>
      </w:r>
    </w:p>
    <w:p>
      <w:pPr>
        <w:tabs>
          <w:tab w:val="right" w:pos="9360"/>
        </w:tabs>
        <w:spacing w:after="160" w:before="60"/>
        <w:jc w:val="center"/>
      </w:pPr>
      <w:r>
        <w:rPr>
          <w:rFonts w:ascii="Cambria Math" w:cs="Cambria Math" w:eastAsia="Cambria Math" w:hAnsi="Cambria Math"/>
          <w:i/>
          <w:iCs/>
          <w:color w:val="C00000"/>
          <w:sz w:val="22"/>
          <w:szCs w:val="22"/>
        </w:rPr>
        <w:t xml:space="preserve">Decision(C, R, t) = ALLOW ⟺ V_I ∧ V_A ∧ V_P ∧ V_T ∧ V_L</w:t>
      </w:r>
      <w:r>
        <w:rPr>
          <w:rFonts w:ascii="Cambria" w:cs="Cambria" w:eastAsia="Cambria" w:hAnsi="Cambria"/>
          <w:color w:val="C00000"/>
          <w:sz w:val="22"/>
          <w:szCs w:val="22"/>
        </w:rPr>
        <w:t xml:space="preserve">	(59)</w:t>
      </w:r>
    </w:p>
    <w:p>
      <w:pPr>
        <w:spacing w:after="140" w:line="300"/>
        <w:jc w:val="both"/>
      </w:pPr>
      <w:r>
        <w:rPr>
          <w:rFonts w:ascii="Cambria" w:cs="Cambria" w:eastAsia="Cambria" w:hAnsi="Cambria"/>
          <w:color w:val="C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0: RO4 workflow for policy- and context-aware access control" title="Figure 10: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RO4 workflow for policy- and context-aware access control</w:t>
      </w:r>
    </w:p>
    <w:p>
      <w:pPr>
        <w:pStyle w:val="Heading3"/>
        <w:spacing w:after="160" w:before="280"/>
      </w:pPr>
      <w:r>
        <w:t xml:space="preserve">6.4.2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C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VALID. If any mandatory condition fails, the procedure returns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 Consent → Identity → Authority → Policy → Temporal/Lifecycle Validation → Access</w:t>
      </w:r>
    </w:p>
    <w:p>
      <w:pPr>
        <w:spacing w:after="140" w:line="300"/>
        <w:jc w:val="both"/>
      </w:pPr>
      <w:r>
        <w:rPr>
          <w:rFonts w:ascii="Cambria" w:cs="Cambria" w:eastAsia="Cambria" w:hAnsi="Cambria"/>
          <w:color w:val="C00000"/>
          <w:sz w:val="24"/>
          <w:szCs w:val="24"/>
        </w:rPr>
        <w:t xml:space="preserve">the lifecycle validation mechanism can therefore be interpreted as a per-request validity layer: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p>
      <w:pPr>
        <w:pStyle w:val="Heading3"/>
        <w:spacing w:after="160" w:before="280"/>
      </w:pPr>
      <w:r>
        <w:t xml:space="preserve">6.4.3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access request R, requesting participant u</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C00000"/>
          <w:sz w:val="18"/>
          <w:szCs w:val="18"/>
        </w:rPr>
        <w:t xml:space="preserve">22:  </w:t>
      </w:r>
      <w:r>
        <w:rPr>
          <w:rFonts w:ascii="Cambria" w:cs="Cambria" w:eastAsia="Cambria" w:hAnsi="Cambria"/>
          <w:b/>
          <w:bCs/>
          <w:color w:val="C00000"/>
          <w:sz w:val="21"/>
          <w:szCs w:val="21"/>
        </w:rPr>
        <w:t xml:space="preserve">if</w:t>
      </w:r>
      <w:r>
        <w:rPr>
          <w:rFonts w:ascii="Cambria" w:cs="Cambria" w:eastAsia="Cambria" w:hAnsi="Cambria"/>
          <w:color w:val="C00000"/>
          <w:sz w:val="21"/>
          <w:szCs w:val="21"/>
        </w:rPr>
        <w:t xml:space="preserve"> S</w:t>
      </w:r>
      <w:r>
        <w:rPr>
          <w:rFonts w:ascii="Cambria" w:cs="Cambria" w:eastAsia="Cambria" w:hAnsi="Cambria"/>
          <w:color w:val="C00000"/>
          <w:sz w:val="21"/>
          <w:szCs w:val="21"/>
          <w:vertAlign w:val="subscript"/>
        </w:rPr>
        <w:t xml:space="preserve">R</w:t>
      </w:r>
      <w:r>
        <w:rPr>
          <w:rFonts w:ascii="Cambria" w:cs="Cambria" w:eastAsia="Cambria" w:hAnsi="Cambria"/>
          <w:color w:val="C00000"/>
          <w:sz w:val="21"/>
          <w:szCs w:val="21"/>
        </w:rPr>
        <w:t xml:space="preserve"> = ∅ or S</w:t>
      </w:r>
      <w:r>
        <w:rPr>
          <w:rFonts w:ascii="Cambria" w:cs="Cambria" w:eastAsia="Cambria" w:hAnsi="Cambria"/>
          <w:color w:val="C00000"/>
          <w:sz w:val="21"/>
          <w:szCs w:val="21"/>
          <w:vertAlign w:val="subscript"/>
        </w:rPr>
        <w:t xml:space="preserve">R</w:t>
      </w:r>
      <w:r>
        <w:rPr>
          <w:rFonts w:ascii="Cambria" w:cs="Cambria" w:eastAsia="Cambria" w:hAnsi="Cambria"/>
          <w:color w:val="C00000"/>
          <w:sz w:val="21"/>
          <w:szCs w:val="21"/>
        </w:rPr>
        <w:t xml:space="preserve"> ⊈ S</w:t>
      </w:r>
      <w:r>
        <w:rPr>
          <w:rFonts w:ascii="Cambria" w:cs="Cambria" w:eastAsia="Cambria" w:hAnsi="Cambria"/>
          <w:color w:val="C00000"/>
          <w:sz w:val="21"/>
          <w:szCs w:val="21"/>
          <w:vertAlign w:val="subscript"/>
        </w:rPr>
        <w:t xml:space="preserve">C</w:t>
      </w:r>
      <w:r>
        <w:rPr>
          <w:rFonts w:ascii="Cambria" w:cs="Cambria" w:eastAsia="Cambria" w:hAnsi="Cambria"/>
          <w:color w:val="C00000"/>
          <w:sz w:val="21"/>
          <w:szCs w:val="21"/>
        </w:rPr>
        <w:t xml:space="preserve"> </w:t>
      </w:r>
      <w:r>
        <w:rPr>
          <w:rFonts w:ascii="Cambria" w:cs="Cambria" w:eastAsia="Cambria" w:hAnsi="Cambria"/>
          <w:b/>
          <w:bCs/>
          <w:color w:val="C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C00000"/>
          <w:sz w:val="18"/>
          <w:szCs w:val="18"/>
        </w:rPr>
        <w:t xml:space="preserve">25a:  </w:t>
      </w:r>
      <w:r>
        <w:rPr>
          <w:rFonts w:ascii="Cambria" w:cs="Cambria" w:eastAsia="Cambria" w:hAnsi="Cambria"/>
          <w:b/>
          <w:bCs/>
          <w:color w:val="C00000"/>
          <w:sz w:val="21"/>
          <w:szCs w:val="21"/>
        </w:rPr>
        <w:t xml:space="preserve">if</w:t>
      </w:r>
      <w:r>
        <w:rPr>
          <w:rFonts w:ascii="Cambria" w:cs="Cambria" w:eastAsia="Cambria" w:hAnsi="Cambria"/>
          <w:color w:val="C00000"/>
          <w:sz w:val="21"/>
          <w:szCs w:val="21"/>
        </w:rPr>
        <w:t xml:space="preserve"> t &lt; t</w:t>
      </w:r>
      <w:r>
        <w:rPr>
          <w:rFonts w:ascii="Cambria" w:cs="Cambria" w:eastAsia="Cambria" w:hAnsi="Cambria"/>
          <w:color w:val="C00000"/>
          <w:sz w:val="21"/>
          <w:szCs w:val="21"/>
          <w:vertAlign w:val="subscript"/>
        </w:rPr>
        <w:t xml:space="preserve">s</w:t>
      </w:r>
      <w:r>
        <w:rPr>
          <w:rFonts w:ascii="Cambria" w:cs="Cambria" w:eastAsia="Cambria" w:hAnsi="Cambria"/>
          <w:color w:val="C00000"/>
          <w:sz w:val="21"/>
          <w:szCs w:val="21"/>
        </w:rPr>
        <w:t xml:space="preserve"> or t &gt; t</w:t>
      </w:r>
      <w:r>
        <w:rPr>
          <w:rFonts w:ascii="Cambria" w:cs="Cambria" w:eastAsia="Cambria" w:hAnsi="Cambria"/>
          <w:color w:val="C00000"/>
          <w:sz w:val="21"/>
          <w:szCs w:val="21"/>
          <w:vertAlign w:val="subscript"/>
        </w:rPr>
        <w:t xml:space="preserve">e</w:t>
      </w:r>
      <w:r>
        <w:rPr>
          <w:rFonts w:ascii="Cambria" w:cs="Cambria" w:eastAsia="Cambria" w:hAnsi="Cambria"/>
          <w:color w:val="C00000"/>
          <w:sz w:val="21"/>
          <w:szCs w:val="21"/>
        </w:rPr>
        <w:t xml:space="preserve"> </w:t>
      </w:r>
      <w:r>
        <w:rPr>
          <w:rFonts w:ascii="Cambria" w:cs="Cambria" w:eastAsia="Cambria" w:hAnsi="Cambria"/>
          <w:b/>
          <w:bCs/>
          <w:color w:val="C00000"/>
          <w:sz w:val="21"/>
          <w:szCs w:val="21"/>
        </w:rPr>
        <w:t xml:space="preserve">then</w:t>
      </w:r>
      <w:r>
        <w:rPr>
          <w:rFonts w:ascii="Cambria" w:cs="Cambria" w:eastAsia="Cambria" w:hAnsi="Cambria"/>
          <w:color w:val="C00000"/>
          <w:sz w:val="21"/>
          <w:szCs w:val="21"/>
        </w:rPr>
        <w:t xml:space="preserve"> Record denied decision; </w:t>
      </w:r>
      <w:r>
        <w:rPr>
          <w:rFonts w:ascii="Cambria" w:cs="Cambria" w:eastAsia="Cambria" w:hAnsi="Cambria"/>
          <w:b/>
          <w:bCs/>
          <w:color w:val="C00000"/>
          <w:sz w:val="21"/>
          <w:szCs w:val="21"/>
        </w:rPr>
        <w:t xml:space="preserve">return</w:t>
      </w:r>
      <w:r>
        <w:rPr>
          <w:rFonts w:ascii="Cambria" w:cs="Cambria" w:eastAsia="Cambria" w:hAnsi="Cambria"/>
          <w:color w:val="C00000"/>
          <w:sz w:val="21"/>
          <w:szCs w:val="21"/>
        </w:rPr>
        <w:t xml:space="preserve"> DENY </w:t>
      </w:r>
      <w:r>
        <w:rPr>
          <w:rFonts w:ascii="Cambria" w:cs="Cambria" w:eastAsia="Cambria" w:hAnsi="Cambria"/>
          <w:b/>
          <w:bCs/>
          <w:color w:val="C00000"/>
          <w:sz w:val="21"/>
          <w:szCs w:val="21"/>
        </w:rPr>
        <w:t xml:space="preserve">end if</w:t>
      </w:r>
    </w:p>
    <w:p>
      <w:pPr>
        <w:spacing w:after="20"/>
        <w:ind w:left="240"/>
      </w:pPr>
      <w:r>
        <w:rPr>
          <w:rFonts w:ascii="Cambria" w:cs="Cambria" w:eastAsia="Cambria" w:hAnsi="Cambria"/>
          <w:color w:val="C00000"/>
          <w:sz w:val="18"/>
          <w:szCs w:val="18"/>
        </w:rPr>
        <w:t xml:space="preserve">25b:  </w:t>
      </w:r>
      <w:r>
        <w:rPr>
          <w:rFonts w:ascii="Cambria" w:cs="Cambria" w:eastAsia="Cambria" w:hAnsi="Cambria"/>
          <w:b/>
          <w:bCs/>
          <w:color w:val="C00000"/>
          <w:sz w:val="21"/>
          <w:szCs w:val="21"/>
        </w:rPr>
        <w:t xml:space="preserve">if</w:t>
      </w:r>
      <w:r>
        <w:rPr>
          <w:rFonts w:ascii="Cambria" w:cs="Cambria" w:eastAsia="Cambria" w:hAnsi="Cambria"/>
          <w:color w:val="C00000"/>
          <w:sz w:val="21"/>
          <w:szCs w:val="21"/>
        </w:rPr>
        <w:t xml:space="preserve"> Jur(R) ≠ Jur(C) </w:t>
      </w:r>
      <w:r>
        <w:rPr>
          <w:rFonts w:ascii="Cambria" w:cs="Cambria" w:eastAsia="Cambria" w:hAnsi="Cambria"/>
          <w:b/>
          <w:bCs/>
          <w:color w:val="C00000"/>
          <w:sz w:val="21"/>
          <w:szCs w:val="21"/>
        </w:rPr>
        <w:t xml:space="preserve">then</w:t>
      </w:r>
      <w:r>
        <w:rPr>
          <w:rFonts w:ascii="Cambria" w:cs="Cambria" w:eastAsia="Cambria" w:hAnsi="Cambria"/>
          <w:color w:val="C00000"/>
          <w:sz w:val="21"/>
          <w:szCs w:val="21"/>
        </w:rPr>
        <w:t xml:space="preserve"> Record denied decision; </w:t>
      </w:r>
      <w:r>
        <w:rPr>
          <w:rFonts w:ascii="Cambria" w:cs="Cambria" w:eastAsia="Cambria" w:hAnsi="Cambria"/>
          <w:b/>
          <w:bCs/>
          <w:color w:val="C00000"/>
          <w:sz w:val="21"/>
          <w:szCs w:val="21"/>
        </w:rPr>
        <w:t xml:space="preserve">return</w:t>
      </w:r>
      <w:r>
        <w:rPr>
          <w:rFonts w:ascii="Cambria" w:cs="Cambria" w:eastAsia="Cambria" w:hAnsi="Cambria"/>
          <w:color w:val="C00000"/>
          <w:sz w:val="21"/>
          <w:szCs w:val="21"/>
        </w:rPr>
        <w:t xml:space="preserve"> DENY </w:t>
      </w:r>
      <w:r>
        <w:rPr>
          <w:rFonts w:ascii="Cambria" w:cs="Cambria" w:eastAsia="Cambria" w:hAnsi="Cambria"/>
          <w:b/>
          <w:bCs/>
          <w:color w:val="C00000"/>
          <w:sz w:val="21"/>
          <w:szCs w:val="21"/>
        </w:rPr>
        <w:t xml:space="preserve">end if</w:t>
      </w:r>
    </w:p>
    <w:p>
      <w:pPr>
        <w:spacing w:after="20"/>
        <w:ind w:left="240"/>
      </w:pPr>
      <w:r>
        <w:rPr>
          <w:rFonts w:ascii="Cambria" w:cs="Cambria" w:eastAsia="Cambria" w:hAnsi="Cambria"/>
          <w:color w:val="C00000"/>
          <w:sz w:val="18"/>
          <w:szCs w:val="18"/>
        </w:rPr>
        <w:t xml:space="preserve">26:  </w:t>
      </w:r>
      <w:r>
        <w:rPr>
          <w:rFonts w:ascii="Cambria" w:cs="Cambria" w:eastAsia="Cambria" w:hAnsi="Cambria"/>
          <w:color w:val="C00000"/>
          <w:sz w:val="21"/>
          <w:szCs w:val="21"/>
        </w:rPr>
        <w:t xml:space="preserve">Generate and verify a Groth16 proof that Poseidon(secret, expiry) equals the public commitment and that t ≤ t</w:t>
      </w:r>
      <w:r>
        <w:rPr>
          <w:rFonts w:ascii="Cambria" w:cs="Cambria" w:eastAsia="Cambria" w:hAnsi="Cambria"/>
          <w:color w:val="C00000"/>
          <w:sz w:val="21"/>
          <w:szCs w:val="21"/>
          <w:vertAlign w:val="subscript"/>
        </w:rPr>
        <w:t xml:space="preserve">e</w:t>
      </w:r>
      <w:r>
        <w:rPr>
          <w:rFonts w:ascii="Cambria" w:cs="Cambria" w:eastAsia="Cambria" w:hAnsi="Cambria"/>
          <w:color w:val="C00000"/>
          <w:sz w:val="21"/>
          <w:szCs w:val="21"/>
        </w:rPr>
        <w:t xml:space="preserve">; record proof_mode = groth16</w:t>
      </w:r>
    </w:p>
    <w:p>
      <w:pPr>
        <w:spacing w:after="20"/>
        <w:ind w:left="240"/>
      </w:pPr>
      <w:r>
        <w:rPr>
          <w:rFonts w:ascii="Cambria" w:cs="Cambria" w:eastAsia="Cambria" w:hAnsi="Cambria"/>
          <w:color w:val="555555"/>
          <w:sz w:val="18"/>
          <w:szCs w:val="18"/>
        </w:rPr>
        <w:t xml:space="preserve">27: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28: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t xml:space="preserve">6.4.4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C00000"/>
          <w:sz w:val="24"/>
          <w:szCs w:val="24"/>
        </w:rPr>
        <w:t xml:space="preserve">which means the requested purpose is required to satisfy the privacy constraint P~C~ before access can proceed.</w:t>
      </w:r>
      <w:r>
        <w:rPr>
          <w:rFonts w:ascii="Cambria" w:cs="Cambria" w:eastAsia="Cambria" w:hAnsi="Cambria"/>
          <w:sz w:val="24"/>
          <w:szCs w:val="24"/>
        </w:rPr>
        <w:t xml:space="preserve"> </w:t>
      </w:r>
      <w:r>
        <w:rPr>
          <w:rFonts w:ascii="Cambria" w:cs="Cambria" w:eastAsia="Cambria" w:hAnsi="Cambria"/>
          <w:color w:val="C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PurposeMatch(P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ScopeMatch(S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C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C00000"/>
          <w:sz w:val="24"/>
          <w:szCs w:val="24"/>
        </w:rPr>
        <w:t xml:space="preserve">In the demonstrated prototype, purpose compatibility is evaluated as an exact match against the consent purpose, which is stored on-chain as keccak256(purpose). Therefore, a formal proof that no execution path can violate the privacy policy is deliberately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t xml:space="preserve">6.5  Temporal and Lifecycle Trust for RO5</w:t>
      </w:r>
    </w:p>
    <w:p>
      <w:pPr>
        <w:spacing w:after="40" w:before="60"/>
      </w:pPr>
      <w:r>
        <w:rPr>
          <w:rFonts w:ascii="Cambria" w:cs="Cambria" w:eastAsia="Cambria" w:hAnsi="Cambria"/>
          <w:b/>
          <w:bCs/>
          <w:color w:val="C00000"/>
          <w:sz w:val="18"/>
          <w:szCs w:val="18"/>
        </w:rPr>
        <w:t xml:space="preserve">[GENERATED ADDITION — Figure A, implemented consent lifecycle (companion to HALAH Implementation v1.3, Section 6)]</w:t>
      </w:r>
    </w:p>
    <w:p>
      <w:pPr>
        <w:keepNext/>
        <w:spacing w:after="60" w:before="140"/>
        <w:jc w:val="center"/>
      </w:pPr>
      <w:r>
        <w:drawing>
          <wp:inline distT="0" distB="0" distL="0" distR="0">
            <wp:extent cx="5715000" cy="2009775"/>
            <wp:effectExtent t="0" r="0" b="0" l="0"/>
            <wp:docPr id="1" name="lifecycle.png" descr="Figure A: The implemented consent lifecycle: every consent progresses through controlled states, and the activating and revoking transitions are anchored as verifiable Sepolia transactions (blocks 11,771,243 and 11,771,307)." title="Figure A: The implemented consent lifecycle: every consent progresses through controlled states, and the activating and revoking transitions are anchored as verifiable Sepolia transactions (blocks 11,771,243 and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A: The implemented consent lifecycle: every consent progresses through controlled states, and the activating and revoking transitions are anchored as verifiable Sepolia transactions (blocks 11,771,243 and 11,771,307).</w:t>
      </w:r>
    </w:p>
    <w:p>
      <w:pPr>
        <w:spacing w:after="140" w:line="300"/>
        <w:jc w:val="both"/>
      </w:pPr>
      <w:r>
        <w:rPr>
          <w:rFonts w:ascii="Cambria" w:cs="Cambria" w:eastAsia="Cambria" w:hAnsi="Cambria"/>
          <w:sz w:val="24"/>
          <w:szCs w:val="24"/>
        </w:rPr>
        <w:t xml:space="preserve">RO5 addresses RQ5 and extends the foundational current stage works on authorisation model with temporal validity and consent lifecycle controls. This objective belongs primarily to CA3 because it investigates how an authorisation remains trustworthy as time passes and as the consent state changes.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sz w:val="24"/>
          <w:szCs w:val="24"/>
        </w:rPr>
        <w:t xml:space="preserve">The lifecycle condition can be expressed as</w:t>
      </w:r>
    </w:p>
    <w:p>
      <w:pPr>
        <w:spacing w:after="140" w:line="300"/>
        <w:jc w:val="both"/>
      </w:pPr>
      <w:r>
        <w:rPr>
          <w:rFonts w:ascii="Cambria" w:cs="Cambria" w:eastAsia="Cambria" w:hAnsi="Cambria"/>
          <w:color w:val="C00000"/>
          <w:sz w:val="24"/>
          <w:szCs w:val="24"/>
        </w:rPr>
        <w:t xml:space="preserve">V_L(C, R) = 1 ⟺ Jur(R) = Jur(C) ∨ Jur(C) = ∅, where Jur(·) denotes the jurisdiction attribute, recorded on-chain as a two-letter ISO code, and where lifecycle state and revocation are evaluated within V_A rather than within this predicate. This is important because it is precisely this check that produced the demonstrated denial in which a request declaring jurisdiction SA was refused against a consent issued for AU.</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t xml:space="preserve">6.5.1  RO5 Temporal and Lifecycle Workflow</w:t>
      </w:r>
    </w:p>
    <w:p>
      <w:pPr>
        <w:spacing w:after="140" w:line="300"/>
        <w:jc w:val="both"/>
      </w:pPr>
      <w:r>
        <w:rPr>
          <w:rFonts w:ascii="Cambria" w:cs="Cambria" w:eastAsia="Cambria" w:hAnsi="Cambria"/>
          <w:sz w:val="24"/>
          <w:szCs w:val="24"/>
        </w:rPr>
        <w:t xml:space="preserve">The planned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 The current HALAH code already collects a start time and expiry time during consent creation, but the complete temporal and lifecycle enforcement mechanism remains part of the planned CA3 extension.</w:t>
      </w:r>
    </w:p>
    <w:p>
      <w:pPr>
        <w:spacing w:after="140" w:line="300"/>
        <w:jc w:val="both"/>
      </w:pPr>
      <w:r>
        <w:rPr>
          <w:rFonts w:ascii="Cambria" w:cs="Cambria" w:eastAsia="Cambria" w:hAnsi="Cambria"/>
          <w:color w:val="C00000"/>
          <w:sz w:val="24"/>
          <w:szCs w:val="24"/>
        </w:rPr>
        <w:t xml:space="preserve">Temporal and lifecycle enforcement is implemented in the demonstrated prototype. In particular, the Consent Engine evaluates t_s ≤ t ≤ t_e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pStyle w:val="Heading3"/>
        <w:spacing w:after="160" w:before="280"/>
      </w:pPr>
      <w:r>
        <w:t xml:space="preserve">6.5.2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keepNext/>
        <w:spacing w:after="60" w:before="140"/>
        <w:jc w:val="center"/>
      </w:pPr>
      <w:r>
        <w:drawing>
          <wp:inline distT="0" distB="0" distL="0" distR="0">
            <wp:extent cx="4095750" cy="5876925"/>
            <wp:effectExtent t="0" r="0" b="0" l="0"/>
            <wp:docPr id="1" name="gfig11.png" descr="Figure 11: RO5 planned workflow for temporal and consent lifecycle trust" title="Figure 11: RO5 planned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RO5 planned workflow for temporal and consent lifecycle trust</w:t>
      </w:r>
    </w:p>
    <w:p>
      <w:pPr>
        <w:spacing w:after="140" w:line="300"/>
        <w:jc w:val="both"/>
      </w:pPr>
      <w:r>
        <w:rPr>
          <w:rFonts w:ascii="Cambria" w:cs="Cambria" w:eastAsia="Cambria" w:hAnsi="Cambria"/>
          <w:sz w:val="24"/>
          <w:szCs w:val="24"/>
        </w:rPr>
        <w:t xml:space="preserve">Algorithm 5 extends the current stage works on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p>
      <w:pPr>
        <w:spacing w:after="140" w:line="300"/>
        <w:jc w:val="both"/>
      </w:pPr>
      <w:r>
        <w:rPr>
          <w:rFonts w:ascii="Cambria" w:cs="Cambria" w:eastAsia="Cambria" w:hAnsi="Cambria"/>
          <w:color w:val="C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pStyle w:val="Heading2"/>
        <w:spacing w:after="160" w:before="280"/>
      </w:pPr>
      <w: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The formal decision model is expressed as</w:t>
      </w:r>
    </w:p>
    <w:p>
      <w:pPr>
        <w:spacing w:after="140" w:line="300"/>
        <w:jc w:val="both"/>
      </w:pPr>
      <w:r>
        <w:rPr>
          <w:rFonts w:ascii="Cambria" w:cs="Cambria" w:eastAsia="Cambria" w:hAnsi="Cambria"/>
          <w:color w:val="C00000"/>
          <w:sz w:val="24"/>
          <w:szCs w:val="24"/>
        </w:rPr>
        <w:t xml:space="preserve">The empirical half of this objective has been carried out on the demonstrated prototype, whereas formal proofs and model checking of the authorisation properties remain future work. Figure 12 accordingly presents the RO6 workflow for security assurance, in which the empirical branch has been executed and the formal branch remains planned.</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color w:val="C00000"/>
          <w:sz w:val="24"/>
          <w:szCs w:val="24"/>
        </w:rPr>
        <w:t xml:space="preserve">Decision(C, R) = ALLOW ⇒ V_I ∧ V_A ∧ V_P ∧ V_T ∧ V_L, where this soundness property is the one actually validated: each conjunct is exercised by a dedicated per-dimension failure test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 The HALAH prototype provides the implementation basis for this evaluation. The current system includes separate patient, guardian, doctor, and auditor interfaces. It also records consent creation, guardian approval, token minting, state checks, and data-access events.</w:t>
      </w:r>
    </w:p>
    <w:p>
      <w:pPr>
        <w:spacing w:after="140" w:line="300"/>
        <w:jc w:val="both"/>
      </w:pPr>
      <w:r>
        <w:rPr>
          <w:rFonts w:ascii="Cambria" w:cs="Cambria" w:eastAsia="Cambria" w:hAnsi="Cambria"/>
          <w:color w:val="C00000"/>
          <w:sz w:val="24"/>
          <w:szCs w:val="24"/>
        </w:rPr>
        <w:t xml:space="preserve">The empirical component has been executed against the demonstrated prototype. In particular,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pStyle w:val="Heading3"/>
        <w:spacing w:after="160" w:before="280"/>
      </w:pPr>
      <w: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2: RO6 planned workflow for formal security assurance and empirical validation" title="Figure 12: RO6 planned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RO6 planned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w:t>
      </w:r>
    </w:p>
    <w:p>
      <w:pPr>
        <w:spacing w:after="140" w:line="300"/>
        <w:jc w:val="both"/>
      </w:pPr>
      <w:r>
        <w:rPr>
          <w:rFonts w:ascii="Cambria" w:cs="Cambria" w:eastAsia="Cambria" w:hAnsi="Cambria"/>
          <w:color w:val="C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1) Identity Trust Authority Trust, 2) Collective Authorisation, 3) Policy Compliance, 4)Temporal and Lifecycle Trust. For the current stage implementation, the operational decision is based on</w:t>
      </w:r>
    </w:p>
    <w:p>
      <w:pPr>
        <w:spacing w:after="140" w:line="300"/>
        <w:jc w:val="both"/>
      </w:pPr>
      <w:r>
        <w:rPr>
          <w:rFonts w:ascii="Cambria" w:cs="Cambria" w:eastAsia="Cambria" w:hAnsi="Cambria"/>
          <w:color w:val="C00000"/>
          <w:sz w:val="24"/>
          <w:szCs w:val="24"/>
        </w:rPr>
        <w:t xml:space="preserve">Decision(C, R, t) = ALLOW ⟺ V_I ∧ V_A ∧ V_P ∧ V_T ∧ V_L, where the implemented system enforces this complete rule of Equation (70): access is granted only when all five predicates hold, revocation is evaluated within V_A, and every decision, whether granted or denied, is logged together with the full decision matrix. Equation (69) is retained only as the historical current-stage formulation.</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sz w:val="24"/>
          <w:szCs w:val="24"/>
        </w:rP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pStyle w:val="Heading1"/>
        <w:pageBreakBefore/>
        <w:spacing w:after="160" w:before="400"/>
      </w:pPr>
      <w:r>
        <w:t xml:space="preserve">7  Current Progress Status</w:t>
      </w:r>
    </w:p>
    <w:p>
      <w:pPr>
        <w:pStyle w:val="Heading2"/>
        <w:spacing w:after="160" w:before="280"/>
      </w:pPr>
      <w: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C00000"/>
          <w:sz w:val="22"/>
          <w:szCs w:val="22"/>
        </w:rPr>
        <w:t xml:space="preserve">C = (I, A, P, T, L,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pStyle w:val="Heading2"/>
        <w:spacing w:after="160" w:before="280"/>
      </w:pPr>
      <w:r>
        <w:t xml:space="preserve">7.2  Progress of RO2: Decentralised Identity and Authority</w:t>
      </w:r>
    </w:p>
    <w:p>
      <w:pPr>
        <w:spacing w:after="140" w:line="300"/>
        <w:jc w:val="both"/>
      </w:pPr>
      <w:r>
        <w:rPr>
          <w:rFonts w:ascii="Cambria" w:cs="Cambria" w:eastAsia="Cambria" w:hAnsi="Cambria"/>
          <w:color w:val="C00000"/>
          <w:sz w:val="24"/>
          <w:szCs w:val="24"/>
        </w:rPr>
        <w:t xml:space="preserve">In the current prototype the approval threshold is fixed at N-of-N: every listed guardian must approve, each through an EIP-712 typed-data signature verified by cryptographic recovery, and the two-guardian case has been evaluated end-to-end, with configurable k-of-n thresholds remaining future work. With respect to identity verification, V_I in the prototype performs identifier- and credential-format validation only; cryptographic DID resolution against a registry and authentication of the requester are acknowledged limitations reserved for the next stage.</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pStyle w:val="Heading2"/>
        <w:spacing w:after="160" w:before="280"/>
      </w:pPr>
      <w: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pStyle w:val="Heading2"/>
        <w:spacing w:after="160" w:before="280"/>
      </w:pPr>
      <w:r>
        <w:t xml:space="preserve">7.4  Progress of RO4: Policy-Aware Access Control</w:t>
      </w:r>
    </w:p>
    <w:p>
      <w:pPr>
        <w:spacing w:after="140" w:line="300"/>
        <w:jc w:val="both"/>
      </w:pPr>
      <w:r>
        <w:rPr>
          <w:rFonts w:ascii="Cambria" w:cs="Cambria" w:eastAsia="Cambria" w:hAnsi="Cambria"/>
          <w:color w:val="C00000"/>
          <w:sz w:val="24"/>
          <w:szCs w:val="24"/>
        </w:rPr>
        <w:t xml:space="preserve">Status: Completed.</w:t>
      </w:r>
    </w:p>
    <w:p>
      <w:pPr>
        <w:spacing w:after="140" w:line="300"/>
        <w:jc w:val="both"/>
      </w:pPr>
      <w:r>
        <w:rPr>
          <w:rFonts w:ascii="Cambria" w:cs="Cambria" w:eastAsia="Cambria" w:hAnsi="Cambria"/>
          <w:color w:val="C00000"/>
          <w:sz w:val="24"/>
          <w:szCs w:val="24"/>
        </w:rPr>
        <w:t xml:space="preserve">The policy predicate V_P is implemented at the prototype level: each access request declares a purpose and a requested data scope S_R, and the request is rejected whenever S_R is not a subset of the authorised scope S_C. The predicate is evaluated as one term of the complete decision matrix V_I ∧ V_A ∧ V_P ∧ V_T ∧ V_L,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sz w:val="24"/>
          <w:szCs w:val="24"/>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C00000"/>
          <w:sz w:val="24"/>
          <w:szCs w:val="24"/>
        </w:rPr>
        <w:t xml:space="preserve">S~R~ = {Observation, Medication, Procedure}, the request exceeds the authorised scope and the jurisdiction and validity conditions are evaluated against the stored consent before any decision is returned.</w:t>
      </w:r>
    </w:p>
    <w:p>
      <w:pPr>
        <w:pStyle w:val="Heading2"/>
        <w:spacing w:after="160" w:before="280"/>
      </w:pPr>
      <w:r>
        <w:t xml:space="preserve">7.5  Progress of RO5: Temporal and Lifecycle Trust</w:t>
      </w:r>
    </w:p>
    <w:p>
      <w:pPr>
        <w:spacing w:after="140" w:line="300"/>
        <w:jc w:val="both"/>
      </w:pPr>
      <w:r>
        <w:rPr>
          <w:rFonts w:ascii="Cambria" w:cs="Cambria" w:eastAsia="Cambria" w:hAnsi="Cambria"/>
          <w:sz w:val="24"/>
          <w:szCs w:val="24"/>
        </w:rPr>
        <w:t xml:space="preserve">Status: In Progress</w:t>
      </w:r>
    </w:p>
    <w:p>
      <w:pPr>
        <w:spacing w:after="140" w:line="300"/>
        <w:jc w:val="both"/>
      </w:pPr>
      <w:r>
        <w:rPr>
          <w:rFonts w:ascii="Cambria" w:cs="Cambria" w:eastAsia="Cambria" w:hAnsi="Cambria"/>
          <w:sz w:val="24"/>
          <w:szCs w:val="24"/>
        </w:rPr>
        <w:t xml:space="preserve">RO5 is reserved primarily for next stage. The objective is to introduce temporal and lifecycle trust so that consent is not considered permanently valid after creation or approval. A future consent validity interval will be represented as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with temporal validity defined as</w:t>
      </w:r>
    </w:p>
    <w:p>
      <w:pPr>
        <w:spacing w:after="140" w:line="300"/>
        <w:jc w:val="both"/>
      </w:pPr>
      <w:r>
        <w:rPr>
          <w:rFonts w:ascii="Cambria" w:cs="Cambria" w:eastAsia="Cambria" w:hAnsi="Cambria"/>
          <w:color w:val="C00000"/>
          <w:sz w:val="24"/>
          <w:szCs w:val="24"/>
        </w:rPr>
        <w:t xml:space="preserve">Status: Largely Completed.</w:t>
      </w:r>
    </w:p>
    <w:p>
      <w:pPr>
        <w:spacing w:after="140" w:line="300"/>
        <w:jc w:val="both"/>
      </w:pPr>
      <w:r>
        <w:rPr>
          <w:rFonts w:ascii="Cambria" w:cs="Cambria" w:eastAsia="Cambria" w:hAnsi="Cambria"/>
          <w:color w:val="C00000"/>
          <w:sz w:val="24"/>
          <w:szCs w:val="24"/>
        </w:rPr>
        <w:t xml:space="preserve">RO5 has moved from planned work to implemented capability. The consent validity interval [t_s, t_e] is now enforced by the temporal predicate V_T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rather than temporal enforcement itself.</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sz w:val="24"/>
          <w:szCs w:val="24"/>
        </w:rPr>
        <w:t xml:space="preserve">The consent lifecycle will also be extended to represent controlled transitions such as Specification → Verification → Approval → Active → Expiration/Revocation. The expected outcome is a lifecycle-aware consent mechanism capable of rejecting access after expiration or revocation and preventing unauthorised lifecycle transitions. This work will constitute a major component of next stage.</w:t>
      </w:r>
    </w:p>
    <w:p>
      <w:pPr>
        <w:pStyle w:val="Heading2"/>
        <w:spacing w:after="160" w:before="280"/>
      </w:pPr>
      <w:r>
        <w:t xml:space="preserve">7.6  Progress of RO6: Security Assurance and Validation</w:t>
      </w:r>
    </w:p>
    <w:p>
      <w:pPr>
        <w:spacing w:after="140" w:line="300"/>
        <w:jc w:val="both"/>
      </w:pPr>
      <w:r>
        <w:rPr>
          <w:rFonts w:ascii="Cambria" w:cs="Cambria" w:eastAsia="Cambria" w:hAnsi="Cambria"/>
          <w:sz w:val="24"/>
          <w:szCs w:val="24"/>
        </w:rPr>
        <w:t xml:space="preserve">Status: Partially Completed (RQ1-RQ3)</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 The current validation focuses primarily on RQ1, RQ2, and RQ3. Representative scenarios include valid identity verification, invalid identity or credential submission, insufficient multiparty approval, and successful completion of the required approval threshold. The central decision model can be formulated as</w:t>
      </w:r>
    </w:p>
    <w:p>
      <w:pPr>
        <w:spacing w:after="140" w:line="300"/>
        <w:jc w:val="both"/>
      </w:pPr>
      <w:r>
        <w:rPr>
          <w:rFonts w:ascii="Cambria" w:cs="Cambria" w:eastAsia="Cambria" w:hAnsi="Cambria"/>
          <w:color w:val="C00000"/>
          <w:sz w:val="24"/>
          <w:szCs w:val="24"/>
        </w:rPr>
        <w:t xml:space="preserve">Status: Partially Completed.</w:t>
      </w:r>
    </w:p>
    <w:p>
      <w:pPr>
        <w:spacing w:after="140" w:line="300"/>
        <w:jc w:val="both"/>
      </w:pPr>
      <w:r>
        <w:rPr>
          <w:rFonts w:ascii="Cambria" w:cs="Cambria" w:eastAsia="Cambria" w:hAnsi="Cambria"/>
          <w:color w:val="C00000"/>
          <w:sz w:val="24"/>
          <w:szCs w:val="24"/>
        </w:rPr>
        <w:t xml:space="preserve">Empirical validation now covers all six trust dimensions.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V_L named as the failed check, and a revocation scenario in which the same consent, once revoked on-chain, is subsequently denied through V_A.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The implemented decision rule is Decision(C, R, t) = ALLOW iff V_I ∧ V_A ∧ V_P ∧ V_T ∧ V_L. Formal security analysis and a systematic performance study remain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sz w:val="24"/>
          <w:szCs w:val="24"/>
        </w:rPr>
        <w:t xml:space="preserve">At the current stage, the experimental evidence primarily demonstrates the consistency between the implemented consent, identity, and multi-party authorisation mechanisms and their corresponding research questions.</w:t>
      </w:r>
    </w:p>
    <w:p>
      <w:pPr>
        <w:spacing w:after="140" w:line="300"/>
        <w:jc w:val="both"/>
      </w:pPr>
      <w:r>
        <w:rPr>
          <w:rFonts w:ascii="Cambria" w:cs="Cambria" w:eastAsia="Cambria" w:hAnsi="Cambria"/>
          <w:color w:val="C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w:t>
      </w:r>
    </w:p>
    <w:p>
      <w:pPr>
        <w:pStyle w:val="Heading1"/>
        <w:pageBreakBefore/>
        <w:spacing w:after="160" w:before="400"/>
      </w:pPr>
      <w: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keepNext/>
        <w:spacing w:after="80" w:before="160"/>
        <w:jc w:val="center"/>
      </w:pPr>
      <w:r>
        <w:rPr>
          <w:rFonts w:ascii="Cambria" w:cs="Cambria" w:eastAsia="Cambria" w:hAnsi="Cambria"/>
          <w:b/>
          <w:bCs/>
          <w:sz w:val="21"/>
          <w:szCs w:val="21"/>
        </w:rPr>
        <w:t xml:space="preserve">Table 7: </w:t>
      </w:r>
      <w:r>
        <w:rPr>
          <w:rFonts w:ascii="Cambria" w:cs="Cambria" w:eastAsia="Cambria" w:hAnsi="Cambria"/>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addresses RQ1-RQ4 (Chapters 3-4).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Decentralised implementation and performance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evaluation (Chapter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Specialized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addresses formal security assurance (Chapter 6).</w:t>
            </w:r>
          </w:p>
        </w:tc>
      </w:tr>
    </w:tbl>
    <w:p>
      <w:pPr>
        <w:spacing w:after="180"/>
      </w:pPr>
    </w:p>
    <w:p>
      <w:pPr>
        <w:spacing w:after="140" w:line="300"/>
        <w:jc w:val="both"/>
      </w:pPr>
      <w:r>
        <w:rPr>
          <w:rFonts w:ascii="Cambria" w:cs="Cambria" w:eastAsia="Cambria" w:hAnsi="Cambria"/>
          <w:color w:val="C00000"/>
          <w:sz w:val="24"/>
          <w:szCs w:val="24"/>
        </w:rPr>
        <w:t xml:space="preserve">Decentralised implementation and scenario-based validation complete on the Sepolia public testnet; performance evaluation outstanding. The paper’s empirical section can now draw upon the deployed contract, the two minted tokens and the verified transaction trail as delivered evidence.</w:t>
      </w: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t xml:space="preserve">9.1  Current Stage: Completed and Current Work</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The progression is RO1, RO2, RO3 and then RO4, in which RO1, RO2, and RO3 have been implemented and initially validated through the HALAH prototype. RO4 represents the current transition towards policy-aware access control.</w:t>
      </w:r>
    </w:p>
    <w:p>
      <w:pPr>
        <w:spacing w:after="140" w:line="300"/>
        <w:jc w:val="both"/>
      </w:pPr>
      <w:r>
        <w:rPr>
          <w:rFonts w:ascii="Cambria" w:cs="Cambria" w:eastAsia="Cambria" w:hAnsi="Cambria"/>
          <w:color w:val="C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w:t>
      </w:r>
    </w:p>
    <w:p>
      <w:pPr>
        <w:pStyle w:val="Heading2"/>
        <w:spacing w:after="160" w:before="280"/>
      </w:pPr>
      <w:r>
        <w:t xml:space="preserve">9.2  Next Stage: Planned Work</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sz w:val="24"/>
          <w:szCs w:val="24"/>
        </w:rPr>
        <w:t xml:space="preserve">The first major focus of </w:t>
      </w:r>
      <w:r>
        <w:rPr>
          <w:rFonts w:ascii="Cambria" w:cs="Cambria" w:eastAsia="Cambria" w:hAnsi="Cambria"/>
          <w:color w:val="C00000"/>
          <w:sz w:val="24"/>
          <w:szCs w:val="24"/>
        </w:rPr>
        <w:t xml:space="preserve">next stage is</w:t>
      </w:r>
      <w:r>
        <w:rPr>
          <w:rFonts w:ascii="Cambria" w:cs="Cambria" w:eastAsia="Cambria" w:hAnsi="Cambria"/>
          <w:sz w:val="24"/>
          <w:szCs w:val="24"/>
        </w:rPr>
        <w:t xml:space="preserve"> the introduction of temporal and lifecycle trust.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spacing w:after="140" w:line="300"/>
        <w:jc w:val="both"/>
      </w:pPr>
      <w:r>
        <w:rPr>
          <w:rFonts w:ascii="Cambria" w:cs="Cambria" w:eastAsia="Cambria" w:hAnsi="Cambria"/>
          <w:color w:val="C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the next stage concentrates on two remaining foci: formal security assurance and comprehensive empirical validation, including performance measurement.</w:t>
      </w:r>
    </w:p>
    <w:p>
      <w:pPr>
        <w:spacing w:after="140" w:line="300"/>
        <w:jc w:val="both"/>
      </w:pPr>
      <w:r>
        <w:rPr>
          <w:rFonts w:ascii="Cambria" w:cs="Cambria" w:eastAsia="Cambria" w:hAnsi="Cambria"/>
          <w:sz w:val="24"/>
          <w:szCs w:val="24"/>
        </w:rPr>
        <w:t xml:space="preserve">The second focus is formal security assurance. The current stage framework establishes the conceptual relationship between identity verification, collective authorisation, and policy enforcement.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third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8.</w:t>
      </w:r>
    </w:p>
    <w:p>
      <w:pPr>
        <w:keepNext/>
        <w:spacing w:after="80" w:before="160"/>
        <w:jc w:val="center"/>
      </w:pPr>
      <w:r>
        <w:rPr>
          <w:rFonts w:ascii="Cambria" w:cs="Cambria" w:eastAsia="Cambria" w:hAnsi="Cambria"/>
          <w:b/>
          <w:bCs/>
          <w:sz w:val="21"/>
          <w:szCs w:val="21"/>
        </w:rPr>
        <w:t xml:space="preserve">Table 8: </w:t>
      </w:r>
      <w:r>
        <w:rPr>
          <w:rFonts w:ascii="Cambria" w:cs="Cambria" w:eastAsia="Cambria" w:hAnsi="Cambria"/>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and Lifecycle Trust
(Dynamic Consent States)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consent model to incorporate validity periods, dynamic expiration, immediate revocation, and controlled lifecycle transitions.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Trust Computing framework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C00000"/>
          <w:sz w:val="24"/>
          <w:szCs w:val="24"/>
        </w:rPr>
        <w:t xml:space="preserve">Temporal and Lifecycle Trust — Completed (on-chain notBefore and expiry fields; revoke transaction confirmed in block 11,771,307; explicit lifecycle state machine). Comprehensive Empirical Validation — Partially delivered (23 automated tests; live jurisdiction denial and revocation-then-denial on Sepolia; independent chain verification reporting ALL CHECKS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C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C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t xml:space="preserve">Appendix A — Traceability to the Implemented System (generated)</w:t>
      </w:r>
    </w:p>
    <w:p>
      <w:pPr>
        <w:spacing w:after="140" w:line="300"/>
        <w:jc w:val="both"/>
      </w:pPr>
      <w:r>
        <w:rPr>
          <w:rFonts w:ascii="Cambria" w:cs="Cambria" w:eastAsia="Cambria" w:hAnsi="Cambria"/>
          <w:color w:val="C00000"/>
          <w:sz w:val="24"/>
          <w:szCs w:val="24"/>
        </w:rPr>
        <w:t xml:space="preserve">Table A summarises how each formal artefact of this report is realised in the implemented HALAH v1.2 subsystem, as documented in the companion chapter HALAH Implementation v1.3,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Guardian subsystem: EIP-712 typed-data signatures, off-chain signer recovery per guardian DID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Decision rule and trust predicates, Eq. (59), Figure 5</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§5.2,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§6.4 (next stage)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Six-state lifecycle with on-chain revocation (Figure A)</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60-event ledger; RESULT: ALL CHECKS PASSED; token #2, block 11,771,581</w:t>
            </w:r>
          </w:p>
        </w:tc>
      </w:tr>
    </w:tbl>
    <w:p>
      <w:pPr>
        <w:spacing w:before="60"/>
        <w:jc w:val="center"/>
      </w:pPr>
      <w:r>
        <w:rPr>
          <w:rFonts w:ascii="Cambria" w:cs="Cambria" w:eastAsia="Cambria" w:hAnsi="Cambria"/>
          <w:i/>
          <w:iCs/>
          <w:color w:val="C00000"/>
          <w:sz w:val="19"/>
          <w:szCs w:val="19"/>
        </w:rPr>
        <w:t xml:space="preserve">Table A: Traceability from the formal artefacts of this report to the implemented mechanisms and their on-chain evidence.</w:t>
      </w:r>
    </w:p>
    <w:p>
      <w:pPr>
        <w:pStyle w:val="Heading1"/>
        <w:pageBreakBefore/>
        <w:spacing w:after="160" w:before="400"/>
      </w:pPr>
      <w:r>
        <w:t xml:space="preserve">References</w:t>
      </w:r>
    </w:p>
    <w:p>
      <w:pPr>
        <w:spacing w:after="140" w:line="300"/>
        <w:jc w:val="both"/>
      </w:pPr>
      <w:r>
        <w:rPr>
          <w:rFonts w:ascii="Cambria" w:cs="Cambria" w:eastAsia="Cambria" w:hAnsi="Cambria"/>
          <w:sz w:val="24"/>
          <w:szCs w:val="24"/>
        </w:rPr>
        <w:t xml:space="preserve">[1] Abdullah Al Mamun, Sami Azam, and Clementine Gritti. Blockchain-based electronic health records management: a comprehensive review and future research direction.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bCs/>
          <w:color w:val="007A00"/>
          <w:sz w:val="24"/>
          <w:szCs w:val="24"/>
        </w:rPr>
        <w:t xml:space="preserve">IEEE Communications Surveys &amp; Tutorials</w:t>
      </w:r>
      <w:r>
        <w:rPr>
          <w:rFonts w:ascii="Cambria" w:cs="Cambria" w:eastAsia="Cambria" w:hAnsi="Cambria"/>
          <w:sz w:val="24"/>
          <w:szCs w:val="24"/>
        </w:rPr>
        <w:t xml:space="preserve">, 25(1):386–424, 2022.</w:t>
      </w:r>
    </w:p>
    <w:p>
      <w:pPr>
        <w:spacing w:after="140" w:line="300"/>
        <w:jc w:val="both"/>
      </w:pPr>
      <w:r>
        <w:rPr>
          <w:rFonts w:ascii="Cambria" w:cs="Cambria" w:eastAsia="Cambria" w:hAnsi="Cambria"/>
          <w:sz w:val="24"/>
          <w:szCs w:val="24"/>
        </w:rPr>
        <w:t xml:space="preserve">[4] Haotian Deng, Jinwen Liang, Chuan Zhang, Ximeng Liu, Liehuang Zhu, and Song Guo. Futuredid: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Blockchain application in healthcare systems: a review.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bCs/>
          <w:color w:val="007A00"/>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bCs/>
          <w:color w:val="007A00"/>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bCs/>
          <w:color w:val="007A00"/>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ucon-based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Digital health,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Glann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bCs/>
          <w:color w:val="007A00"/>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bCs/>
          <w:color w:val="007A00"/>
          <w:sz w:val="24"/>
          <w:szCs w:val="24"/>
        </w:rPr>
        <w:t xml:space="preserve">1(2):</w:t>
      </w:r>
      <w:r>
        <w:rPr>
          <w:rFonts w:ascii="Cambria" w:cs="Cambria" w:eastAsia="Cambria" w:hAnsi="Cambria"/>
          <w:sz w:val="24"/>
          <w:szCs w:val="24"/>
        </w:rPr>
        <w:t xml:space="preserve">244–271, 2023 </w:t>
      </w:r>
      <w:r>
        <w:rPr>
          <w:rFonts w:ascii="Cambria" w:cs="Cambria" w:eastAsia="Cambria" w:hAnsi="Cambria"/>
          <w:b/>
          <w:bCs/>
          <w:color w:val="007A00"/>
          <w:sz w:val="24"/>
          <w:szCs w:val="24"/>
        </w:rPr>
        <w:t xml:space="preserve">(volume/issue to be confirmed against the publisher's record)</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tee-enabled sensing and byzantine-resilient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b/>
          <w:bCs/>
          <w:color w:val="007A00"/>
          <w:sz w:val="24"/>
          <w:szCs w:val="24"/>
        </w:rPr>
        <w:t xml:space="preserve">vol. 27,</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Andrei McCall. Privacy-preserving interoperability in healthcare data ecosystems: balancing data sharing with individual autonomy. </w:t>
      </w:r>
      <w:r>
        <w:rPr>
          <w:rFonts w:ascii="Cambria" w:cs="Cambria" w:eastAsia="Cambria" w:hAnsi="Cambria"/>
          <w:b/>
          <w:bCs/>
          <w:color w:val="007A00"/>
          <w:sz w:val="24"/>
          <w:szCs w:val="24"/>
        </w:rPr>
        <w:t xml:space="preserve">IEEE Journal of Biomedical and Health Informatics</w:t>
      </w:r>
      <w:r>
        <w:rPr>
          <w:rFonts w:ascii="Cambria" w:cs="Cambria" w:eastAsia="Cambria" w:hAnsi="Cambria"/>
          <w:sz w:val="24"/>
          <w:szCs w:val="24"/>
        </w:rPr>
        <w:t xml:space="preserve">, 28(3):1234–1245, 2024.</w:t>
      </w:r>
    </w:p>
    <w:p>
      <w:pPr>
        <w:spacing w:after="140" w:line="300"/>
        <w:jc w:val="both"/>
      </w:pPr>
      <w:r>
        <w:rPr>
          <w:rFonts w:ascii="Cambria" w:cs="Cambria" w:eastAsia="Cambria" w:hAnsi="Cambria"/>
          <w:sz w:val="24"/>
          <w:szCs w:val="24"/>
        </w:rPr>
        <w:t xml:space="preserve">[22] Roy McClelland and Colin M Harper. Information privacy in healthcare—the vital role of informed consent. </w:t>
      </w:r>
      <w:r>
        <w:rPr>
          <w:rFonts w:ascii="Cambria" w:cs="Cambria" w:eastAsia="Cambria" w:hAnsi="Cambria"/>
          <w:b/>
          <w:bCs/>
          <w:color w:val="007A00"/>
          <w:sz w:val="24"/>
          <w:szCs w:val="24"/>
        </w:rPr>
        <w:t xml:space="preserve">European Journal of Health Law</w:t>
      </w:r>
      <w:r>
        <w:rPr>
          <w:rFonts w:ascii="Cambria" w:cs="Cambria" w:eastAsia="Cambria" w:hAnsi="Cambria"/>
          <w:sz w:val="24"/>
          <w:szCs w:val="24"/>
        </w:rPr>
        <w:t xml:space="preserve">, 30(4):469–480, 2022.</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Enhancing patient autonomy in data ownership: privacy models and consent frameworks for healthcare. Journal of Digital Health, pages 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bCs/>
          <w:color w:val="007A00"/>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ACM Transactions on Management Information Systems (TMIS), 13(4):1–21, 2022.</w:t>
      </w:r>
    </w:p>
    <w:p>
      <w:pPr>
        <w:spacing w:after="140" w:line="300"/>
        <w:jc w:val="both"/>
      </w:pPr>
      <w:r>
        <w:rPr>
          <w:rFonts w:ascii="Cambria" w:cs="Cambria" w:eastAsia="Cambria" w:hAnsi="Cambria"/>
          <w:sz w:val="24"/>
          <w:szCs w:val="24"/>
        </w:rPr>
        <w:t xml:space="preserve">[28] Ahmed M Tawfik, Ayman Al-Ahwal, Adly S Tag Eldien, and Hala H Zayed. Blockchain-based access control and privacy preservation in healthcare: a comprehensive survey.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bCs/>
          <w:color w:val="007A00"/>
          <w:sz w:val="24"/>
          <w:szCs w:val="24"/>
        </w:rPr>
        <w:t xml:space="preserve">Pediatrics, 144(1):e20191359, 2019 (the source lists 2022; the article was published in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bCs/>
          <w:color w:val="007A00"/>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Dp-did: A dynamic and proactive decentralized identity system. IEEE Transactions on Information Forensics and Security, </w:t>
      </w:r>
      <w:r>
        <w:rPr>
          <w:rFonts w:ascii="Cambria" w:cs="Cambria" w:eastAsia="Cambria" w:hAnsi="Cambria"/>
          <w:b/>
          <w:bCs/>
          <w:color w:val="007A00"/>
          <w:sz w:val="24"/>
          <w:szCs w:val="24"/>
        </w:rPr>
        <w:t xml:space="preserve">20:</w:t>
      </w:r>
      <w:r>
        <w:rPr>
          <w:rFonts w:ascii="Cambria" w:cs="Cambria" w:eastAsia="Cambria" w:hAnsi="Cambria"/>
          <w:sz w:val="24"/>
          <w:szCs w:val="24"/>
        </w:rPr>
        <w:t xml:space="preserve">4999–5014, 2025.</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3c62232b6ceb20480e68f424d7993b0e2f73d8.png"/><Relationship Id="rId9" Type="http://schemas.openxmlformats.org/officeDocument/2006/relationships/image" Target="media/d4fcae5448728df700f7fcb56b8fc5a1fc56fa7f.png"/><Relationship Id="rId10" Type="http://schemas.openxmlformats.org/officeDocument/2006/relationships/image" Target="media/2b536558d832546ec393dd67925c929dd6236fad.png"/><Relationship Id="rId11" Type="http://schemas.openxmlformats.org/officeDocument/2006/relationships/image" Target="media/e698f47fea018ba4e2802cc16cd6dfd9035c7463.png"/><Relationship Id="rId12" Type="http://schemas.openxmlformats.org/officeDocument/2006/relationships/image" Target="media/580bfb808c41b68f58dd6143da2bda07a4fdfcd6.png"/><Relationship Id="rId13" Type="http://schemas.openxmlformats.org/officeDocument/2006/relationships/image" Target="media/cfb68299954ed8f8f5e10a9a9db637b9bb1e6943.png"/><Relationship Id="rId14" Type="http://schemas.openxmlformats.org/officeDocument/2006/relationships/image" Target="media/afac86a350f9945eeb94b9ee246e19d29bb41335.png"/><Relationship Id="rId15" Type="http://schemas.openxmlformats.org/officeDocument/2006/relationships/image" Target="media/ee95cfbafdc45fc97602cba6ccc94f86e621b2e0.png"/><Relationship Id="rId16" Type="http://schemas.openxmlformats.org/officeDocument/2006/relationships/image" Target="media/8a0259851c9ce9543a4dd4e70fbf6ef776d64c4f.png"/><Relationship Id="rId17" Type="http://schemas.openxmlformats.org/officeDocument/2006/relationships/image" Target="media/751a1c2ff4c695ebcf2d04aee2d3822c664dbd66.png"/><Relationship Id="rId18" Type="http://schemas.openxmlformats.org/officeDocument/2006/relationships/image" Target="media/6b2eed335569e4023d73a2acfc049e4652246425.png"/><Relationship Id="rId19" Type="http://schemas.openxmlformats.org/officeDocument/2006/relationships/image" Target="media/fcbfc7caea7791f142b62cd810e09ae43c0a3029.png"/><Relationship Id="rId20" Type="http://schemas.openxmlformats.org/officeDocument/2006/relationships/image" Target="media/098992a49f33b5863197c094b0274b3a570ac6b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Authorization Framework for Multi-Party Patient Consent in Healthcare Data Sharing</dc:title>
  <dc:creator>Yasir Dhaifallah O Alyoubi</dc:creator>
  <cp:lastModifiedBy>Un-named</cp:lastModifiedBy>
  <cp:revision>1</cp:revision>
  <dcterms:created xsi:type="dcterms:W3CDTF">2026-09-25T08:59:31.316Z</dcterms:created>
  <dcterms:modified xsi:type="dcterms:W3CDTF">2026-09-25T08:59:31.316Z</dcterms:modified>
</cp:coreProperties>
</file>

<file path=docProps/custom.xml><?xml version="1.0" encoding="utf-8"?>
<Properties xmlns="http://schemas.openxmlformats.org/officeDocument/2006/custom-properties" xmlns:vt="http://schemas.openxmlformats.org/officeDocument/2006/docPropsVTypes"/>
</file>