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the quality evaluation questions.</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The study concerns healthcare data (IC1).</w:t>
      </w:r>
    </w:p>
    <w:p>
      <w:pPr/>
      <w:r>
        <w:rPr>
          <w:color w:val="FF0000"/>
        </w:rPr>
        <w:t>2. The study concerns consent, authorisation, access control, trust or governance relevant to data access (IC2).</w:t>
      </w:r>
    </w:p>
    <w:p>
      <w:pPr/>
      <w:r>
        <w:rPr>
          <w:color w:val="FF0000"/>
        </w:rPr>
        <w:t>3. The study presents a mechanism, model, system or evaluation relevant to a review question (IC3).</w:t>
      </w:r>
    </w:p>
    <w:p>
      <w:pPr/>
      <w:r>
        <w:rPr>
          <w:color w:val="FF0000"/>
        </w:rPr>
        <w:t>4. The study is a peer-reviewed English paper with full text available (IC4 to IC7).</w:t>
      </w:r>
    </w:p>
    <w:p>
      <w:pPr/>
      <w:r>
        <w:rPr>
          <w:color w:val="FF0000"/>
        </w:rPr>
        <w:t>5. The study was published between 2020 and 2026.</w:t>
      </w:r>
    </w:p>
    <w:p>
      <w:pPr/>
      <w:r>
        <w:rPr>
          <w:color w:val="FF0000"/>
        </w:rPr>
        <w:t>Exclusion criteria. The records are excluded if:</w:t>
      </w:r>
    </w:p>
    <w:p>
      <w:pPr/>
      <w:r>
        <w:rPr>
          <w:color w:val="FF0000"/>
        </w:rPr>
        <w:t>1. They are outside healthcare or outside the authorisation scope.</w:t>
      </w:r>
    </w:p>
    <w:p>
      <w:pPr/>
      <w:r>
        <w:rPr>
          <w:color w:val="FF0000"/>
        </w:rPr>
        <w:t>2. They treat authentication alone or mention consent only superficially.</w:t>
      </w:r>
    </w:p>
    <w:p>
      <w:pPr/>
      <w:r>
        <w:rPr>
          <w:color w:val="FF0000"/>
        </w:rPr>
        <w:t>3. They are not peer-reviewed.</w:t>
      </w:r>
    </w:p>
    <w:p>
      <w:pPr/>
      <w:r>
        <w:rPr>
          <w:color w:val="FF0000"/>
        </w:rPr>
        <w:t>4. They are duplicate publications of the same study.</w:t>
      </w:r>
    </w:p>
    <w:p>
      <w:pPr/>
      <w:r>
        <w:rPr>
          <w:color w:val="FF0000"/>
        </w:rPr>
        <w:t>5. They are secondary reviews.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rPr>
          <w:color w:val="FF0000"/>
        </w:rP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w:t>
            </w:r>
          </w:p>
        </w:tc>
      </w:tr>
    </w:tbl>
    <w:p>
      <w:pPr/>
      <w:r>
        <w:rPr>
          <w:color w:val="FF0000"/>
        </w:rPr>
      </w:r>
    </w:p>
    <w:p>
      <w:pPr>
        <w:pStyle w:val="3"/>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2.11.</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2.10 summarises the description, the issues and limitations, and the requirement grades of the studies in this stream.</w:t>
      </w:r>
    </w:p>
    <w:p>
      <w:pPr>
        <w:keepNext/>
        <w:spacing w:before="160" w:after="160"/>
        <w:jc w:val="center"/>
      </w:pPr>
      <w:r>
        <w:rPr>
          <w:color w:val="FF0000"/>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bl>
    <w:p>
      <w:pPr/>
      <w:r>
        <w:rPr>
          <w:color w:val="FF0000"/>
        </w:r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