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rPr>
          <w:color w:val="FF0000"/>
        </w:rPr>
        <w:t>5.1 Introduction</w:t>
      </w:r>
    </w:p>
    <w:p>
      <w:pPr/>
      <w:r>
        <w:rPr>
          <w:color w:val="FF0000"/>
        </w:rP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rPr>
          <w:color w:val="FF0000"/>
        </w:rP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rPr>
          <w:color w:val="FF0000"/>
        </w:rP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color w:val="FF0000"/>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5.7.</w:t>
      </w:r>
    </w:p>
    <w:p>
      <w:pPr>
        <w:pStyle w:val="3"/>
      </w:pPr>
      <w:r>
        <w:rPr>
          <w:color w:val="FF0000"/>
        </w:rPr>
        <w:t>5.6.1 Aims of Engineering the Prototype System</w:t>
      </w:r>
    </w:p>
    <w:p>
      <w:pPr/>
      <w:r>
        <w:rPr>
          <w:color w:val="FF0000"/>
        </w:rP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rPr>
          <w:color w:val="FF0000"/>
        </w:rPr>
        <w:t>5.6.3 Steps in the Working of the Prototype for Consent Creation</w:t>
      </w:r>
    </w:p>
    <w:p>
      <w:pPr/>
      <w:r>
        <w:rPr>
          <w:color w:val="FF0000"/>
        </w:rPr>
        <w:t>The creation of a consent in the prototype follows the steps of Algorithm 1 as shown in Figure 5.7:</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rPr>
          <w:color w:val="FF0000"/>
        </w:rPr>
        <w:t>5. If every check passes, the prototype assigns the consent identifier, stores the object in the state PENDING_SIGNATURE with N set to the number of guardians, writes the CREATE_CONSENT event to the audit ledger, and shows the identifier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 the consent specification on the left and right, and the confirmation with the consent identifier below.</w:t>
      </w:r>
    </w:p>
    <w:p>
      <w:pPr>
        <w:pStyle w:val="2"/>
      </w:pPr>
      <w:r>
        <w:rPr>
          <w:color w:val="FF0000"/>
        </w:rPr>
        <w:t>5.7 Validation and Evaluation</w:t>
      </w:r>
    </w:p>
    <w:p>
      <w:pPr/>
      <w:r>
        <w:rPr>
          <w:color w:val="FF0000"/>
        </w:rP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5.7.1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pStyle w:val="3"/>
      </w:pPr>
      <w:r>
        <w:rPr>
          <w:color w:val="FF0000"/>
        </w:rPr>
        <w:t>5.7.2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5.3: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rPr>
          <w:color w:val="FF0000"/>
        </w:rPr>
        <w:t>5.8 Conclusion</w:t>
      </w:r>
    </w:p>
    <w:p>
      <w:pPr/>
      <w:r>
        <w:rPr>
          <w:color w:val="FF0000"/>
        </w:rP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