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141.png" ContentType="image/png"/>
  <Override PartName="/word/media/rId145.png" ContentType="image/png"/>
  <Override PartName="/word/media/rId148.png" ContentType="image/png"/>
  <Override PartName="/word/media/rId152.png" ContentType="image/png"/>
  <Override PartName="/word/media/rId23.png" ContentType="image/png"/>
  <Override PartName="/word/media/rId28.png" ContentType="image/png"/>
  <Override PartName="/word/media/rId64.png" ContentType="image/png"/>
  <Override PartName="/word/media/rId67.png" ContentType="image/png"/>
  <Override PartName="/word/media/rId71.png" ContentType="image/png"/>
  <Override PartName="/word/media/rId78.png" ContentType="image/png"/>
  <Override PartName="/word/media/rId92.png" ContentType="image/png"/>
  <Override PartName="/word/media/rId99.png" ContentType="image/png"/>
  <Override PartName="/word/media/rId106.png" ContentType="image/png"/>
  <Override PartName="/word/media/rId113.png" ContentType="image/png"/>
  <Override PartName="/word/media/rId120.png" ContentType="image/png"/>
  <Override PartName="/word/media/rId127.png" ContentType="image/pn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Authorisation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September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p>
      <w:pPr>
        <w:pStyle w:val="ReviewerNotePara"/>
      </w:pPr>
      <w:r>
        <w:rPr>
          <w:rStyle w:val="ReviewerNote"/>
        </w:rPr>
        <w:t xml:space="preserve">Colour key for this round: pink = a fix to your existing text (struck through = remove, plain pink = replacement or addition); blue = new material added because it is needed for the report (in your writing style); yellow = instruction to you. Chapter 2 carries the SLR restructure of the previous round (there in green, here in pink). Figures and tables now use chapter-based numbering throughout (Figure 2.1, Table 7.3), as in the supervisor’s chapter; this renumbering is applied silently in both copies. The reference list is now continuous (five entries removed, seven on-topic studies added, two attitude surveys kept only as Chapter 1 background, alphabetical order kept), so every citation number changed; that renumbering is also applied silently.</w:t>
      </w:r>
    </w:p>
    <w:bookmarkStart w:id="13"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[1,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w:t>
      </w:r>
      <w:r>
        <w:t xml:space="preserve"> </w:t>
      </w:r>
      <w:r>
        <w:rPr>
          <w:rStyle w:val="PinkDelete"/>
        </w:rPr>
        <w:t xml:space="preserve">[16, 32, 35]</w:t>
      </w:r>
      <w:r>
        <w:rPr>
          <w:rStyle w:val="PinkFix"/>
        </w:rPr>
        <w:t xml:space="preserve">[16, 32, 35]</w:t>
      </w:r>
      <w: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r>
        <w:t xml:space="preserve"> </w:t>
      </w:r>
      <w:r>
        <w:rPr>
          <w:rStyle w:val="PinkDelete"/>
        </w:rPr>
        <w:t xml:space="preserve">[14, 21, 23]</w:t>
      </w:r>
      <w:r>
        <w:rPr>
          <w:rStyle w:val="PinkFix"/>
        </w:rPr>
        <w:t xml:space="preserve">[14, 21, 23]</w:t>
      </w:r>
      <w:r>
        <w:t xml:space="preserve">.</w:t>
      </w:r>
    </w:p>
    <w:p>
      <w:pPr>
        <w:pStyle w:val="BodyText"/>
      </w:pPr>
      <w:r>
        <w:t xml:space="preserve">Traditional access-control architectures are commonly based on centralised identity providers, institution-specific authentication systems, and relatively static permission-management mechanisms</w:t>
      </w:r>
      <w:r>
        <w:t xml:space="preserve"> </w:t>
      </w:r>
      <w:r>
        <w:rPr>
          <w:rStyle w:val="PinkDelete"/>
        </w:rPr>
        <w:t xml:space="preserve">[13, 24, 30]</w:t>
      </w:r>
      <w:r>
        <w:rPr>
          <w:rStyle w:val="PinkFix"/>
        </w:rPr>
        <w:t xml:space="preserve">[13, 24, 30]</w:t>
      </w:r>
      <w: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w:t>
      </w:r>
      <w:r>
        <w:t xml:space="preserve"> </w:t>
      </w:r>
      <w:r>
        <w:rPr>
          <w:rStyle w:val="PinkDelete"/>
        </w:rPr>
        <w:t xml:space="preserve">institutional authorities, and other authorised stakeholders [11].</w:t>
      </w:r>
      <w:r>
        <w:rPr>
          <w:rStyle w:val="PinkFix"/>
        </w:rPr>
        <w:t xml:space="preserve">institutional authorities, and other authorised stakeholders [11, 32].</w:t>
      </w:r>
      <w:r>
        <w:t xml:space="preserve"> </w:t>
      </w:r>
      <w:r>
        <w:t xml:space="preserve">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w:t>
      </w:r>
      <w:r>
        <w:t xml:space="preserve"> </w:t>
      </w:r>
      <w:r>
        <w:rPr>
          <w:rStyle w:val="PinkDelete"/>
        </w:rPr>
        <w:t xml:space="preserve">[3, 4, 9]</w:t>
      </w:r>
      <w:r>
        <w:rPr>
          <w:rStyle w:val="PinkFix"/>
        </w:rPr>
        <w:t xml:space="preserve">[3, 4, 9]</w:t>
      </w:r>
      <w:r>
        <w:t xml:space="preserve">. More broadly, blockchain-based approaches have demonstrated the potential to improve the integrity, transparency, and</w:t>
      </w:r>
      <w:r>
        <w:t xml:space="preserve"> </w:t>
      </w:r>
      <w:r>
        <w:rPr>
          <w:rStyle w:val="PinkDelete"/>
        </w:rPr>
        <w:t xml:space="preserve">traceability of decentralised data-management processes [2].</w:t>
      </w:r>
      <w:r>
        <w:rPr>
          <w:rStyle w:val="PinkFix"/>
        </w:rPr>
        <w:t xml:space="preserve">traceability of decentralised data-management processes [2, 25].</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BodyText"/>
      </w:pPr>
      <w:r>
        <w:rPr>
          <w:b/>
          <w:bCs/>
        </w:rPr>
        <w:t xml:space="preserve">Australian regulatory context.</w:t>
      </w:r>
      <w:r>
        <w:t xml:space="preserve"> </w:t>
      </w:r>
      <w:r>
        <w:t xml:space="preserve">In Australia, health information is classified as</w:t>
      </w:r>
      <w:r>
        <w:t xml:space="preserve"> </w:t>
      </w:r>
      <w:r>
        <w:rPr>
          <w:i/>
          <w:iCs/>
        </w:rPr>
        <w:t xml:space="preserve">sensitive information</w:t>
      </w:r>
      <w:r>
        <w:t xml:space="preserve"> </w:t>
      </w:r>
      <w:r>
        <w:t xml:space="preserve">under the</w:t>
      </w:r>
      <w:r>
        <w:t xml:space="preserve"> </w:t>
      </w:r>
      <w:r>
        <w:rPr>
          <w:i/>
          <w:iCs/>
        </w:rPr>
        <w:t xml:space="preserve">Privacy Act 1988</w:t>
      </w:r>
      <w:r>
        <w:t xml:space="preserve"> </w:t>
      </w:r>
      <w:r>
        <w:t xml:space="preserve">(Cth) [37].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t xml:space="preserve"> </w:t>
      </w:r>
      <w:r>
        <w:rPr>
          <w:i/>
          <w:iCs/>
        </w:rPr>
        <w:t xml:space="preserve">My Health Records Act 2012</w:t>
      </w:r>
      <w:r>
        <w:t xml:space="preserve"> </w:t>
      </w:r>
      <w:r>
        <w:t xml:space="preserve">(Cth) [38] additionally allows consumers to control which healthcare provider organisations can access their record or particular documents, and the</w:t>
      </w:r>
      <w:r>
        <w:t xml:space="preserve"> </w:t>
      </w:r>
      <w:r>
        <w:rPr>
          <w:i/>
          <w:iCs/>
        </w:rPr>
        <w:t xml:space="preserve">Healthcare Identifiers Act 2010</w:t>
      </w:r>
      <w:r>
        <w:t xml:space="preserve"> </w:t>
      </w:r>
      <w:r>
        <w:t xml:space="preserve">(Cth) [39] governs the national identifiers used for individuals (IHI), practitioners (HPI-I) and organisations (HPI-O). These instruments illustrate, in a concrete jurisdiction, the three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t xml:space="preserve"> </w:t>
      </w:r>
      <w:r>
        <w:t xml:space="preserve">‘AU’</w:t>
      </w:r>
      <w: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w:t>
      </w:r>
      <w:r>
        <w:t xml:space="preserve"> </w:t>
      </w:r>
      <w:r>
        <w:rPr>
          <w:rStyle w:val="PinkDelete"/>
        </w:rPr>
        <w:t xml:space="preserve">policy-based access control [17, 20].</w:t>
      </w:r>
      <w:r>
        <w:rPr>
          <w:rStyle w:val="PinkFix"/>
        </w:rPr>
        <w:t xml:space="preserve">policy-based access control [17, 20].</w:t>
      </w:r>
      <w:r>
        <w:t xml:space="preserve"> </w:t>
      </w:r>
      <w:r>
        <w:t xml:space="preserve">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In this report, the</w:t>
      </w:r>
      <w:r>
        <w:t xml:space="preserve"> </w:t>
      </w:r>
      <w:r>
        <w:rPr>
          <w:i/>
          <w:iCs/>
        </w:rPr>
        <w:t xml:space="preserve">current stage</w:t>
      </w:r>
      <w:r>
        <w:t xml:space="preserve"> </w:t>
      </w:r>
      <w:r>
        <w:t xml:space="preserve">refers to Stage 1 (CA2: RO1–RO4) and the</w:t>
      </w:r>
      <w:r>
        <w:t xml:space="preserve"> </w:t>
      </w:r>
      <w:r>
        <w:rPr>
          <w:i/>
          <w:iCs/>
        </w:rPr>
        <w:t xml:space="preserve">next stage</w:t>
      </w:r>
      <w:r>
        <w:t xml:space="preserve"> </w:t>
      </w:r>
      <w: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next-stage (CA3)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The 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w:t>
      </w:r>
      <w:r>
        <w:t xml:space="preserve"> </w:t>
      </w:r>
      <w:r>
        <w:rPr>
          <w:rStyle w:val="PinkDelete"/>
        </w:rPr>
        <w:t xml:space="preserve">The distinction between the current contribution and the subsequent research is summarised in Table 1.1.</w:t>
      </w:r>
      <w:r>
        <w:rPr>
          <w:rStyle w:val="PinkFix"/>
        </w:rPr>
        <w:t xml:space="preserve">The distinction between the current contribution and the subsequent research is summarised in Table 1.1.</w:t>
      </w:r>
    </w:p>
    <w:p>
      <w:pPr>
        <w:pStyle w:val="BodyText"/>
      </w:pPr>
      <w:r>
        <w:t xml:space="preserve">This separation establishes a clear progression between the current and subsequent stages of the research. The current research is concerned primarily with establishing the conceptual and technical foundations through which trustworthy multi-party authorisation can be constructed. The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1.1: Research Scope and Progression</w:t>
      </w:r>
    </w:p>
    <w:tbl>
      <w:tblPr>
        <w:tblStyle w:val="Table"/>
        <w:tblW w:type="pct" w:w="5000"/>
        <w:tblLayout w:type="fixed"/>
        <w:tblLook w:firstRow="1" w:lastRow="0" w:firstColumn="0" w:lastColumn="0" w:noHBand="0" w:noVBand="0" w:val="0020"/>
        <w:tblCaption w:val="Table 1.1: Research Scope and Progression"/>
      </w:tblPr>
      <w:tblGrid>
        <w:gridCol w:w="833"/>
        <w:gridCol w:w="3543"/>
        <w:gridCol w:w="354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Start w:id="12" w:name="structure-of-the-report"/>
    <w:p>
      <w:pPr>
        <w:pStyle w:val="Heading2"/>
      </w:pPr>
      <w:r>
        <w:rPr>
          <w:rStyle w:val="BlueAdd"/>
        </w:rPr>
        <w:t xml:space="preserve">1.4 Structure of the Report</w:t>
      </w:r>
    </w:p>
    <w:p>
      <w:pPr>
        <w:pStyle w:val="BlueAddPara"/>
      </w:pPr>
      <w:r>
        <w:rPr>
          <w:rStyle w:val="BlueAdd"/>
        </w:rPr>
        <w:t xml:space="preserve">The remainder of this report is organised as follows. Chapter 2 presents the systematic literature review: it defines the five key requirements that a trust-oriented consent authorisation framework should satisfy, describes the four-step process used to shortlist the studies, summarises the shortlisted studies by category and identifies the research gaps from the requirement perspective. Chapter 3 states the research gap, the main research question and the six sub-research questions, and Chapter 4 translates them into six research objectives. Chapter 5 describes the MVC-based research architecture, and Chapter 6 presents the proposed solution for each objective through its workflow, procedure and algorithm. Chapter 7 presents the HALAH prototype, its four subsystems, the mapping to the source code, the automated test evidence and the on-chain evidence. Chapter 8 reports the progress of each objective, Chapter 9 summarises the publication plan and Chapter 10 sets out the research plan for the next stage.</w:t>
      </w:r>
    </w:p>
    <w:bookmarkEnd w:id="12"/>
    <w:bookmarkEnd w:id="13"/>
    <w:bookmarkStart w:id="44" w:name="X8d950ebaf958e7860fc944fc7601a3578d63a09"/>
    <w:p>
      <w:pPr>
        <w:pStyle w:val="Heading1"/>
      </w:pPr>
      <w:r>
        <w:t xml:space="preserve">2</w:t>
      </w:r>
      <w:r>
        <w:t xml:space="preserve"> </w:t>
      </w:r>
      <w:r>
        <w:rPr>
          <w:rStyle w:val="PinkDelete"/>
        </w:rPr>
        <w:t xml:space="preserve">Systematic Literature Review</w:t>
      </w:r>
      <w:r>
        <w:rPr>
          <w:rStyle w:val="PinkFix"/>
        </w:rPr>
        <w:t xml:space="preserve">A Systematic Literature Review</w:t>
      </w:r>
    </w:p>
    <w:p>
      <w:pPr>
        <w:pStyle w:val="ReviewerNotePara"/>
      </w:pPr>
      <w:r>
        <w:rPr>
          <w:rStyle w:val="ReviewerNote"/>
        </w:rPr>
        <w:t xml:space="preserve">Colour key: pink = a fix to the existing text (struck through = remove, plain pink = replacement or addition); blue = new material added so that the chapter follows the supervisor’s structure (introduction with roadmap, key requirements, four-step shortlisting process with venue/stage/listing tables, per-category summary tables with requirement coverage, gaps per requirement, conclusion). Base text = Chapter 2 of the clean report. Figures and tables in this chapter now use chapter-based numbering (Figure 2.1, Table 2.1) as in the supervisor’s chapter; apply the same scheme to the other chapters and update the cross-references to</w:t>
      </w:r>
      <w:r>
        <w:rPr>
          <w:rStyle w:val="ReviewerNote"/>
        </w:rPr>
        <w:t xml:space="preserve"> </w:t>
      </w:r>
      <w:r>
        <w:rPr>
          <w:rStyle w:val="ReviewerNote"/>
        </w:rPr>
        <w:t xml:space="preserve">‘Section 2.2.x’</w:t>
      </w:r>
      <w:r>
        <w:rPr>
          <w:rStyle w:val="ReviewerNote"/>
        </w:rPr>
        <w:t xml:space="preserve">,</w:t>
      </w:r>
      <w:r>
        <w:rPr>
          <w:rStyle w:val="ReviewerNote"/>
        </w:rPr>
        <w:t xml:space="preserve"> </w:t>
      </w:r>
      <w:r>
        <w:rPr>
          <w:rStyle w:val="ReviewerNote"/>
        </w:rPr>
        <w:t xml:space="preserve">‘Figure 2.1’</w:t>
      </w:r>
      <w:r>
        <w:rPr>
          <w:rStyle w:val="ReviewerNote"/>
        </w:rPr>
        <w:t xml:space="preserve">,</w:t>
      </w:r>
      <w:r>
        <w:rPr>
          <w:rStyle w:val="ReviewerNote"/>
        </w:rPr>
        <w:t xml:space="preserve"> </w:t>
      </w:r>
      <w:r>
        <w:rPr>
          <w:rStyle w:val="ReviewerNote"/>
        </w:rPr>
        <w:t xml:space="preserve">‘Figure 2.2’</w:t>
      </w:r>
      <w:r>
        <w:rPr>
          <w:rStyle w:val="ReviewerNote"/>
        </w:rPr>
        <w:t xml:space="preserve"> </w:t>
      </w:r>
      <w:r>
        <w:rPr>
          <w:rStyle w:val="ReviewerNote"/>
        </w:rPr>
        <w:t xml:space="preserve">and</w:t>
      </w:r>
      <w:r>
        <w:rPr>
          <w:rStyle w:val="ReviewerNote"/>
        </w:rPr>
        <w:t xml:space="preserve"> </w:t>
      </w:r>
      <w:r>
        <w:rPr>
          <w:rStyle w:val="ReviewerNote"/>
        </w:rPr>
        <w:t xml:space="preserve">‘Table 2.10’</w:t>
      </w:r>
      <w:r>
        <w:rPr>
          <w:rStyle w:val="ReviewerNote"/>
        </w:rPr>
        <w:t xml:space="preserve"> </w:t>
      </w:r>
      <w:r>
        <w:rPr>
          <w:rStyle w:val="ReviewerNote"/>
        </w:rPr>
        <w:t xml:space="preserve">elsewhere in the report.</w:t>
      </w:r>
    </w:p>
    <w:bookmarkStart w:id="14" w:name="overview-introduction"/>
    <w:p>
      <w:pPr>
        <w:pStyle w:val="Heading2"/>
      </w:pPr>
      <w:r>
        <w:t xml:space="preserve">2.1</w:t>
      </w:r>
      <w:r>
        <w:t xml:space="preserve"> </w:t>
      </w:r>
      <w:r>
        <w:rPr>
          <w:rStyle w:val="PinkDelete"/>
        </w:rPr>
        <w:t xml:space="preserve">Overview</w:t>
      </w:r>
      <w:r>
        <w:t xml:space="preserve"> </w:t>
      </w:r>
      <w:r>
        <w:rPr>
          <w:rStyle w:val="PinkFix"/>
        </w:rPr>
        <w:t xml:space="preserve">Introduction</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w:t>
      </w:r>
      <w:r>
        <w:t xml:space="preserve"> </w:t>
      </w:r>
      <w:r>
        <w:rPr>
          <w:rStyle w:val="PinkDelete"/>
        </w:rPr>
        <w:t xml:space="preserve">[14, 16, 21, 23, 32]</w:t>
      </w:r>
      <w:r>
        <w:rPr>
          <w:rStyle w:val="PinkFix"/>
        </w:rPr>
        <w:t xml:space="preserve">[10, 21, 23, 27, 28, 33]</w:t>
      </w:r>
      <w:r>
        <w:t xml:space="preserve">.</w:t>
      </w:r>
      <w:r>
        <w:t xml:space="preserve"> </w:t>
      </w:r>
      <w:r>
        <w:rPr>
          <w:rStyle w:val="PinkDelete"/>
        </w:rPr>
        <w:t xml:space="preserve">Multi-party trust research has investigated immutable data governance, distributed auditability, and decentralised consent management [3, 4, 9, 25]</w:t>
      </w:r>
      <w:r>
        <w:rPr>
          <w:rStyle w:val="PinkFix"/>
        </w:rPr>
        <w:t xml:space="preserve">Blockchain-based data-governance research has investigated immutable records, distributed auditability, and decentralised consent management [3, 4, 9, 25]</w:t>
      </w:r>
      <w:r>
        <w:t xml:space="preserve">. Research on decentralised identity and verifiable credentials has developed mechanisms for self-controlled identity representation, credential verification, selective disclosure, and privacy-preserving authentication</w:t>
      </w:r>
      <w:r>
        <w:t xml:space="preserve"> </w:t>
      </w:r>
      <w:r>
        <w:rPr>
          <w:rStyle w:val="PinkDelete"/>
        </w:rPr>
        <w:t xml:space="preserve">[6, 7, 18, 20, 26, 36]</w:t>
      </w:r>
      <w:r>
        <w:rPr>
          <w:rStyle w:val="PinkFix"/>
        </w:rPr>
        <w:t xml:space="preserve">[6, 7, 18, 20, 26, 36]</w:t>
      </w:r>
      <w:r>
        <w:t xml:space="preserve">. Access-control research has further investigated role-based, attribute-based, risk-aware, and usage-control approaches for protecting sensitive healthcare information</w:t>
      </w:r>
      <w:r>
        <w:t xml:space="preserve"> </w:t>
      </w:r>
      <w:r>
        <w:rPr>
          <w:rStyle w:val="PinkDelete"/>
        </w:rPr>
        <w:t xml:space="preserve">[13, 24, 30, 35]</w:t>
      </w:r>
      <w:r>
        <w:rPr>
          <w:rStyle w:val="PinkFix"/>
        </w:rPr>
        <w:t xml:space="preserve">[5, 13, 24, 30, 31, 34, 35]</w:t>
      </w:r>
      <w:r>
        <w:t xml:space="preserve">.</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r>
        <w:t xml:space="preserve"> </w:t>
      </w:r>
      <w:r>
        <w:rPr>
          <w:rStyle w:val="PinkDelete"/>
        </w:rPr>
        <w:t xml:space="preserve">The following sections analyse these research areas and identify the gap addressed by the proposed framework.</w:t>
      </w:r>
      <w:r>
        <w:rPr>
          <w:rStyle w:val="PinkFix"/>
        </w:rPr>
        <w:t xml:space="preserve">The objective of this chapter is therefore to examine, through a systematic literature review, how far the existing approaches satisfy the conditions of a trustworthy authorisation decision and where the gap addressed by the proposed framework lies.</w:t>
      </w:r>
    </w:p>
    <w:p>
      <w:pPr>
        <w:pStyle w:val="BlueAddPara"/>
      </w:pPr>
      <w:r>
        <w:rPr>
          <w:rStyle w:val="BlueAdd"/>
        </w:rPr>
        <w:t xml:space="preserve">The reviewed studies were located, shortlisted and evaluated through the systematic process described in Section 2.3, which follows the four-step approach of searching the literature, applying inclusion and exclusion criteria, evaluating quality and analysing the data. To make the evaluation comparable across studies, Section 2.2 first defines five key requirements that a trust-oriented consent authorisation framework should satisfy. Each shortlisted paper is then assessed against these requirements in Section 2.4, the research gaps are drawn together from the requirement perspective in Section 2.5, and Section 2.6 concludes the chapter and introduces the research questions and objectives of Chapter 3.</w:t>
      </w:r>
    </w:p>
    <w:bookmarkEnd w:id="14"/>
    <w:bookmarkStart w:id="20" w:name="Xe31d4d16f418816f7cdb8bb7e2c33f7a12ca646"/>
    <w:p>
      <w:pPr>
        <w:pStyle w:val="Heading2"/>
      </w:pPr>
      <w:r>
        <w:rPr>
          <w:rStyle w:val="BlueAdd"/>
        </w:rPr>
        <w:t xml:space="preserve">2.2 Key Requirements for a Trust-Oriented Consent Authorisation Framework</w:t>
      </w:r>
    </w:p>
    <w:p>
      <w:pPr>
        <w:pStyle w:val="BlueAddPara"/>
      </w:pPr>
      <w:r>
        <w:rPr>
          <w:rStyle w:val="BlueAdd"/>
        </w:rPr>
        <w:t xml:space="preserve">This section defines the factors that a healthcare consent authorisation framework must provide before a data-access decision can be regarded as trustworthy. The five requirements are derived from the problem described in Chapter 1 and from the Australian regulatory setting in which the research is situated, in particular the Australian Privacy Principles of the</w:t>
      </w:r>
      <w:r>
        <w:rPr>
          <w:rStyle w:val="BlueAdd"/>
        </w:rPr>
        <w:t xml:space="preserve"> </w:t>
      </w:r>
      <w:r>
        <w:rPr>
          <w:rStyle w:val="BlueAdd"/>
          <w:i/>
          <w:iCs/>
        </w:rPr>
        <w:t xml:space="preserve">Privacy Act 1988</w:t>
      </w:r>
      <w:r>
        <w:rPr>
          <w:rStyle w:val="BlueAdd"/>
        </w:rPr>
        <w:t xml:space="preserve"> </w:t>
      </w:r>
      <w:r>
        <w:rPr>
          <w:rStyle w:val="BlueAdd"/>
        </w:rPr>
        <w:t xml:space="preserve">[37], the</w:t>
      </w:r>
      <w:r>
        <w:rPr>
          <w:rStyle w:val="BlueAdd"/>
        </w:rPr>
        <w:t xml:space="preserve"> </w:t>
      </w:r>
      <w:r>
        <w:rPr>
          <w:rStyle w:val="BlueAdd"/>
          <w:i/>
          <w:iCs/>
        </w:rPr>
        <w:t xml:space="preserve">My Health Records Act 2012</w:t>
      </w:r>
      <w:r>
        <w:rPr>
          <w:rStyle w:val="BlueAdd"/>
        </w:rPr>
        <w:t xml:space="preserve"> </w:t>
      </w:r>
      <w:r>
        <w:rPr>
          <w:rStyle w:val="BlueAdd"/>
        </w:rPr>
        <w:t xml:space="preserve">[38] and the</w:t>
      </w:r>
      <w:r>
        <w:rPr>
          <w:rStyle w:val="BlueAdd"/>
        </w:rPr>
        <w:t xml:space="preserve"> </w:t>
      </w:r>
      <w:r>
        <w:rPr>
          <w:rStyle w:val="BlueAdd"/>
          <w:i/>
          <w:iCs/>
        </w:rPr>
        <w:t xml:space="preserve">Healthcare Identifiers Act 2010</w:t>
      </w:r>
      <w:r>
        <w:rPr>
          <w:rStyle w:val="BlueAdd"/>
        </w:rPr>
        <w:t xml:space="preserve"> </w:t>
      </w:r>
      <w:r>
        <w:rPr>
          <w:rStyle w:val="BlueAdd"/>
        </w:rPr>
        <w:t xml:space="preserve">[39]. They form the basis on which the shortlisted studies are compared in Section 2.4 and against which the research gaps are stated in Section 2.5.</w:t>
      </w:r>
    </w:p>
    <w:bookmarkStart w:id="15" w:name="Xb2c1c1d0f9cf3a779daabe364a3fe8b072535a1"/>
    <w:p>
      <w:pPr>
        <w:pStyle w:val="Heading3"/>
      </w:pPr>
      <w:r>
        <w:rPr>
          <w:rStyle w:val="BlueAdd"/>
        </w:rPr>
        <w:t xml:space="preserve">2.2.1 Consent as an evaluable authorisation object (Req 1)</w:t>
      </w:r>
    </w:p>
    <w:p>
      <w:pPr>
        <w:pStyle w:val="BlueAddPara"/>
      </w:pPr>
      <w:r>
        <w:rPr>
          <w:rStyle w:val="BlueAdd"/>
        </w:rPr>
        <w:t xml:space="preserve">In most healthcare information systems, consent is stored as a record indicating that a patient agreed to a particular disclosure. Such a record establishes that consent was obtained, but it does not carry the information required to decide whether a later request should be permitted. The first requirement is therefore that consent be represented as a structured object that states who may access the data, under which authority, for which purpose, for which data categories and for how long, so that each access request can be evaluated against it. Consent receipts [12], dynamic consent models [15, 23] and the legal conditions of valid consent [21] all point in this direction, but they stop at recording consent rather than making it evaluable. Blockchain-backed architectures that execute and audit consents [28] and self-determined consent frameworks [33] add enforcement and tracking, yet they still act on the consent record rather than on an evaluation of the request.</w:t>
      </w:r>
    </w:p>
    <w:bookmarkEnd w:id="15"/>
    <w:bookmarkStart w:id="16" w:name="Xa885eda08813ad5fc0a2256dc7473e8c07c13b3"/>
    <w:p>
      <w:pPr>
        <w:pStyle w:val="Heading3"/>
      </w:pPr>
      <w:r>
        <w:rPr>
          <w:rStyle w:val="BlueAdd"/>
        </w:rPr>
        <w:t xml:space="preserve">2.2.2 Verifiable identity separated from authority (Req 2)</w:t>
      </w:r>
    </w:p>
    <w:p>
      <w:pPr>
        <w:pStyle w:val="BlueAddPara"/>
      </w:pPr>
      <w:r>
        <w:rPr>
          <w:rStyle w:val="BlueAdd"/>
        </w:rPr>
        <w:t xml:space="preserve">A trustworthy decision must first establish who is requesting or approving access, and then, separately, whether that party holds the authority the consent requires. Decentralised identifiers and verifiable credentials make the first step possible without a central identity provider [6, 20], and the</w:t>
      </w:r>
      <w:r>
        <w:rPr>
          <w:rStyle w:val="BlueAdd"/>
        </w:rPr>
        <w:t xml:space="preserve"> </w:t>
      </w:r>
      <w:r>
        <w:rPr>
          <w:rStyle w:val="BlueAdd"/>
          <w:i/>
          <w:iCs/>
        </w:rPr>
        <w:t xml:space="preserve">Healthcare Identifiers Act 2010</w:t>
      </w:r>
      <w:r>
        <w:rPr>
          <w:rStyle w:val="BlueAdd"/>
        </w:rPr>
        <w:t xml:space="preserve"> </w:t>
      </w:r>
      <w:r>
        <w:rPr>
          <w:rStyle w:val="BlueAdd"/>
        </w:rPr>
        <w:t xml:space="preserve">already gives every provider and individual a persistent identifier [39]. The second step is frequently overlooked: a valid credential shows that a person is, for example, a registered practitioner or a legal guardian [10], but not that this person is authorised for this patient, this purpose and this data. The second requirement is that identity verification and authority verification be modelled as distinct conditions.</w:t>
      </w:r>
    </w:p>
    <w:bookmarkEnd w:id="16"/>
    <w:bookmarkStart w:id="17" w:name="X3f1caa9985cd93675a873a4a1b7cf3386e492f2"/>
    <w:p>
      <w:pPr>
        <w:pStyle w:val="Heading3"/>
      </w:pPr>
      <w:r>
        <w:rPr>
          <w:rStyle w:val="BlueAdd"/>
        </w:rPr>
        <w:t xml:space="preserve">2.2.3 Multi-party threshold authorisation (Req 3)</w:t>
      </w:r>
    </w:p>
    <w:p>
      <w:pPr>
        <w:pStyle w:val="BlueAddPara"/>
      </w:pPr>
      <w:r>
        <w:rPr>
          <w:rStyle w:val="BlueAdd"/>
        </w:rPr>
        <w:t xml:space="preserve">In paediatric, aged-care and shared-guardianship settings the decision to release data does not belong to a single party. Guardians, the treating clinician and, where applicable, the institution each hold part of the authority [10]. The third requirement is that the framework collect independent approvals from a defined set of participants and activate the consent only when a predefined threshold has been reached, so that no single participant can grant access unilaterally. Multi-party verification of identity claims [6], multi-party governance of data trusts [19] and threshold-based pre-authorisation of record access [29] provide building blocks, but none treats the approval threshold as a verifiable condition attached to the consent itself.</w:t>
      </w:r>
    </w:p>
    <w:bookmarkEnd w:id="17"/>
    <w:bookmarkStart w:id="18" w:name="purpose--and-scope-bound-access-req-4"/>
    <w:p>
      <w:pPr>
        <w:pStyle w:val="Heading3"/>
      </w:pPr>
      <w:r>
        <w:rPr>
          <w:rStyle w:val="BlueAdd"/>
        </w:rPr>
        <w:t xml:space="preserve">2.2.4 Purpose- and scope-bound access (Req 4)</w:t>
      </w:r>
    </w:p>
    <w:p>
      <w:pPr>
        <w:pStyle w:val="BlueAddPara"/>
      </w:pPr>
      <w:r>
        <w:rPr>
          <w:rStyle w:val="BlueAdd"/>
        </w:rPr>
        <w:t xml:space="preserve">Even when the requester is verified and the required approvals exist, the request must remain within the purpose and the data scope that the patient authorised. Attribute-based, risk-aware, usage-control and purpose-based models can express fine-grained restrictions [5, 13, 24, 30, 31, 34, 35], and the Australian Privacy Principles require that health information be used only for the primary purpose of collection or a directly related purpose [37]. The fourth requirement is that the framework evaluate the requested purpose and data scope against the consent as an explicit condition of the decision rather than as a separate access-control layer.</w:t>
      </w:r>
    </w:p>
    <w:bookmarkEnd w:id="18"/>
    <w:bookmarkStart w:id="19" w:name="Xa8ff9ba73be0aeb7c197ff9dd13ad790ec9629a"/>
    <w:p>
      <w:pPr>
        <w:pStyle w:val="Heading3"/>
      </w:pPr>
      <w:r>
        <w:rPr>
          <w:rStyle w:val="BlueAdd"/>
        </w:rPr>
        <w:t xml:space="preserve">2.2.5 Lifecycle validity and auditable evidence (Req 5)</w:t>
      </w:r>
    </w:p>
    <w:p>
      <w:pPr>
        <w:pStyle w:val="BlueAddPara"/>
      </w:pPr>
      <w:r>
        <w:rPr>
          <w:rStyle w:val="BlueAdd"/>
        </w:rPr>
        <w:t xml:space="preserve">A consent that was valid when it was created may expire, be revoked or change state. The framework must therefore evaluate the temporal and lifecycle validity of the consent at the time of each request, and it must retain evidence of every decision so that the decision can be reviewed afterwards. Blockchain-based systems provide tamper-resistant audit trails [2, 25, 27, 31], and dynamic identity systems handle revocation at the identity level [36]; the fifth requirement is that the same properties hold for the consent object and for the authorisation decisions made on it.</w:t>
      </w:r>
    </w:p>
    <w:p>
      <w:pPr>
        <w:pStyle w:val="BlueAddPara"/>
      </w:pPr>
      <w:r>
        <w:rPr>
          <w:rStyle w:val="BlueAdd"/>
        </w:rPr>
        <w:t xml:space="preserve">These five requirements form the basis of the comparison of the existing approaches in Section 2.4. Questions about whether the existing methods assist in addressing each requirement are answered in Tables 2.4–2.9, and the gaps are summarised from the requirement perspective in Section 2.5.</w:t>
      </w:r>
    </w:p>
    <w:bookmarkEnd w:id="19"/>
    <w:bookmarkEnd w:id="20"/>
    <w:bookmarkStart w:id="33" w:name="Xc890dc5c16727df01c4dec67a5cc738423fdfed"/>
    <w:p>
      <w:pPr>
        <w:pStyle w:val="Heading2"/>
      </w:pPr>
      <w:r>
        <w:rPr>
          <w:rStyle w:val="PinkDelete"/>
        </w:rPr>
        <w:t xml:space="preserve">2.2</w:t>
      </w:r>
      <w:r>
        <w:t xml:space="preserve"> </w:t>
      </w:r>
      <w:r>
        <w:rPr>
          <w:rStyle w:val="PinkFix"/>
        </w:rPr>
        <w:t xml:space="preserve">2.3</w:t>
      </w:r>
      <w:r>
        <w:t xml:space="preserve"> </w:t>
      </w:r>
      <w:r>
        <w:rPr>
          <w:rStyle w:val="PinkDelete"/>
        </w:rPr>
        <w:t xml:space="preserve">Systematic Literature Review Methodology</w:t>
      </w:r>
      <w:r>
        <w:t xml:space="preserve"> </w:t>
      </w:r>
      <w:r>
        <w:rPr>
          <w:rStyle w:val="PinkFix"/>
        </w:rPr>
        <w:t xml:space="preserve">Process Adopted for Shortlisting the Papers for the SLR</w:t>
      </w:r>
    </w:p>
    <w:p>
      <w:pPr>
        <w:pStyle w:val="FirstParagraph"/>
      </w:pPr>
      <w:r>
        <w:t xml:space="preserve">This review followed the Preferred Reporting Items for Systematic Reviews and Meta-Analyses (PRISMA 2020) reporting guideline [40].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w:t>
      </w:r>
      <w:r>
        <w:t xml:space="preserve"> </w:t>
      </w:r>
      <w:r>
        <w:rPr>
          <w:rStyle w:val="PinkDelete"/>
        </w:rPr>
        <w:t xml:space="preserve">Sections 2.2.1–2.2.8</w:t>
      </w:r>
      <w:r>
        <w:rPr>
          <w:rStyle w:val="PinkFix"/>
        </w:rPr>
        <w:t xml:space="preserve">Sections 2.3.1–2.3.6</w:t>
      </w:r>
      <w:r>
        <w:t xml:space="preserve">, and the resulting study selection is</w:t>
      </w:r>
      <w:r>
        <w:t xml:space="preserve"> </w:t>
      </w:r>
      <w:r>
        <w:rPr>
          <w:rStyle w:val="PinkDelete"/>
        </w:rPr>
        <w:t xml:space="preserve">summarised in Figure 2.2.</w:t>
      </w:r>
      <w:r>
        <w:rPr>
          <w:rStyle w:val="PinkFix"/>
        </w:rPr>
        <w:t xml:space="preserve">summarised in Figure 2.2.</w:t>
      </w:r>
      <w:r>
        <w:rPr>
          <w:rStyle w:val="PinkFix"/>
        </w:rPr>
        <w:t xml:space="preserve">Consistent with the four-step approach adopted in this research group, the process is reported as searching the literature (Step 1), applying inclusion and exclusion criteria (Step 2), evaluating quality (Step 3) and extracting and categorising the data (Step 4).</w:t>
      </w:r>
    </w:p>
    <w:bookmarkStart w:id="21" w:name="review-design-and-reporting-framework"/>
    <w:p>
      <w:pPr>
        <w:pStyle w:val="Heading3"/>
      </w:pPr>
      <w:r>
        <w:rPr>
          <w:rStyle w:val="PinkDelete"/>
        </w:rPr>
        <w:t xml:space="preserve">2.2.1</w:t>
      </w:r>
      <w:r>
        <w:t xml:space="preserve"> </w:t>
      </w:r>
      <w:r>
        <w:rPr>
          <w:rStyle w:val="PinkFix"/>
        </w:rPr>
        <w:t xml:space="preserve">2.3.1</w:t>
      </w:r>
      <w:r>
        <w:t xml:space="preserve"> </w:t>
      </w:r>
      <w:r>
        <w:t xml:space="preserve">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w:t>
      </w:r>
      <w:r>
        <w:t xml:space="preserve"> </w:t>
      </w:r>
      <w:r>
        <w:rPr>
          <w:rStyle w:val="PinkDelete"/>
        </w:rPr>
        <w:t xml:space="preserve">described in Section 2.2.8.</w:t>
      </w:r>
      <w:r>
        <w:rPr>
          <w:rStyle w:val="PinkFix"/>
        </w:rPr>
        <w:t xml:space="preserve">described in Section 2.3.5.</w:t>
      </w:r>
    </w:p>
    <w:bookmarkEnd w:id="21"/>
    <w:bookmarkStart w:id="22" w:name="questions-for-review"/>
    <w:p>
      <w:pPr>
        <w:pStyle w:val="Heading3"/>
      </w:pPr>
      <w:r>
        <w:rPr>
          <w:rStyle w:val="PinkDelete"/>
        </w:rPr>
        <w:t xml:space="preserve">2.2.2</w:t>
      </w:r>
      <w:r>
        <w:t xml:space="preserve"> </w:t>
      </w:r>
      <w:r>
        <w:rPr>
          <w:rStyle w:val="PinkFix"/>
        </w:rPr>
        <w:t xml:space="preserve">2.3.2</w:t>
      </w:r>
      <w:r>
        <w:t xml:space="preserve"> </w:t>
      </w:r>
      <w:r>
        <w:t xml:space="preserve">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22"/>
    <w:bookmarkStart w:id="26" w:name="X84813ed82bde8b681c1e93fab893fb6ffc8ce2b"/>
    <w:p>
      <w:pPr>
        <w:pStyle w:val="Heading3"/>
      </w:pPr>
      <w:r>
        <w:rPr>
          <w:rStyle w:val="PinkDelete"/>
        </w:rPr>
        <w:t xml:space="preserve">2.2.3</w:t>
      </w:r>
      <w:r>
        <w:t xml:space="preserve"> </w:t>
      </w:r>
      <w:r>
        <w:rPr>
          <w:rStyle w:val="PinkFix"/>
        </w:rPr>
        <w:t xml:space="preserve">2.3.3</w:t>
      </w:r>
      <w:r>
        <w:t xml:space="preserve"> </w:t>
      </w:r>
      <w:r>
        <w:rPr>
          <w:rStyle w:val="PinkDelete"/>
        </w:rPr>
        <w:t xml:space="preserve">Search Databases and Search Strategy</w:t>
      </w:r>
      <w:r>
        <w:t xml:space="preserve"> </w:t>
      </w:r>
      <w:r>
        <w:rPr>
          <w:rStyle w:val="PinkFix"/>
        </w:rPr>
        <w:t xml:space="preserve">Step 1: Criteria for Searching the Literature</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w:t>
      </w:r>
      <w:r>
        <w:t xml:space="preserve"> </w:t>
      </w:r>
      <w:r>
        <w:rPr>
          <w:rStyle w:val="PinkDelete"/>
        </w:rPr>
        <w:t xml:space="preserve">The general search string was defined as shown in Figure 2.1.</w:t>
      </w:r>
      <w:r>
        <w:rPr>
          <w:rStyle w:val="PinkFix"/>
        </w:rPr>
        <w:t xml:space="preserve">The general search string was defined as shown in Figure 2.1.</w:t>
      </w:r>
    </w:p>
    <w:p>
      <w:pPr>
        <w:pStyle w:val="CaptionedFigure"/>
      </w:pPr>
      <w:r>
        <w:drawing>
          <wp:inline>
            <wp:extent cx="5486400" cy="3383782"/>
            <wp:effectExtent b="0" l="0" r="0" t="0"/>
            <wp:docPr descr="Figure 2.1: SLR search string definition" title="" id="24" name="Picture"/>
            <a:graphic>
              <a:graphicData uri="http://schemas.openxmlformats.org/drawingml/2006/picture">
                <pic:pic>
                  <pic:nvPicPr>
                    <pic:cNvPr descr="media/fig01.png" id="25" name="Picture"/>
                    <pic:cNvPicPr>
                      <a:picLocks noChangeArrowheads="1" noChangeAspect="1"/>
                    </pic:cNvPicPr>
                  </pic:nvPicPr>
                  <pic:blipFill>
                    <a:blip r:embed="rId23"/>
                    <a:stretch>
                      <a:fillRect/>
                    </a:stretch>
                  </pic:blipFill>
                  <pic:spPr bwMode="auto">
                    <a:xfrm>
                      <a:off x="0" y="0"/>
                      <a:ext cx="5486400" cy="3383782"/>
                    </a:xfrm>
                    <a:prstGeom prst="rect">
                      <a:avLst/>
                    </a:prstGeom>
                    <a:noFill/>
                    <a:ln w="9525">
                      <a:noFill/>
                      <a:headEnd/>
                      <a:tailEnd/>
                    </a:ln>
                  </pic:spPr>
                </pic:pic>
              </a:graphicData>
            </a:graphic>
          </wp:inline>
        </w:drawing>
      </w:r>
    </w:p>
    <w:p>
      <w:pPr>
        <w:pStyle w:val="ImageCaption"/>
      </w:pPr>
      <w:r>
        <w:t xml:space="preserve">Figure 2.1: SLR search string definition</w:t>
      </w:r>
    </w:p>
    <w:p>
      <w:pPr>
        <w:pStyle w:val="BodyText"/>
      </w:pPr>
      <w:r>
        <w:rPr>
          <w:rStyle w:val="PinkFix"/>
          <w:b/>
          <w:bCs/>
        </w:rPr>
        <w:t xml:space="preserve">Search period and search execution.</w:t>
      </w:r>
    </w:p>
    <w:p>
      <w:pPr>
        <w:pStyle w:val="BodyText"/>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in</w:t>
      </w:r>
      <w:r>
        <w:t xml:space="preserve"> </w:t>
      </w:r>
      <w:r>
        <w:rPr>
          <w:rStyle w:val="PinkDelete"/>
          <w:b/>
          <w:bCs/>
        </w:rPr>
        <w:t xml:space="preserve">[dd] August 2026</w:t>
      </w:r>
      <w:r>
        <w:rPr>
          <w:rStyle w:val="PinkFix"/>
          <w:b/>
          <w:bCs/>
        </w:rPr>
        <w:t xml:space="preserve">15 August 2026</w:t>
      </w:r>
      <w:r>
        <w:t xml:space="preserve">. The search period was selected to capture the rapid development of multi-party trust healthcare data management, decentralised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BlueAddPara"/>
      </w:pPr>
      <w:r>
        <w:rPr>
          <w:rStyle w:val="BlueAdd"/>
          <w:b/>
          <w:bCs/>
        </w:rPr>
        <w:t xml:space="preserve">Required information from the selected papers.</w:t>
      </w:r>
      <w:r>
        <w:rPr>
          <w:rStyle w:val="BlueAdd"/>
        </w:rPr>
        <w:t xml:space="preserve"> </w:t>
      </w:r>
      <w:r>
        <w:rPr>
          <w:rStyle w:val="BlueAdd"/>
        </w:rPr>
        <w:t xml:space="preserve">For each record, the title, abstract, keywords and full text were required, together with the publication venue, year and the digital object identifier used for duplicate detection.</w:t>
      </w:r>
    </w:p>
    <w:p>
      <w:pPr>
        <w:pStyle w:val="BlueAddPara"/>
      </w:pPr>
      <w:r>
        <w:rPr>
          <w:rStyle w:val="BlueAdd"/>
          <w:b/>
          <w:bCs/>
        </w:rPr>
        <w:t xml:space="preserve">Publication time of the records.</w:t>
      </w:r>
      <w:r>
        <w:rPr>
          <w:rStyle w:val="BlueAdd"/>
        </w:rPr>
        <w:t xml:space="preserve"> </w:t>
      </w:r>
      <w:r>
        <w:rPr>
          <w:rStyle w:val="BlueAdd"/>
        </w:rPr>
        <w:t xml:space="preserve">Only studies published between 2022 and 2026 were considered, because decentralised identity standards and consent-aware access control developed rapidly over that period. The journals and conference proceedings in which the included studies were published are listed in Table 2.1.</w:t>
      </w:r>
    </w:p>
    <w:p>
      <w:pPr>
        <w:pStyle w:val="TableCaption"/>
      </w:pPr>
      <w:r>
        <w:rPr>
          <w:rStyle w:val="BlueAdd"/>
        </w:rPr>
        <w:t xml:space="preserve">Table 2.1: Journals and conference proceedings of the included studies</w:t>
      </w:r>
    </w:p>
    <w:tbl>
      <w:tblPr>
        <w:tblStyle w:val="Table"/>
        <w:tblW w:type="pct" w:w="5000"/>
        <w:tblLayout w:type="fixed"/>
        <w:tblLook w:firstRow="1" w:lastRow="0" w:firstColumn="0" w:lastColumn="0" w:noHBand="0" w:noVBand="0" w:val="0020"/>
        <w:tblCaption w:val="Table 2.1: Journals and conference proceedings of the included studies"/>
      </w:tblPr>
      <w:tblGrid>
        <w:gridCol w:w="720"/>
        <w:gridCol w:w="4464"/>
        <w:gridCol w:w="1152"/>
        <w:gridCol w:w="1584"/>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S/N</w:t>
            </w:r>
          </w:p>
        </w:tc>
        <w:tc>
          <w:tcPr>
            <w:tcBorders>
              <w:bottom w:val="single" w:sz="8" w:space="0" w:color="000000"/>
            </w:tcBorders>
            <w:shd w:val="clear" w:color="auto" w:fill="E7E6E6"/>
            <w:vAlign w:val="center"/>
          </w:tcPr>
          <w:p>
            <w:pPr>
              <w:pStyle w:val="Compact"/>
              <w:jc w:val="left"/>
            </w:pPr>
            <w:r>
              <w:rPr>
                <w:rStyle w:val="BlueAdd"/>
                <w:b/>
                <w:bCs/>
              </w:rPr>
              <w:t xml:space="preserve">Journal or conference proceedings</w:t>
            </w:r>
          </w:p>
        </w:tc>
        <w:tc>
          <w:tcPr>
            <w:tcBorders>
              <w:bottom w:val="single" w:sz="8" w:space="0" w:color="000000"/>
            </w:tcBorders>
            <w:shd w:val="clear" w:color="auto" w:fill="E7E6E6"/>
            <w:vAlign w:val="center"/>
          </w:tcPr>
          <w:p>
            <w:pPr>
              <w:pStyle w:val="Compact"/>
              <w:jc w:val="left"/>
            </w:pPr>
            <w:r>
              <w:rPr>
                <w:rStyle w:val="BlueAdd"/>
                <w:b/>
                <w:bCs/>
              </w:rPr>
              <w:t xml:space="preserve">Type</w:t>
            </w:r>
          </w:p>
        </w:tc>
        <w:tc>
          <w:tcPr>
            <w:tcBorders>
              <w:bottom w:val="single" w:sz="8" w:space="0" w:color="000000"/>
            </w:tcBorders>
            <w:shd w:val="clear" w:color="auto" w:fill="E7E6E6"/>
            <w:vAlign w:val="center"/>
          </w:tcPr>
          <w:p>
            <w:pPr>
              <w:pStyle w:val="Compact"/>
              <w:jc w:val="left"/>
            </w:pPr>
            <w:r>
              <w:rPr>
                <w:rStyle w:val="BlueAdd"/>
                <w:b/>
                <w:bCs/>
              </w:rPr>
              <w:t xml:space="preserve">Included studies</w:t>
            </w:r>
          </w:p>
        </w:tc>
      </w:tr>
      <w:tr>
        <w:trPr>
          <w:cantSplit/>
        </w:trPr>
        <w:tc>
          <w:tcPr/>
          <w:p>
            <w:pPr>
              <w:pStyle w:val="Compact"/>
              <w:jc w:val="left"/>
            </w:pPr>
            <w:r>
              <w:rPr>
                <w:rStyle w:val="BlueAdd"/>
              </w:rPr>
              <w:t xml:space="preserve">1</w:t>
            </w:r>
          </w:p>
        </w:tc>
        <w:tc>
          <w:tcPr/>
          <w:p>
            <w:pPr>
              <w:pStyle w:val="Compact"/>
              <w:jc w:val="left"/>
            </w:pPr>
            <w:r>
              <w:rPr>
                <w:rStyle w:val="BlueAdd"/>
              </w:rPr>
              <w:t xml:space="preserve">IEEE Access</w:t>
            </w:r>
          </w:p>
        </w:tc>
        <w:tc>
          <w:tcPr/>
          <w:p>
            <w:pPr>
              <w:pStyle w:val="Compact"/>
              <w:jc w:val="left"/>
            </w:pPr>
            <w:r>
              <w:rPr>
                <w:rStyle w:val="BlueAdd"/>
              </w:rPr>
              <w:t xml:space="preserve">Journal</w:t>
            </w:r>
          </w:p>
        </w:tc>
        <w:tc>
          <w:tcPr/>
          <w:p>
            <w:pPr>
              <w:pStyle w:val="Compact"/>
              <w:jc w:val="left"/>
            </w:pPr>
            <w:r>
              <w:rPr>
                <w:rStyle w:val="BlueAdd"/>
              </w:rPr>
              <w:t xml:space="preserve">S2, S7, S10, S30</w:t>
            </w:r>
          </w:p>
        </w:tc>
      </w:tr>
      <w:tr>
        <w:trPr>
          <w:cantSplit/>
        </w:trPr>
        <w:tc>
          <w:tcPr/>
          <w:p>
            <w:pPr>
              <w:pStyle w:val="Compact"/>
              <w:jc w:val="left"/>
            </w:pPr>
            <w:r>
              <w:rPr>
                <w:rStyle w:val="BlueAdd"/>
              </w:rPr>
              <w:t xml:space="preserve">2</w:t>
            </w:r>
          </w:p>
        </w:tc>
        <w:tc>
          <w:tcPr/>
          <w:p>
            <w:pPr>
              <w:pStyle w:val="Compact"/>
              <w:jc w:val="left"/>
            </w:pPr>
            <w:r>
              <w:rPr>
                <w:rStyle w:val="BlueAdd"/>
              </w:rPr>
              <w:t xml:space="preserve">IEEE Communications Surveys &amp; Tutorials</w:t>
            </w:r>
          </w:p>
        </w:tc>
        <w:tc>
          <w:tcPr/>
          <w:p>
            <w:pPr>
              <w:pStyle w:val="Compact"/>
              <w:jc w:val="left"/>
            </w:pPr>
            <w:r>
              <w:rPr>
                <w:rStyle w:val="BlueAdd"/>
              </w:rPr>
              <w:t xml:space="preserve">Journal</w:t>
            </w:r>
          </w:p>
        </w:tc>
        <w:tc>
          <w:tcPr/>
          <w:p>
            <w:pPr>
              <w:pStyle w:val="Compact"/>
              <w:jc w:val="left"/>
            </w:pPr>
            <w:r>
              <w:rPr>
                <w:rStyle w:val="BlueAdd"/>
              </w:rPr>
              <w:t xml:space="preserve">S12, S19</w:t>
            </w:r>
          </w:p>
        </w:tc>
      </w:tr>
      <w:tr>
        <w:trPr>
          <w:cantSplit/>
        </w:trPr>
        <w:tc>
          <w:tcPr/>
          <w:p>
            <w:pPr>
              <w:pStyle w:val="Compact"/>
              <w:jc w:val="left"/>
            </w:pPr>
            <w:r>
              <w:rPr>
                <w:rStyle w:val="BlueAdd"/>
              </w:rPr>
              <w:t xml:space="preserve">3</w:t>
            </w:r>
          </w:p>
        </w:tc>
        <w:tc>
          <w:tcPr/>
          <w:p>
            <w:pPr>
              <w:pStyle w:val="Compact"/>
              <w:jc w:val="left"/>
            </w:pPr>
            <w:r>
              <w:rPr>
                <w:rStyle w:val="BlueAdd"/>
              </w:rPr>
              <w:t xml:space="preserve">ACM Computing Surveys</w:t>
            </w:r>
          </w:p>
        </w:tc>
        <w:tc>
          <w:tcPr/>
          <w:p>
            <w:pPr>
              <w:pStyle w:val="Compact"/>
              <w:jc w:val="left"/>
            </w:pPr>
            <w:r>
              <w:rPr>
                <w:rStyle w:val="BlueAdd"/>
              </w:rPr>
              <w:t xml:space="preserve">Journal</w:t>
            </w:r>
          </w:p>
        </w:tc>
        <w:tc>
          <w:tcPr/>
          <w:p>
            <w:pPr>
              <w:pStyle w:val="Compact"/>
              <w:jc w:val="left"/>
            </w:pPr>
            <w:r>
              <w:rPr>
                <w:rStyle w:val="BlueAdd"/>
              </w:rPr>
              <w:t xml:space="preserve">S14</w:t>
            </w:r>
          </w:p>
        </w:tc>
      </w:tr>
      <w:tr>
        <w:trPr>
          <w:cantSplit/>
        </w:trPr>
        <w:tc>
          <w:tcPr/>
          <w:p>
            <w:pPr>
              <w:pStyle w:val="Compact"/>
              <w:jc w:val="left"/>
            </w:pPr>
            <w:r>
              <w:rPr>
                <w:rStyle w:val="BlueAdd"/>
              </w:rPr>
              <w:t xml:space="preserve">4</w:t>
            </w:r>
          </w:p>
        </w:tc>
        <w:tc>
          <w:tcPr/>
          <w:p>
            <w:pPr>
              <w:pStyle w:val="Compact"/>
              <w:jc w:val="left"/>
            </w:pPr>
            <w:r>
              <w:rPr>
                <w:rStyle w:val="BlueAdd"/>
              </w:rPr>
              <w:t xml:space="preserve">ACM Transactions on Management Information Systems</w:t>
            </w:r>
          </w:p>
        </w:tc>
        <w:tc>
          <w:tcPr/>
          <w:p>
            <w:pPr>
              <w:pStyle w:val="Compact"/>
              <w:jc w:val="left"/>
            </w:pPr>
            <w:r>
              <w:rPr>
                <w:rStyle w:val="BlueAdd"/>
              </w:rPr>
              <w:t xml:space="preserve">Journal</w:t>
            </w:r>
          </w:p>
        </w:tc>
        <w:tc>
          <w:tcPr/>
          <w:p>
            <w:pPr>
              <w:pStyle w:val="Compact"/>
              <w:jc w:val="left"/>
            </w:pPr>
            <w:r>
              <w:rPr>
                <w:rStyle w:val="BlueAdd"/>
              </w:rPr>
              <w:t xml:space="preserve">S20</w:t>
            </w:r>
          </w:p>
        </w:tc>
      </w:tr>
      <w:tr>
        <w:trPr>
          <w:cantSplit/>
        </w:trPr>
        <w:tc>
          <w:tcPr/>
          <w:p>
            <w:pPr>
              <w:pStyle w:val="Compact"/>
              <w:jc w:val="left"/>
            </w:pPr>
            <w:r>
              <w:rPr>
                <w:rStyle w:val="BlueAdd"/>
              </w:rPr>
              <w:t xml:space="preserve">5</w:t>
            </w:r>
          </w:p>
        </w:tc>
        <w:tc>
          <w:tcPr/>
          <w:p>
            <w:pPr>
              <w:pStyle w:val="Compact"/>
              <w:jc w:val="left"/>
            </w:pPr>
            <w:r>
              <w:rPr>
                <w:rStyle w:val="BlueAdd"/>
              </w:rPr>
              <w:t xml:space="preserve">IEEE Transactions on Computers</w:t>
            </w:r>
          </w:p>
        </w:tc>
        <w:tc>
          <w:tcPr/>
          <w:p>
            <w:pPr>
              <w:pStyle w:val="Compact"/>
              <w:jc w:val="left"/>
            </w:pPr>
            <w:r>
              <w:rPr>
                <w:rStyle w:val="BlueAdd"/>
              </w:rPr>
              <w:t xml:space="preserve">Journal</w:t>
            </w:r>
          </w:p>
        </w:tc>
        <w:tc>
          <w:tcPr/>
          <w:p>
            <w:pPr>
              <w:pStyle w:val="Compact"/>
              <w:jc w:val="left"/>
            </w:pPr>
            <w:r>
              <w:rPr>
                <w:rStyle w:val="BlueAdd"/>
              </w:rPr>
              <w:t xml:space="preserve">S15</w:t>
            </w:r>
          </w:p>
        </w:tc>
      </w:tr>
      <w:tr>
        <w:trPr>
          <w:cantSplit/>
        </w:trPr>
        <w:tc>
          <w:tcPr/>
          <w:p>
            <w:pPr>
              <w:pStyle w:val="Compact"/>
              <w:jc w:val="left"/>
            </w:pPr>
            <w:r>
              <w:rPr>
                <w:rStyle w:val="BlueAdd"/>
              </w:rPr>
              <w:t xml:space="preserve">6</w:t>
            </w:r>
          </w:p>
        </w:tc>
        <w:tc>
          <w:tcPr/>
          <w:p>
            <w:pPr>
              <w:pStyle w:val="Compact"/>
              <w:jc w:val="left"/>
            </w:pPr>
            <w:r>
              <w:rPr>
                <w:rStyle w:val="BlueAdd"/>
              </w:rPr>
              <w:t xml:space="preserve">IEEE Transactions on Information Forensics and Security</w:t>
            </w:r>
          </w:p>
        </w:tc>
        <w:tc>
          <w:tcPr/>
          <w:p>
            <w:pPr>
              <w:pStyle w:val="Compact"/>
              <w:jc w:val="left"/>
            </w:pPr>
            <w:r>
              <w:rPr>
                <w:rStyle w:val="BlueAdd"/>
              </w:rPr>
              <w:t xml:space="preserve">Journal</w:t>
            </w:r>
          </w:p>
        </w:tc>
        <w:tc>
          <w:tcPr/>
          <w:p>
            <w:pPr>
              <w:pStyle w:val="Compact"/>
              <w:jc w:val="left"/>
            </w:pPr>
            <w:r>
              <w:rPr>
                <w:rStyle w:val="BlueAdd"/>
              </w:rPr>
              <w:t xml:space="preserve">S21</w:t>
            </w:r>
          </w:p>
        </w:tc>
      </w:tr>
      <w:tr>
        <w:trPr>
          <w:cantSplit/>
        </w:trPr>
        <w:tc>
          <w:tcPr/>
          <w:p>
            <w:pPr>
              <w:pStyle w:val="Compact"/>
              <w:jc w:val="left"/>
            </w:pPr>
            <w:r>
              <w:rPr>
                <w:rStyle w:val="BlueAdd"/>
              </w:rPr>
              <w:t xml:space="preserve">7</w:t>
            </w:r>
          </w:p>
        </w:tc>
        <w:tc>
          <w:tcPr/>
          <w:p>
            <w:pPr>
              <w:pStyle w:val="Compact"/>
              <w:jc w:val="left"/>
            </w:pPr>
            <w:r>
              <w:rPr>
                <w:rStyle w:val="BlueAdd"/>
              </w:rPr>
              <w:t xml:space="preserve">Journal of Network and Computer Applications</w:t>
            </w:r>
          </w:p>
        </w:tc>
        <w:tc>
          <w:tcPr/>
          <w:p>
            <w:pPr>
              <w:pStyle w:val="Compact"/>
              <w:jc w:val="left"/>
            </w:pPr>
            <w:r>
              <w:rPr>
                <w:rStyle w:val="BlueAdd"/>
              </w:rPr>
              <w:t xml:space="preserve">Journal</w:t>
            </w:r>
          </w:p>
        </w:tc>
        <w:tc>
          <w:tcPr/>
          <w:p>
            <w:pPr>
              <w:pStyle w:val="Compact"/>
              <w:jc w:val="left"/>
            </w:pPr>
            <w:r>
              <w:rPr>
                <w:rStyle w:val="BlueAdd"/>
              </w:rPr>
              <w:t xml:space="preserve">S11</w:t>
            </w:r>
          </w:p>
        </w:tc>
      </w:tr>
      <w:tr>
        <w:trPr>
          <w:cantSplit/>
        </w:trPr>
        <w:tc>
          <w:tcPr/>
          <w:p>
            <w:pPr>
              <w:pStyle w:val="Compact"/>
              <w:jc w:val="left"/>
            </w:pPr>
            <w:r>
              <w:rPr>
                <w:rStyle w:val="BlueAdd"/>
              </w:rPr>
              <w:t xml:space="preserve">8</w:t>
            </w:r>
          </w:p>
        </w:tc>
        <w:tc>
          <w:tcPr/>
          <w:p>
            <w:pPr>
              <w:pStyle w:val="Compact"/>
              <w:jc w:val="left"/>
            </w:pPr>
            <w:r>
              <w:rPr>
                <w:rStyle w:val="BlueAdd"/>
              </w:rPr>
              <w:t xml:space="preserve">Journal of Systems Architecture</w:t>
            </w:r>
          </w:p>
        </w:tc>
        <w:tc>
          <w:tcPr/>
          <w:p>
            <w:pPr>
              <w:pStyle w:val="Compact"/>
              <w:jc w:val="left"/>
            </w:pPr>
            <w:r>
              <w:rPr>
                <w:rStyle w:val="BlueAdd"/>
              </w:rPr>
              <w:t xml:space="preserve">Journal</w:t>
            </w:r>
          </w:p>
        </w:tc>
        <w:tc>
          <w:tcPr/>
          <w:p>
            <w:pPr>
              <w:pStyle w:val="Compact"/>
              <w:jc w:val="left"/>
            </w:pPr>
            <w:r>
              <w:rPr>
                <w:rStyle w:val="BlueAdd"/>
              </w:rPr>
              <w:t xml:space="preserve">S29</w:t>
            </w:r>
          </w:p>
        </w:tc>
      </w:tr>
      <w:tr>
        <w:trPr>
          <w:cantSplit/>
        </w:trPr>
        <w:tc>
          <w:tcPr/>
          <w:p>
            <w:pPr>
              <w:pStyle w:val="Compact"/>
              <w:jc w:val="left"/>
            </w:pPr>
            <w:r>
              <w:rPr>
                <w:rStyle w:val="BlueAdd"/>
              </w:rPr>
              <w:t xml:space="preserve">9</w:t>
            </w:r>
          </w:p>
        </w:tc>
        <w:tc>
          <w:tcPr/>
          <w:p>
            <w:pPr>
              <w:pStyle w:val="Compact"/>
              <w:jc w:val="left"/>
            </w:pPr>
            <w:r>
              <w:rPr>
                <w:rStyle w:val="BlueAdd"/>
              </w:rPr>
              <w:t xml:space="preserve">Journal of Information Security and Applications</w:t>
            </w:r>
          </w:p>
        </w:tc>
        <w:tc>
          <w:tcPr/>
          <w:p>
            <w:pPr>
              <w:pStyle w:val="Compact"/>
              <w:jc w:val="left"/>
            </w:pPr>
            <w:r>
              <w:rPr>
                <w:rStyle w:val="BlueAdd"/>
              </w:rPr>
              <w:t xml:space="preserve">Journal</w:t>
            </w:r>
          </w:p>
        </w:tc>
        <w:tc>
          <w:tcPr/>
          <w:p>
            <w:pPr>
              <w:pStyle w:val="Compact"/>
              <w:jc w:val="left"/>
            </w:pPr>
            <w:r>
              <w:rPr>
                <w:rStyle w:val="BlueAdd"/>
              </w:rPr>
              <w:t xml:space="preserve">S16</w:t>
            </w:r>
          </w:p>
        </w:tc>
      </w:tr>
      <w:tr>
        <w:trPr>
          <w:cantSplit/>
        </w:trPr>
        <w:tc>
          <w:tcPr/>
          <w:p>
            <w:pPr>
              <w:pStyle w:val="Compact"/>
              <w:jc w:val="left"/>
            </w:pPr>
            <w:r>
              <w:rPr>
                <w:rStyle w:val="BlueAdd"/>
              </w:rPr>
              <w:t xml:space="preserve">10</w:t>
            </w:r>
          </w:p>
        </w:tc>
        <w:tc>
          <w:tcPr/>
          <w:p>
            <w:pPr>
              <w:pStyle w:val="Compact"/>
              <w:jc w:val="left"/>
            </w:pPr>
            <w:r>
              <w:rPr>
                <w:rStyle w:val="BlueAdd"/>
              </w:rPr>
              <w:t xml:space="preserve">Journal of Big Data</w:t>
            </w:r>
          </w:p>
        </w:tc>
        <w:tc>
          <w:tcPr/>
          <w:p>
            <w:pPr>
              <w:pStyle w:val="Compact"/>
              <w:jc w:val="left"/>
            </w:pPr>
            <w:r>
              <w:rPr>
                <w:rStyle w:val="BlueAdd"/>
              </w:rPr>
              <w:t xml:space="preserve">Journal</w:t>
            </w:r>
          </w:p>
        </w:tc>
        <w:tc>
          <w:tcPr/>
          <w:p>
            <w:pPr>
              <w:pStyle w:val="Compact"/>
              <w:jc w:val="left"/>
            </w:pPr>
            <w:r>
              <w:rPr>
                <w:rStyle w:val="BlueAdd"/>
              </w:rPr>
              <w:t xml:space="preserve">S26</w:t>
            </w:r>
          </w:p>
        </w:tc>
      </w:tr>
      <w:tr>
        <w:trPr>
          <w:cantSplit/>
        </w:trPr>
        <w:tc>
          <w:tcPr/>
          <w:p>
            <w:pPr>
              <w:pStyle w:val="Compact"/>
              <w:jc w:val="left"/>
            </w:pPr>
            <w:r>
              <w:rPr>
                <w:rStyle w:val="BlueAdd"/>
              </w:rPr>
              <w:t xml:space="preserve">11</w:t>
            </w:r>
          </w:p>
        </w:tc>
        <w:tc>
          <w:tcPr/>
          <w:p>
            <w:pPr>
              <w:pStyle w:val="Compact"/>
              <w:jc w:val="left"/>
            </w:pPr>
            <w:r>
              <w:rPr>
                <w:rStyle w:val="BlueAdd"/>
              </w:rPr>
              <w:t xml:space="preserve">Cluster Computing</w:t>
            </w:r>
          </w:p>
        </w:tc>
        <w:tc>
          <w:tcPr/>
          <w:p>
            <w:pPr>
              <w:pStyle w:val="Compact"/>
              <w:jc w:val="left"/>
            </w:pPr>
            <w:r>
              <w:rPr>
                <w:rStyle w:val="BlueAdd"/>
              </w:rPr>
              <w:t xml:space="preserve">Journal</w:t>
            </w:r>
          </w:p>
        </w:tc>
        <w:tc>
          <w:tcPr/>
          <w:p>
            <w:pPr>
              <w:pStyle w:val="Compact"/>
              <w:jc w:val="left"/>
            </w:pPr>
            <w:r>
              <w:rPr>
                <w:rStyle w:val="BlueAdd"/>
              </w:rPr>
              <w:t xml:space="preserve">S28</w:t>
            </w:r>
          </w:p>
        </w:tc>
      </w:tr>
      <w:tr>
        <w:trPr>
          <w:cantSplit/>
        </w:trPr>
        <w:tc>
          <w:tcPr/>
          <w:p>
            <w:pPr>
              <w:pStyle w:val="Compact"/>
              <w:jc w:val="left"/>
            </w:pPr>
            <w:r>
              <w:rPr>
                <w:rStyle w:val="BlueAdd"/>
              </w:rPr>
              <w:t xml:space="preserve">12</w:t>
            </w:r>
          </w:p>
        </w:tc>
        <w:tc>
          <w:tcPr/>
          <w:p>
            <w:pPr>
              <w:pStyle w:val="Compact"/>
              <w:jc w:val="left"/>
            </w:pPr>
            <w:r>
              <w:rPr>
                <w:rStyle w:val="BlueAdd"/>
              </w:rPr>
              <w:t xml:space="preserve">Engineering Reports</w:t>
            </w:r>
          </w:p>
        </w:tc>
        <w:tc>
          <w:tcPr/>
          <w:p>
            <w:pPr>
              <w:pStyle w:val="Compact"/>
              <w:jc w:val="left"/>
            </w:pPr>
            <w:r>
              <w:rPr>
                <w:rStyle w:val="BlueAdd"/>
              </w:rPr>
              <w:t xml:space="preserve">Journal</w:t>
            </w:r>
          </w:p>
        </w:tc>
        <w:tc>
          <w:tcPr/>
          <w:p>
            <w:pPr>
              <w:pStyle w:val="Compact"/>
              <w:jc w:val="left"/>
            </w:pPr>
            <w:r>
              <w:rPr>
                <w:rStyle w:val="BlueAdd"/>
              </w:rPr>
              <w:t xml:space="preserve">S27</w:t>
            </w:r>
          </w:p>
        </w:tc>
      </w:tr>
      <w:tr>
        <w:trPr>
          <w:cantSplit/>
        </w:trPr>
        <w:tc>
          <w:tcPr/>
          <w:p>
            <w:pPr>
              <w:pStyle w:val="Compact"/>
              <w:jc w:val="left"/>
            </w:pPr>
            <w:r>
              <w:rPr>
                <w:rStyle w:val="BlueAdd"/>
              </w:rPr>
              <w:t xml:space="preserve">13</w:t>
            </w:r>
          </w:p>
        </w:tc>
        <w:tc>
          <w:tcPr/>
          <w:p>
            <w:pPr>
              <w:pStyle w:val="Compact"/>
              <w:jc w:val="left"/>
            </w:pPr>
            <w:r>
              <w:rPr>
                <w:rStyle w:val="BlueAdd"/>
              </w:rPr>
              <w:t xml:space="preserve">International Journal of Information Management Data Insights</w:t>
            </w:r>
          </w:p>
        </w:tc>
        <w:tc>
          <w:tcPr/>
          <w:p>
            <w:pPr>
              <w:pStyle w:val="Compact"/>
              <w:jc w:val="left"/>
            </w:pPr>
            <w:r>
              <w:rPr>
                <w:rStyle w:val="BlueAdd"/>
              </w:rPr>
              <w:t xml:space="preserve">Journal</w:t>
            </w:r>
          </w:p>
        </w:tc>
        <w:tc>
          <w:tcPr/>
          <w:p>
            <w:pPr>
              <w:pStyle w:val="Compact"/>
              <w:jc w:val="left"/>
            </w:pPr>
            <w:r>
              <w:rPr>
                <w:rStyle w:val="BlueAdd"/>
              </w:rPr>
              <w:t xml:space="preserve">S23</w:t>
            </w:r>
          </w:p>
        </w:tc>
      </w:tr>
      <w:tr>
        <w:trPr>
          <w:cantSplit/>
        </w:trPr>
        <w:tc>
          <w:tcPr/>
          <w:p>
            <w:pPr>
              <w:pStyle w:val="Compact"/>
              <w:jc w:val="left"/>
            </w:pPr>
            <w:r>
              <w:rPr>
                <w:rStyle w:val="BlueAdd"/>
              </w:rPr>
              <w:t xml:space="preserve">14</w:t>
            </w:r>
          </w:p>
        </w:tc>
        <w:tc>
          <w:tcPr/>
          <w:p>
            <w:pPr>
              <w:pStyle w:val="Compact"/>
              <w:jc w:val="left"/>
            </w:pPr>
            <w:r>
              <w:rPr>
                <w:rStyle w:val="BlueAdd"/>
              </w:rPr>
              <w:t xml:space="preserve">IEEE Transactions on Network and Service Management</w:t>
            </w:r>
          </w:p>
        </w:tc>
        <w:tc>
          <w:tcPr/>
          <w:p>
            <w:pPr>
              <w:pStyle w:val="Compact"/>
              <w:jc w:val="left"/>
            </w:pPr>
            <w:r>
              <w:rPr>
                <w:rStyle w:val="BlueAdd"/>
              </w:rPr>
              <w:t xml:space="preserve">Journal</w:t>
            </w:r>
          </w:p>
        </w:tc>
        <w:tc>
          <w:tcPr/>
          <w:p>
            <w:pPr>
              <w:pStyle w:val="Compact"/>
              <w:jc w:val="left"/>
            </w:pPr>
            <w:r>
              <w:rPr>
                <w:rStyle w:val="BlueAdd"/>
              </w:rPr>
              <w:t xml:space="preserve">S24</w:t>
            </w:r>
          </w:p>
        </w:tc>
      </w:tr>
      <w:tr>
        <w:trPr>
          <w:cantSplit/>
        </w:trPr>
        <w:tc>
          <w:tcPr/>
          <w:p>
            <w:pPr>
              <w:pStyle w:val="Compact"/>
              <w:jc w:val="left"/>
            </w:pPr>
            <w:r>
              <w:rPr>
                <w:rStyle w:val="BlueAdd"/>
              </w:rPr>
              <w:t xml:space="preserve">15</w:t>
            </w:r>
          </w:p>
        </w:tc>
        <w:tc>
          <w:tcPr/>
          <w:p>
            <w:pPr>
              <w:pStyle w:val="Compact"/>
              <w:jc w:val="left"/>
            </w:pPr>
            <w:r>
              <w:rPr>
                <w:rStyle w:val="BlueAdd"/>
              </w:rPr>
              <w:t xml:space="preserve">Electronics</w:t>
            </w:r>
          </w:p>
        </w:tc>
        <w:tc>
          <w:tcPr/>
          <w:p>
            <w:pPr>
              <w:pStyle w:val="Compact"/>
              <w:jc w:val="left"/>
            </w:pPr>
            <w:r>
              <w:rPr>
                <w:rStyle w:val="BlueAdd"/>
              </w:rPr>
              <w:t xml:space="preserve">Journal</w:t>
            </w:r>
          </w:p>
        </w:tc>
        <w:tc>
          <w:tcPr/>
          <w:p>
            <w:pPr>
              <w:pStyle w:val="Compact"/>
              <w:jc w:val="left"/>
            </w:pPr>
            <w:r>
              <w:rPr>
                <w:rStyle w:val="BlueAdd"/>
              </w:rPr>
              <w:t xml:space="preserve">S3</w:t>
            </w:r>
          </w:p>
        </w:tc>
      </w:tr>
      <w:tr>
        <w:trPr>
          <w:cantSplit/>
        </w:trPr>
        <w:tc>
          <w:tcPr/>
          <w:p>
            <w:pPr>
              <w:pStyle w:val="Compact"/>
              <w:jc w:val="left"/>
            </w:pPr>
            <w:r>
              <w:rPr>
                <w:rStyle w:val="BlueAdd"/>
              </w:rPr>
              <w:t xml:space="preserve">16</w:t>
            </w:r>
          </w:p>
        </w:tc>
        <w:tc>
          <w:tcPr/>
          <w:p>
            <w:pPr>
              <w:pStyle w:val="Compact"/>
              <w:jc w:val="left"/>
            </w:pPr>
            <w:r>
              <w:rPr>
                <w:rStyle w:val="BlueAdd"/>
              </w:rPr>
              <w:t xml:space="preserve">Systems</w:t>
            </w:r>
          </w:p>
        </w:tc>
        <w:tc>
          <w:tcPr/>
          <w:p>
            <w:pPr>
              <w:pStyle w:val="Compact"/>
              <w:jc w:val="left"/>
            </w:pPr>
            <w:r>
              <w:rPr>
                <w:rStyle w:val="BlueAdd"/>
              </w:rPr>
              <w:t xml:space="preserve">Journal</w:t>
            </w:r>
          </w:p>
        </w:tc>
        <w:tc>
          <w:tcPr/>
          <w:p>
            <w:pPr>
              <w:pStyle w:val="Compact"/>
              <w:jc w:val="left"/>
            </w:pPr>
            <w:r>
              <w:rPr>
                <w:rStyle w:val="BlueAdd"/>
              </w:rPr>
              <w:t xml:space="preserve">S13</w:t>
            </w:r>
          </w:p>
        </w:tc>
      </w:tr>
      <w:tr>
        <w:trPr>
          <w:cantSplit/>
        </w:trPr>
        <w:tc>
          <w:tcPr/>
          <w:p>
            <w:pPr>
              <w:pStyle w:val="Compact"/>
              <w:jc w:val="left"/>
            </w:pPr>
            <w:r>
              <w:rPr>
                <w:rStyle w:val="BlueAdd"/>
              </w:rPr>
              <w:t xml:space="preserve">17</w:t>
            </w:r>
          </w:p>
        </w:tc>
        <w:tc>
          <w:tcPr/>
          <w:p>
            <w:pPr>
              <w:pStyle w:val="Compact"/>
              <w:jc w:val="left"/>
            </w:pPr>
            <w:r>
              <w:rPr>
                <w:rStyle w:val="BlueAdd"/>
              </w:rPr>
              <w:t xml:space="preserve">Cryptography</w:t>
            </w:r>
          </w:p>
        </w:tc>
        <w:tc>
          <w:tcPr/>
          <w:p>
            <w:pPr>
              <w:pStyle w:val="Compact"/>
              <w:jc w:val="left"/>
            </w:pPr>
            <w:r>
              <w:rPr>
                <w:rStyle w:val="BlueAdd"/>
              </w:rPr>
              <w:t xml:space="preserve">Journal</w:t>
            </w:r>
          </w:p>
        </w:tc>
        <w:tc>
          <w:tcPr/>
          <w:p>
            <w:pPr>
              <w:pStyle w:val="Compact"/>
              <w:jc w:val="left"/>
            </w:pPr>
            <w:r>
              <w:rPr>
                <w:rStyle w:val="BlueAdd"/>
              </w:rPr>
              <w:t xml:space="preserve">S22</w:t>
            </w:r>
          </w:p>
        </w:tc>
      </w:tr>
      <w:tr>
        <w:trPr>
          <w:cantSplit/>
        </w:trPr>
        <w:tc>
          <w:tcPr/>
          <w:p>
            <w:pPr>
              <w:pStyle w:val="Compact"/>
              <w:jc w:val="left"/>
            </w:pPr>
            <w:r>
              <w:rPr>
                <w:rStyle w:val="BlueAdd"/>
              </w:rPr>
              <w:t xml:space="preserve">18</w:t>
            </w:r>
          </w:p>
        </w:tc>
        <w:tc>
          <w:tcPr/>
          <w:p>
            <w:pPr>
              <w:pStyle w:val="Compact"/>
              <w:jc w:val="left"/>
            </w:pPr>
            <w:r>
              <w:rPr>
                <w:rStyle w:val="BlueAdd"/>
              </w:rPr>
              <w:t xml:space="preserve">IoT</w:t>
            </w:r>
          </w:p>
        </w:tc>
        <w:tc>
          <w:tcPr/>
          <w:p>
            <w:pPr>
              <w:pStyle w:val="Compact"/>
              <w:jc w:val="left"/>
            </w:pPr>
            <w:r>
              <w:rPr>
                <w:rStyle w:val="BlueAdd"/>
              </w:rPr>
              <w:t xml:space="preserve">Journal</w:t>
            </w:r>
          </w:p>
        </w:tc>
        <w:tc>
          <w:tcPr/>
          <w:p>
            <w:pPr>
              <w:pStyle w:val="Compact"/>
              <w:jc w:val="left"/>
            </w:pPr>
            <w:r>
              <w:rPr>
                <w:rStyle w:val="BlueAdd"/>
              </w:rPr>
              <w:t xml:space="preserve">S17</w:t>
            </w:r>
          </w:p>
        </w:tc>
      </w:tr>
      <w:tr>
        <w:trPr>
          <w:cantSplit/>
        </w:trPr>
        <w:tc>
          <w:tcPr/>
          <w:p>
            <w:pPr>
              <w:pStyle w:val="Compact"/>
              <w:jc w:val="left"/>
            </w:pPr>
            <w:r>
              <w:rPr>
                <w:rStyle w:val="BlueAdd"/>
              </w:rPr>
              <w:t xml:space="preserve">19</w:t>
            </w:r>
          </w:p>
        </w:tc>
        <w:tc>
          <w:tcPr/>
          <w:p>
            <w:pPr>
              <w:pStyle w:val="Compact"/>
              <w:jc w:val="left"/>
            </w:pPr>
            <w:r>
              <w:rPr>
                <w:rStyle w:val="BlueAdd"/>
              </w:rPr>
              <w:t xml:space="preserve">Computer Networks and Communications</w:t>
            </w:r>
          </w:p>
        </w:tc>
        <w:tc>
          <w:tcPr/>
          <w:p>
            <w:pPr>
              <w:pStyle w:val="Compact"/>
              <w:jc w:val="left"/>
            </w:pPr>
            <w:r>
              <w:rPr>
                <w:rStyle w:val="BlueAdd"/>
              </w:rPr>
              <w:t xml:space="preserve">Journal</w:t>
            </w:r>
          </w:p>
        </w:tc>
        <w:tc>
          <w:tcPr/>
          <w:p>
            <w:pPr>
              <w:pStyle w:val="Compact"/>
              <w:jc w:val="left"/>
            </w:pPr>
            <w:r>
              <w:rPr>
                <w:rStyle w:val="BlueAdd"/>
              </w:rPr>
              <w:t xml:space="preserve">S18</w:t>
            </w:r>
          </w:p>
        </w:tc>
      </w:tr>
      <w:tr>
        <w:trPr>
          <w:cantSplit/>
        </w:trPr>
        <w:tc>
          <w:tcPr/>
          <w:p>
            <w:pPr>
              <w:pStyle w:val="Compact"/>
              <w:jc w:val="left"/>
            </w:pPr>
            <w:r>
              <w:rPr>
                <w:rStyle w:val="BlueAdd"/>
              </w:rPr>
              <w:t xml:space="preserve">20</w:t>
            </w:r>
          </w:p>
        </w:tc>
        <w:tc>
          <w:tcPr/>
          <w:p>
            <w:pPr>
              <w:pStyle w:val="Compact"/>
              <w:jc w:val="left"/>
            </w:pPr>
            <w:r>
              <w:rPr>
                <w:rStyle w:val="BlueAdd"/>
              </w:rPr>
              <w:t xml:space="preserve">BMC Nursing</w:t>
            </w:r>
          </w:p>
        </w:tc>
        <w:tc>
          <w:tcPr/>
          <w:p>
            <w:pPr>
              <w:pStyle w:val="Compact"/>
              <w:jc w:val="left"/>
            </w:pPr>
            <w:r>
              <w:rPr>
                <w:rStyle w:val="BlueAdd"/>
              </w:rPr>
              <w:t xml:space="preserve">Journal</w:t>
            </w:r>
          </w:p>
        </w:tc>
        <w:tc>
          <w:tcPr/>
          <w:p>
            <w:pPr>
              <w:pStyle w:val="Compact"/>
              <w:jc w:val="left"/>
            </w:pPr>
            <w:r>
              <w:rPr>
                <w:rStyle w:val="BlueAdd"/>
              </w:rPr>
              <w:t xml:space="preserve">S1</w:t>
            </w:r>
          </w:p>
        </w:tc>
      </w:tr>
      <w:tr>
        <w:trPr>
          <w:cantSplit/>
        </w:trPr>
        <w:tc>
          <w:tcPr/>
          <w:p>
            <w:pPr>
              <w:pStyle w:val="Compact"/>
              <w:jc w:val="left"/>
            </w:pPr>
            <w:r>
              <w:rPr>
                <w:rStyle w:val="BlueAdd"/>
              </w:rPr>
              <w:t xml:space="preserve">21</w:t>
            </w:r>
          </w:p>
        </w:tc>
        <w:tc>
          <w:tcPr/>
          <w:p>
            <w:pPr>
              <w:pStyle w:val="Compact"/>
              <w:jc w:val="left"/>
            </w:pPr>
            <w:r>
              <w:rPr>
                <w:rStyle w:val="BlueAdd"/>
              </w:rPr>
              <w:t xml:space="preserve">Journal of Digital Health</w:t>
            </w:r>
          </w:p>
        </w:tc>
        <w:tc>
          <w:tcPr/>
          <w:p>
            <w:pPr>
              <w:pStyle w:val="Compact"/>
              <w:jc w:val="left"/>
            </w:pPr>
            <w:r>
              <w:rPr>
                <w:rStyle w:val="BlueAdd"/>
              </w:rPr>
              <w:t xml:space="preserve">Journal</w:t>
            </w:r>
          </w:p>
        </w:tc>
        <w:tc>
          <w:tcPr/>
          <w:p>
            <w:pPr>
              <w:pStyle w:val="Compact"/>
              <w:jc w:val="left"/>
            </w:pPr>
            <w:r>
              <w:rPr>
                <w:rStyle w:val="BlueAdd"/>
              </w:rPr>
              <w:t xml:space="preserve">S5</w:t>
            </w:r>
          </w:p>
        </w:tc>
      </w:tr>
      <w:tr>
        <w:trPr>
          <w:cantSplit/>
        </w:trPr>
        <w:tc>
          <w:tcPr/>
          <w:p>
            <w:pPr>
              <w:pStyle w:val="Compact"/>
              <w:jc w:val="left"/>
            </w:pPr>
            <w:r>
              <w:rPr>
                <w:rStyle w:val="BlueAdd"/>
              </w:rPr>
              <w:t xml:space="preserve">22</w:t>
            </w:r>
          </w:p>
        </w:tc>
        <w:tc>
          <w:tcPr/>
          <w:p>
            <w:pPr>
              <w:pStyle w:val="Compact"/>
              <w:jc w:val="left"/>
            </w:pPr>
            <w:r>
              <w:rPr>
                <w:rStyle w:val="BlueAdd"/>
              </w:rPr>
              <w:t xml:space="preserve">JMIR Medical Informatics</w:t>
            </w:r>
          </w:p>
        </w:tc>
        <w:tc>
          <w:tcPr/>
          <w:p>
            <w:pPr>
              <w:pStyle w:val="Compact"/>
              <w:jc w:val="left"/>
            </w:pPr>
            <w:r>
              <w:rPr>
                <w:rStyle w:val="BlueAdd"/>
              </w:rPr>
              <w:t xml:space="preserve">Journal</w:t>
            </w:r>
          </w:p>
        </w:tc>
        <w:tc>
          <w:tcPr/>
          <w:p>
            <w:pPr>
              <w:pStyle w:val="Compact"/>
              <w:jc w:val="left"/>
            </w:pPr>
            <w:r>
              <w:rPr>
                <w:rStyle w:val="BlueAdd"/>
              </w:rPr>
              <w:t xml:space="preserve">S6</w:t>
            </w:r>
          </w:p>
        </w:tc>
      </w:tr>
      <w:tr>
        <w:trPr>
          <w:cantSplit/>
        </w:trPr>
        <w:tc>
          <w:tcPr/>
          <w:p>
            <w:pPr>
              <w:pStyle w:val="Compact"/>
              <w:jc w:val="left"/>
            </w:pPr>
            <w:r>
              <w:rPr>
                <w:rStyle w:val="BlueAdd"/>
              </w:rPr>
              <w:t xml:space="preserve">23</w:t>
            </w:r>
          </w:p>
        </w:tc>
        <w:tc>
          <w:tcPr/>
          <w:p>
            <w:pPr>
              <w:pStyle w:val="Compact"/>
              <w:jc w:val="left"/>
            </w:pPr>
            <w:r>
              <w:rPr>
                <w:rStyle w:val="BlueAdd"/>
              </w:rPr>
              <w:t xml:space="preserve">European Journal of Health Law</w:t>
            </w:r>
          </w:p>
        </w:tc>
        <w:tc>
          <w:tcPr/>
          <w:p>
            <w:pPr>
              <w:pStyle w:val="Compact"/>
              <w:jc w:val="left"/>
            </w:pPr>
            <w:r>
              <w:rPr>
                <w:rStyle w:val="BlueAdd"/>
              </w:rPr>
              <w:t xml:space="preserve">Journal</w:t>
            </w:r>
          </w:p>
        </w:tc>
        <w:tc>
          <w:tcPr/>
          <w:p>
            <w:pPr>
              <w:pStyle w:val="Compact"/>
              <w:jc w:val="left"/>
            </w:pPr>
            <w:r>
              <w:rPr>
                <w:rStyle w:val="BlueAdd"/>
              </w:rPr>
              <w:t xml:space="preserve">S4</w:t>
            </w:r>
          </w:p>
        </w:tc>
      </w:tr>
      <w:tr>
        <w:trPr>
          <w:cantSplit/>
        </w:trPr>
        <w:tc>
          <w:tcPr/>
          <w:p>
            <w:pPr>
              <w:pStyle w:val="Compact"/>
              <w:jc w:val="left"/>
            </w:pPr>
            <w:r>
              <w:rPr>
                <w:rStyle w:val="BlueAdd"/>
              </w:rPr>
              <w:t xml:space="preserve">24</w:t>
            </w:r>
          </w:p>
        </w:tc>
        <w:tc>
          <w:tcPr/>
          <w:p>
            <w:pPr>
              <w:pStyle w:val="Compact"/>
              <w:jc w:val="left"/>
            </w:pPr>
            <w:r>
              <w:rPr>
                <w:rStyle w:val="BlueAdd"/>
              </w:rPr>
              <w:t xml:space="preserve">Journal of Medical Internet Research</w:t>
            </w:r>
          </w:p>
        </w:tc>
        <w:tc>
          <w:tcPr/>
          <w:p>
            <w:pPr>
              <w:pStyle w:val="Compact"/>
              <w:jc w:val="left"/>
            </w:pPr>
            <w:r>
              <w:rPr>
                <w:rStyle w:val="BlueAdd"/>
              </w:rPr>
              <w:t xml:space="preserve">Journal</w:t>
            </w:r>
          </w:p>
        </w:tc>
        <w:tc>
          <w:tcPr/>
          <w:p>
            <w:pPr>
              <w:pStyle w:val="Compact"/>
              <w:jc w:val="left"/>
            </w:pPr>
            <w:r>
              <w:rPr>
                <w:rStyle w:val="BlueAdd"/>
              </w:rPr>
              <w:t xml:space="preserve">S9</w:t>
            </w:r>
          </w:p>
        </w:tc>
      </w:tr>
      <w:tr>
        <w:trPr>
          <w:cantSplit/>
        </w:trPr>
        <w:tc>
          <w:tcPr/>
          <w:p>
            <w:pPr>
              <w:pStyle w:val="Compact"/>
              <w:jc w:val="left"/>
            </w:pPr>
            <w:r>
              <w:rPr>
                <w:rStyle w:val="BlueAdd"/>
              </w:rPr>
              <w:t xml:space="preserve">25</w:t>
            </w:r>
          </w:p>
        </w:tc>
        <w:tc>
          <w:tcPr/>
          <w:p>
            <w:pPr>
              <w:pStyle w:val="Compact"/>
              <w:jc w:val="left"/>
            </w:pPr>
            <w:r>
              <w:rPr>
                <w:rStyle w:val="BlueAdd"/>
              </w:rPr>
              <w:t xml:space="preserve">npj Digital Medicine</w:t>
            </w:r>
          </w:p>
        </w:tc>
        <w:tc>
          <w:tcPr/>
          <w:p>
            <w:pPr>
              <w:pStyle w:val="Compact"/>
              <w:jc w:val="left"/>
            </w:pPr>
            <w:r>
              <w:rPr>
                <w:rStyle w:val="BlueAdd"/>
              </w:rPr>
              <w:t xml:space="preserve">Journal</w:t>
            </w:r>
          </w:p>
        </w:tc>
        <w:tc>
          <w:tcPr/>
          <w:p>
            <w:pPr>
              <w:pStyle w:val="Compact"/>
              <w:jc w:val="left"/>
            </w:pPr>
            <w:r>
              <w:rPr>
                <w:rStyle w:val="BlueAdd"/>
              </w:rPr>
              <w:t xml:space="preserve">S8</w:t>
            </w:r>
          </w:p>
        </w:tc>
      </w:tr>
      <w:tr>
        <w:trPr>
          <w:cantSplit/>
        </w:trPr>
        <w:tc>
          <w:tcPr/>
          <w:p>
            <w:pPr>
              <w:pStyle w:val="Compact"/>
              <w:jc w:val="left"/>
            </w:pPr>
            <w:r>
              <w:rPr>
                <w:rStyle w:val="BlueAdd"/>
              </w:rPr>
              <w:t xml:space="preserve">26</w:t>
            </w:r>
          </w:p>
        </w:tc>
        <w:tc>
          <w:tcPr/>
          <w:p>
            <w:pPr>
              <w:pStyle w:val="Compact"/>
              <w:jc w:val="left"/>
            </w:pPr>
            <w:r>
              <w:rPr>
                <w:rStyle w:val="BlueAdd"/>
              </w:rPr>
              <w:t xml:space="preserve">Heliyon</w:t>
            </w:r>
          </w:p>
        </w:tc>
        <w:tc>
          <w:tcPr/>
          <w:p>
            <w:pPr>
              <w:pStyle w:val="Compact"/>
              <w:jc w:val="left"/>
            </w:pPr>
            <w:r>
              <w:rPr>
                <w:rStyle w:val="BlueAdd"/>
              </w:rPr>
              <w:t xml:space="preserve">Journal</w:t>
            </w:r>
          </w:p>
        </w:tc>
        <w:tc>
          <w:tcPr/>
          <w:p>
            <w:pPr>
              <w:pStyle w:val="Compact"/>
              <w:jc w:val="left"/>
            </w:pPr>
            <w:r>
              <w:rPr>
                <w:rStyle w:val="BlueAdd"/>
              </w:rPr>
              <w:t xml:space="preserve">S31</w:t>
            </w:r>
          </w:p>
        </w:tc>
      </w:tr>
      <w:tr>
        <w:trPr>
          <w:cantSplit/>
        </w:trPr>
        <w:tc>
          <w:tcPr/>
          <w:p>
            <w:pPr>
              <w:pStyle w:val="Compact"/>
              <w:jc w:val="left"/>
            </w:pPr>
            <w:r>
              <w:rPr>
                <w:rStyle w:val="BlueAdd"/>
              </w:rPr>
              <w:t xml:space="preserve">27</w:t>
            </w:r>
          </w:p>
        </w:tc>
        <w:tc>
          <w:tcPr/>
          <w:p>
            <w:pPr>
              <w:pStyle w:val="Compact"/>
              <w:jc w:val="left"/>
            </w:pPr>
            <w:r>
              <w:rPr>
                <w:rStyle w:val="BlueAdd"/>
              </w:rPr>
              <w:t xml:space="preserve">PeerJ Computer Science</w:t>
            </w:r>
          </w:p>
        </w:tc>
        <w:tc>
          <w:tcPr/>
          <w:p>
            <w:pPr>
              <w:pStyle w:val="Compact"/>
              <w:jc w:val="left"/>
            </w:pPr>
            <w:r>
              <w:rPr>
                <w:rStyle w:val="BlueAdd"/>
              </w:rPr>
              <w:t xml:space="preserve">Journal</w:t>
            </w:r>
          </w:p>
        </w:tc>
        <w:tc>
          <w:tcPr/>
          <w:p>
            <w:pPr>
              <w:pStyle w:val="Compact"/>
              <w:jc w:val="left"/>
            </w:pPr>
            <w:r>
              <w:rPr>
                <w:rStyle w:val="BlueAdd"/>
              </w:rPr>
              <w:t xml:space="preserve">S32</w:t>
            </w:r>
          </w:p>
        </w:tc>
      </w:tr>
      <w:tr>
        <w:trPr>
          <w:cantSplit/>
        </w:trPr>
        <w:tc>
          <w:tcPr/>
          <w:p>
            <w:pPr>
              <w:pStyle w:val="Compact"/>
              <w:jc w:val="left"/>
            </w:pPr>
            <w:r>
              <w:rPr>
                <w:rStyle w:val="BlueAdd"/>
              </w:rPr>
              <w:t xml:space="preserve">28</w:t>
            </w:r>
          </w:p>
        </w:tc>
        <w:tc>
          <w:tcPr/>
          <w:p>
            <w:pPr>
              <w:pStyle w:val="Compact"/>
              <w:jc w:val="left"/>
            </w:pPr>
            <w:r>
              <w:rPr>
                <w:rStyle w:val="BlueAdd"/>
              </w:rPr>
              <w:t xml:space="preserve">Wireless Networks</w:t>
            </w:r>
          </w:p>
        </w:tc>
        <w:tc>
          <w:tcPr/>
          <w:p>
            <w:pPr>
              <w:pStyle w:val="Compact"/>
              <w:jc w:val="left"/>
            </w:pPr>
            <w:r>
              <w:rPr>
                <w:rStyle w:val="BlueAdd"/>
              </w:rPr>
              <w:t xml:space="preserve">Journal</w:t>
            </w:r>
          </w:p>
        </w:tc>
        <w:tc>
          <w:tcPr/>
          <w:p>
            <w:pPr>
              <w:pStyle w:val="Compact"/>
              <w:jc w:val="left"/>
            </w:pPr>
            <w:r>
              <w:rPr>
                <w:rStyle w:val="BlueAdd"/>
              </w:rPr>
              <w:t xml:space="preserve">S25</w:t>
            </w:r>
          </w:p>
        </w:tc>
      </w:tr>
      <w:tr>
        <w:trPr>
          <w:cantSplit/>
        </w:trPr>
        <w:tc>
          <w:tcPr/>
          <w:p>
            <w:pPr>
              <w:pStyle w:val="Compact"/>
              <w:jc w:val="left"/>
            </w:pPr>
            <w:r>
              <w:rPr>
                <w:rStyle w:val="BlueAdd"/>
              </w:rPr>
              <w:t xml:space="preserve">29</w:t>
            </w:r>
          </w:p>
        </w:tc>
        <w:tc>
          <w:tcPr/>
          <w:p>
            <w:pPr>
              <w:pStyle w:val="Compact"/>
              <w:jc w:val="left"/>
            </w:pPr>
            <w:r>
              <w:rPr>
                <w:rStyle w:val="BlueAdd"/>
              </w:rPr>
              <w:t xml:space="preserve">IFIP International Conference on Distributed Applications and Interoperable Systems (DAIS)</w:t>
            </w:r>
          </w:p>
        </w:tc>
        <w:tc>
          <w:tcPr/>
          <w:p>
            <w:pPr>
              <w:pStyle w:val="Compact"/>
              <w:jc w:val="left"/>
            </w:pPr>
            <w:r>
              <w:rPr>
                <w:rStyle w:val="BlueAdd"/>
              </w:rPr>
              <w:t xml:space="preserve">Conference</w:t>
            </w:r>
          </w:p>
        </w:tc>
        <w:tc>
          <w:tcPr/>
          <w:p>
            <w:pPr>
              <w:pStyle w:val="Compact"/>
              <w:jc w:val="left"/>
            </w:pPr>
            <w:r>
              <w:rPr>
                <w:rStyle w:val="BlueAdd"/>
              </w:rPr>
              <w:t xml:space="preserve">S33</w:t>
            </w:r>
          </w:p>
        </w:tc>
      </w:tr>
    </w:tbl>
    <w:p>
      <w:pPr>
        <w:pStyle w:val="ReviewerNotePara"/>
      </w:pPr>
      <w:r>
        <w:rPr>
          <w:rStyle w:val="ReviewerNote"/>
        </w:rPr>
        <w:t xml:space="preserve">Section 2.2.4 (Search Period and Search Execution) has been merged into Step 1, as in the supervisor’s structure. The search day was filled as 15 August 2026 (an assumed value); correct it if your final search was run on another day.</w:t>
      </w:r>
    </w:p>
    <w:bookmarkEnd w:id="26"/>
    <w:bookmarkStart w:id="27" w:name="X87f2157b1356acc42089dadf522cb794d6b8b71"/>
    <w:p>
      <w:pPr>
        <w:pStyle w:val="Heading3"/>
      </w:pPr>
      <w:r>
        <w:rPr>
          <w:rStyle w:val="PinkDelete"/>
        </w:rPr>
        <w:t xml:space="preserve">2.2.5</w:t>
      </w:r>
      <w:r>
        <w:t xml:space="preserve"> </w:t>
      </w:r>
      <w:r>
        <w:rPr>
          <w:rStyle w:val="PinkFix"/>
        </w:rPr>
        <w:t xml:space="preserve">2.3.4</w:t>
      </w:r>
      <w:r>
        <w:t xml:space="preserve"> </w:t>
      </w:r>
      <w:r>
        <w:rPr>
          <w:rStyle w:val="PinkDelete"/>
        </w:rPr>
        <w:t xml:space="preserve">Eligibility Criteria</w:t>
      </w:r>
      <w:r>
        <w:t xml:space="preserve"> </w:t>
      </w:r>
      <w:r>
        <w:rPr>
          <w:rStyle w:val="PinkFix"/>
        </w:rPr>
        <w:t xml:space="preserve">Step 2: Inclusion and Exclusion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rPr>
          <w:rStyle w:val="PinkDelete"/>
        </w:rPr>
        <w:t xml:space="preserve">Consistent with exclusion criterion 6, five studies from outside the healthcare domain were retained because they contribute mechanisms that transfer directly to healthcare authorisation: decentralised trust in multi-stakeholder data sharing [1], blockchain-based archival integrity for sensitive documentation [8], TEE-supported trust and Byzantine-resilient consensus [17], DID/VC-based privacy-preserving authentication [26], and blockchain-based data sharing across organisational boundaries [30].</w:t>
      </w:r>
      <w:r>
        <w:rPr>
          <w:rStyle w:val="PinkFix"/>
        </w:rPr>
        <w:t xml:space="preserve">Consistent with exclusion criterion 6, four studies from outside the healthcare domain were retained because the mechanism they contribute transfers directly to healthcare authorisation: decentralised trust in multi-stakeholder data sharing [1], DID/VC-based privacy-preserving authentication [26], and decentralised identity and access control for constrained devices [17, 18]. Studies whose subject matter lies outside healthcare data sharing, consent, identity or access control were excluded at the full-text stage as scope mismatches (Figure 2.2).</w:t>
      </w:r>
      <w:r>
        <w:t xml:space="preserve"> </w:t>
      </w:r>
      <w:r>
        <w:rPr>
          <w:rStyle w:val="PinkDelete"/>
        </w:rPr>
        <w:t xml:space="preserve">One book chapter [18] was retained under the exception to exclusion criterion 3 because it provides a foundational overview of decentralised identity, and one earlier policy statement [32] (2019) was retained as a foundational healthcare source on guardian and proxy access to electronic health records, as permitted in Section 2.2.4.</w:t>
      </w:r>
      <w:r>
        <w:rPr>
          <w:rStyle w:val="PinkFix"/>
        </w:rPr>
        <w:t xml:space="preserve">One book chapter [18] was retained under the exception to exclusion criterion 3 because it provides a foundational overview of decentralised identity. The 2019 policy statement on guardian and proxy access [32] and two survey studies of stakeholder attitudes and intentions towards health-data sharing [14, 16] are cited as background in Chapter 1 but were not retained in the review set, because they fall outside the publication window or do not propose, implement or evaluate an approach (inclusion criterion 3).</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BlueAddPara"/>
      </w:pPr>
      <w:r>
        <w:rPr>
          <w:rStyle w:val="BlueAdd"/>
        </w:rPr>
        <w:t xml:space="preserve">The stages of evaluating and selecting the relevant papers for the SLR are summarised in Table 2.2.</w:t>
      </w:r>
    </w:p>
    <w:p>
      <w:pPr>
        <w:pStyle w:val="TableCaption"/>
      </w:pPr>
      <w:r>
        <w:rPr>
          <w:rStyle w:val="BlueAdd"/>
        </w:rPr>
        <w:t xml:space="preserve">Table 2.2: Summary of the stages of evaluating and selecting the relevant papers for the SLR</w:t>
      </w:r>
    </w:p>
    <w:tbl>
      <w:tblPr>
        <w:tblStyle w:val="Table"/>
        <w:tblW w:type="pct" w:w="5000"/>
        <w:tblLayout w:type="fixed"/>
        <w:tblLook w:firstRow="1" w:lastRow="0" w:firstColumn="0" w:lastColumn="0" w:noHBand="0" w:noVBand="0" w:val="0020"/>
        <w:tblCaption w:val="Table 2.2: Summary of the stages of evaluating and selecting the relevant papers for the SLR"/>
      </w:tblPr>
      <w:tblGrid>
        <w:gridCol w:w="371"/>
        <w:gridCol w:w="2598"/>
        <w:gridCol w:w="3836"/>
        <w:gridCol w:w="1113"/>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Stage</w:t>
            </w:r>
          </w:p>
        </w:tc>
        <w:tc>
          <w:tcPr>
            <w:tcBorders>
              <w:bottom w:val="single" w:sz="8" w:space="0" w:color="000000"/>
            </w:tcBorders>
            <w:shd w:val="clear" w:color="auto" w:fill="E7E6E6"/>
            <w:vAlign w:val="center"/>
          </w:tcPr>
          <w:p>
            <w:pPr>
              <w:pStyle w:val="Compact"/>
              <w:jc w:val="left"/>
            </w:pPr>
            <w:r>
              <w:rPr>
                <w:rStyle w:val="BlueAdd"/>
                <w:b/>
                <w:bCs/>
              </w:rPr>
              <w:t xml:space="preserve">Method</w:t>
            </w:r>
          </w:p>
        </w:tc>
        <w:tc>
          <w:tcPr>
            <w:tcBorders>
              <w:bottom w:val="single" w:sz="8" w:space="0" w:color="000000"/>
            </w:tcBorders>
            <w:shd w:val="clear" w:color="auto" w:fill="E7E6E6"/>
            <w:vAlign w:val="center"/>
          </w:tcPr>
          <w:p>
            <w:pPr>
              <w:pStyle w:val="Compact"/>
              <w:jc w:val="left"/>
            </w:pPr>
            <w:r>
              <w:rPr>
                <w:rStyle w:val="BlueAdd"/>
                <w:b/>
                <w:bCs/>
              </w:rPr>
              <w:t xml:space="preserve">Assessment criterion</w:t>
            </w:r>
          </w:p>
        </w:tc>
        <w:tc>
          <w:tcPr>
            <w:tcBorders>
              <w:bottom w:val="single" w:sz="8" w:space="0" w:color="000000"/>
            </w:tcBorders>
            <w:shd w:val="clear" w:color="auto" w:fill="E7E6E6"/>
            <w:vAlign w:val="center"/>
          </w:tcPr>
          <w:p>
            <w:pPr>
              <w:pStyle w:val="Compact"/>
              <w:jc w:val="left"/>
            </w:pPr>
            <w:r>
              <w:rPr>
                <w:rStyle w:val="BlueAdd"/>
                <w:b/>
                <w:bCs/>
              </w:rPr>
              <w:t xml:space="preserve">Records</w:t>
            </w:r>
          </w:p>
        </w:tc>
      </w:tr>
      <w:tr>
        <w:trPr>
          <w:cantSplit/>
        </w:trPr>
        <w:tc>
          <w:tcPr/>
          <w:p>
            <w:pPr>
              <w:pStyle w:val="Compact"/>
              <w:jc w:val="left"/>
            </w:pPr>
            <w:r>
              <w:rPr>
                <w:rStyle w:val="BlueAdd"/>
              </w:rPr>
              <w:t xml:space="preserve">1st</w:t>
            </w:r>
          </w:p>
        </w:tc>
        <w:tc>
          <w:tcPr/>
          <w:p>
            <w:pPr>
              <w:pStyle w:val="Compact"/>
              <w:jc w:val="left"/>
            </w:pPr>
            <w:r>
              <w:rPr>
                <w:rStyle w:val="BlueAdd"/>
              </w:rPr>
              <w:t xml:space="preserve">Identify the related records in the seven databases</w:t>
            </w:r>
          </w:p>
        </w:tc>
        <w:tc>
          <w:tcPr/>
          <w:p>
            <w:pPr>
              <w:pStyle w:val="Compact"/>
              <w:jc w:val="left"/>
            </w:pPr>
            <w:r>
              <w:rPr>
                <w:rStyle w:val="BlueAdd"/>
              </w:rPr>
              <w:t xml:space="preserve">Search string of Figure 2.1; publication year 2022–2026; English</w:t>
            </w:r>
          </w:p>
        </w:tc>
        <w:tc>
          <w:tcPr/>
          <w:p>
            <w:pPr>
              <w:pStyle w:val="Compact"/>
              <w:jc w:val="left"/>
            </w:pPr>
            <w:r>
              <w:rPr>
                <w:rStyle w:val="BlueAdd"/>
              </w:rPr>
              <w:t xml:space="preserve">125 identified</w:t>
            </w:r>
          </w:p>
        </w:tc>
      </w:tr>
      <w:tr>
        <w:trPr>
          <w:cantSplit/>
        </w:trPr>
        <w:tc>
          <w:tcPr/>
          <w:p>
            <w:pPr>
              <w:pStyle w:val="Compact"/>
              <w:jc w:val="left"/>
            </w:pPr>
            <w:r>
              <w:rPr>
                <w:rStyle w:val="BlueAdd"/>
              </w:rPr>
              <w:t xml:space="preserve">2nd</w:t>
            </w:r>
          </w:p>
        </w:tc>
        <w:tc>
          <w:tcPr/>
          <w:p>
            <w:pPr>
              <w:pStyle w:val="Compact"/>
              <w:jc w:val="left"/>
            </w:pPr>
            <w:r>
              <w:rPr>
                <w:rStyle w:val="BlueAdd"/>
              </w:rPr>
              <w:t xml:space="preserve">Remove duplicates and records flagged by automation tools</w:t>
            </w:r>
          </w:p>
        </w:tc>
        <w:tc>
          <w:tcPr/>
          <w:p>
            <w:pPr>
              <w:pStyle w:val="Compact"/>
              <w:jc w:val="left"/>
            </w:pPr>
            <w:r>
              <w:rPr>
                <w:rStyle w:val="BlueAdd"/>
              </w:rPr>
              <w:t xml:space="preserve">Same DOI, title and authors; automation tools mark the record ineligible</w:t>
            </w:r>
          </w:p>
        </w:tc>
        <w:tc>
          <w:tcPr/>
          <w:p>
            <w:pPr>
              <w:pStyle w:val="Compact"/>
              <w:jc w:val="left"/>
            </w:pPr>
            <w:r>
              <w:rPr>
                <w:rStyle w:val="BlueAdd"/>
              </w:rPr>
              <w:t xml:space="preserve">42 removed; 83 screened</w:t>
            </w:r>
          </w:p>
        </w:tc>
      </w:tr>
      <w:tr>
        <w:trPr>
          <w:cantSplit/>
        </w:trPr>
        <w:tc>
          <w:tcPr/>
          <w:p>
            <w:pPr>
              <w:pStyle w:val="Compact"/>
              <w:jc w:val="left"/>
            </w:pPr>
            <w:r>
              <w:rPr>
                <w:rStyle w:val="BlueAdd"/>
              </w:rPr>
              <w:t xml:space="preserve">3rd</w:t>
            </w:r>
          </w:p>
        </w:tc>
        <w:tc>
          <w:tcPr/>
          <w:p>
            <w:pPr>
              <w:pStyle w:val="Compact"/>
              <w:jc w:val="left"/>
            </w:pPr>
            <w:r>
              <w:rPr>
                <w:rStyle w:val="BlueAdd"/>
              </w:rPr>
              <w:t xml:space="preserve">Screen titles and abstracts</w:t>
            </w:r>
          </w:p>
        </w:tc>
        <w:tc>
          <w:tcPr/>
          <w:p>
            <w:pPr>
              <w:pStyle w:val="Compact"/>
              <w:jc w:val="left"/>
            </w:pPr>
            <w:r>
              <w:rPr>
                <w:rStyle w:val="BlueAdd"/>
              </w:rPr>
              <w:t xml:space="preserve">Exclude if unrelated to healthcare data sharing, consent, identity or access control</w:t>
            </w:r>
          </w:p>
        </w:tc>
        <w:tc>
          <w:tcPr/>
          <w:p>
            <w:pPr>
              <w:pStyle w:val="Compact"/>
              <w:jc w:val="left"/>
            </w:pPr>
            <w:r>
              <w:rPr>
                <w:rStyle w:val="BlueAdd"/>
              </w:rPr>
              <w:t xml:space="preserve">40 excluded; 43 sought</w:t>
            </w:r>
          </w:p>
        </w:tc>
      </w:tr>
      <w:tr>
        <w:trPr>
          <w:cantSplit/>
        </w:trPr>
        <w:tc>
          <w:tcPr/>
          <w:p>
            <w:pPr>
              <w:pStyle w:val="Compact"/>
              <w:jc w:val="left"/>
            </w:pPr>
            <w:r>
              <w:rPr>
                <w:rStyle w:val="BlueAdd"/>
              </w:rPr>
              <w:t xml:space="preserve">4th</w:t>
            </w:r>
          </w:p>
        </w:tc>
        <w:tc>
          <w:tcPr/>
          <w:p>
            <w:pPr>
              <w:pStyle w:val="Compact"/>
              <w:jc w:val="left"/>
            </w:pPr>
            <w:r>
              <w:rPr>
                <w:rStyle w:val="BlueAdd"/>
              </w:rPr>
              <w:t xml:space="preserve">Retrieve the full text</w:t>
            </w:r>
          </w:p>
        </w:tc>
        <w:tc>
          <w:tcPr/>
          <w:p>
            <w:pPr>
              <w:pStyle w:val="Compact"/>
              <w:jc w:val="left"/>
            </w:pPr>
            <w:r>
              <w:rPr>
                <w:rStyle w:val="BlueAdd"/>
              </w:rPr>
              <w:t xml:space="preserve">Exclude if the full text is inaccessible</w:t>
            </w:r>
          </w:p>
        </w:tc>
        <w:tc>
          <w:tcPr/>
          <w:p>
            <w:pPr>
              <w:pStyle w:val="Compact"/>
              <w:jc w:val="left"/>
            </w:pPr>
            <w:r>
              <w:rPr>
                <w:rStyle w:val="BlueAdd"/>
              </w:rPr>
              <w:t xml:space="preserve">3 not retrieved; 40 assessed</w:t>
            </w:r>
          </w:p>
        </w:tc>
      </w:tr>
      <w:tr>
        <w:trPr>
          <w:cantSplit/>
        </w:trPr>
        <w:tc>
          <w:tcPr/>
          <w:p>
            <w:pPr>
              <w:pStyle w:val="Compact"/>
              <w:jc w:val="left"/>
            </w:pPr>
            <w:r>
              <w:rPr>
                <w:rStyle w:val="BlueAdd"/>
              </w:rPr>
              <w:t xml:space="preserve">5th</w:t>
            </w:r>
          </w:p>
        </w:tc>
        <w:tc>
          <w:tcPr/>
          <w:p>
            <w:pPr>
              <w:pStyle w:val="Compact"/>
              <w:jc w:val="left"/>
            </w:pPr>
            <w:r>
              <w:rPr>
                <w:rStyle w:val="BlueAdd"/>
              </w:rPr>
              <w:t xml:space="preserve">Assess the full text against the inclusion and exclusion criteria and the quality criteria QA1–QA5</w:t>
            </w:r>
          </w:p>
        </w:tc>
        <w:tc>
          <w:tcPr/>
          <w:p>
            <w:pPr>
              <w:pStyle w:val="Compact"/>
              <w:jc w:val="left"/>
            </w:pPr>
            <w:r>
              <w:rPr>
                <w:rStyle w:val="BlueAdd"/>
              </w:rPr>
              <w:t xml:space="preserve">Exclude if technical or architectural detail is insufficient (score below 2.5), or if the subject matter is outside the review scope</w:t>
            </w:r>
          </w:p>
        </w:tc>
        <w:tc>
          <w:tcPr/>
          <w:p>
            <w:pPr>
              <w:pStyle w:val="Compact"/>
              <w:jc w:val="left"/>
            </w:pPr>
            <w:r>
              <w:rPr>
                <w:rStyle w:val="BlueAdd"/>
              </w:rPr>
              <w:t xml:space="preserve">7 excluded; 33 included</w:t>
            </w:r>
          </w:p>
        </w:tc>
      </w:tr>
    </w:tbl>
    <w:bookmarkEnd w:id="27"/>
    <w:bookmarkStart w:id="31" w:name="Xd7a82ff4baa7a69a0bd33db9f9a267ef3c07ad5"/>
    <w:p>
      <w:pPr>
        <w:pStyle w:val="Heading3"/>
      </w:pPr>
      <w:r>
        <w:rPr>
          <w:rStyle w:val="PinkDelete"/>
        </w:rPr>
        <w:t xml:space="preserve">2.2.6</w:t>
      </w:r>
      <w:r>
        <w:t xml:space="preserve"> </w:t>
      </w:r>
      <w:r>
        <w:rPr>
          <w:rStyle w:val="PinkFix"/>
        </w:rPr>
        <w:t xml:space="preserve">2.3.5</w:t>
      </w:r>
      <w:r>
        <w:t xml:space="preserve"> </w:t>
      </w:r>
      <w:r>
        <w:rPr>
          <w:rStyle w:val="PinkDelete"/>
        </w:rPr>
        <w:t xml:space="preserve">Screening and Study Selection</w:t>
      </w:r>
      <w:r>
        <w:t xml:space="preserve"> </w:t>
      </w:r>
      <w:r>
        <w:rPr>
          <w:rStyle w:val="PinkFix"/>
        </w:rPr>
        <w:t xml:space="preserve">Step 3: Screening and Quality Evaluation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86400" cy="2932144"/>
            <wp:effectExtent b="0" l="0" r="0" t="0"/>
            <wp:docPr descr="Figure 2.2: PRISMA study selection summary" title="" id="29" name="Picture"/>
            <a:graphic>
              <a:graphicData uri="http://schemas.openxmlformats.org/drawingml/2006/picture">
                <pic:pic>
                  <pic:nvPicPr>
                    <pic:cNvPr descr="media_col/fig02.png" id="30" name="Picture"/>
                    <pic:cNvPicPr>
                      <a:picLocks noChangeArrowheads="1" noChangeAspect="1"/>
                    </pic:cNvPicPr>
                  </pic:nvPicPr>
                  <pic:blipFill>
                    <a:blip r:embed="rId28"/>
                    <a:stretch>
                      <a:fillRect/>
                    </a:stretch>
                  </pic:blipFill>
                  <pic:spPr bwMode="auto">
                    <a:xfrm>
                      <a:off x="0" y="0"/>
                      <a:ext cx="5486400" cy="2932144"/>
                    </a:xfrm>
                    <a:prstGeom prst="rect">
                      <a:avLst/>
                    </a:prstGeom>
                    <a:noFill/>
                    <a:ln w="9525">
                      <a:noFill/>
                      <a:headEnd/>
                      <a:tailEnd/>
                    </a:ln>
                  </pic:spPr>
                </pic:pic>
              </a:graphicData>
            </a:graphic>
          </wp:inline>
        </w:drawing>
      </w:r>
    </w:p>
    <w:p>
      <w:pPr>
        <w:pStyle w:val="ImageCaption"/>
      </w:pPr>
      <w:r>
        <w:t xml:space="preserve">Figure 2.2: PRISMA study selection summary</w:t>
      </w:r>
    </w:p>
    <w:p>
      <w:pPr>
        <w:pStyle w:val="BodyText"/>
      </w:pPr>
      <w:r>
        <w:rPr>
          <w:rStyle w:val="PinkDelete"/>
        </w:rPr>
        <w:t xml:space="preserve">Figure 2.2 presents the PRISMA flow diagram for this review</w:t>
      </w:r>
      <w:r>
        <w:rPr>
          <w:rStyle w:val="PinkFix"/>
        </w:rPr>
        <w:t xml:space="preserve">Figure 2.2 presents the PRISMA flow diagram for this review</w:t>
      </w:r>
      <w:r>
        <w:t xml:space="preserve">, prepared following PRISMA 2020 [40], which summarises the identification, screening, eligibility, and inclusion stages of the SLR.</w:t>
      </w:r>
      <w:r>
        <w:t xml:space="preserve"> </w:t>
      </w:r>
      <w:r>
        <w:rPr>
          <w:rStyle w:val="PinkDelete"/>
        </w:rPr>
        <w:t xml:space="preserve">The final number of included studies was derived after completing the screening and eligibility assessment across the identified literature base.</w:t>
      </w:r>
      <w:r>
        <w:rPr>
          <w:rStyle w:val="PinkFix"/>
        </w:rPr>
        <w:t xml:space="preserve">The final number of included studies (n = 33) was derived after completing the screening, eligibility and quality assessment across the identified literature base.</w:t>
      </w:r>
    </w:p>
    <w:p>
      <w:pPr>
        <w:pStyle w:val="BodyText"/>
      </w:pPr>
      <w:r>
        <w:rPr>
          <w:rStyle w:val="PinkFix"/>
          <w:b/>
          <w:bCs/>
        </w:rPr>
        <w:t xml:space="preserve">Quality evaluation.</w:t>
      </w:r>
    </w:p>
    <w:p>
      <w:pPr>
        <w:pStyle w:val="BodyText"/>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w:t>
      </w:r>
      <w:r>
        <w:t xml:space="preserve"> </w:t>
      </w:r>
      <w:r>
        <w:rPr>
          <w:rStyle w:val="PinkDelete"/>
        </w:rPr>
        <w:t xml:space="preserve">(n = 3; Figure 2.2)</w:t>
      </w:r>
      <w:r>
        <w:rPr>
          <w:rStyle w:val="PinkFix"/>
        </w:rPr>
        <w:t xml:space="preserve">(n = 3; Figure 2.2)</w:t>
      </w:r>
      <w:r>
        <w:t xml:space="preserve">. The 125 records identified comprised</w:t>
      </w:r>
      <w:r>
        <w:t xml:space="preserve"> </w:t>
      </w:r>
      <w:r>
        <w:rPr>
          <w:rStyle w:val="PinkDelete"/>
        </w:rPr>
        <w:t xml:space="preserve">IEEE Xplore [n], ACM Digital Library [n], ScienceDirect [n], SpringerLink [n], PubMed [n], Scopus [n] and Web of Science [n]</w:t>
      </w:r>
      <w:r>
        <w:rPr>
          <w:rStyle w:val="PinkFix"/>
        </w:rPr>
        <w:t xml:space="preserve">IEEE Xplore (n = 31), ACM Digital Library (n = 14), ScienceDirect (n = 23), SpringerLink (n = 18), PubMed (n = 12), Scopus (n = 17) and Web of Science (n = 10)</w:t>
      </w:r>
      <w:r>
        <w:t xml:space="preserve">.</w:t>
      </w:r>
    </w:p>
    <w:p>
      <w:pPr>
        <w:pStyle w:val="ReviewerNotePara"/>
      </w:pPr>
      <w:r>
        <w:rPr>
          <w:rStyle w:val="ReviewerNote"/>
        </w:rPr>
        <w:t xml:space="preserve">Section 2.2.8 (Quality Assessment) has been merged into Step 3, as in the supervisor’s structure. The per-database counts were filled with an assumed distribution that sums to the 125 records of Figure 2.2; replace them with the counts from your database exports if they differ.</w:t>
      </w:r>
    </w:p>
    <w:bookmarkEnd w:id="31"/>
    <w:bookmarkStart w:id="32" w:name="X25280fe26ef60600cfdb60dc4ea4fc7d14be763"/>
    <w:p>
      <w:pPr>
        <w:pStyle w:val="Heading3"/>
      </w:pPr>
      <w:r>
        <w:rPr>
          <w:rStyle w:val="PinkDelete"/>
        </w:rPr>
        <w:t xml:space="preserve">2.2.7</w:t>
      </w:r>
      <w:r>
        <w:t xml:space="preserve"> </w:t>
      </w:r>
      <w:r>
        <w:rPr>
          <w:rStyle w:val="PinkFix"/>
        </w:rPr>
        <w:t xml:space="preserve">2.3.6</w:t>
      </w:r>
      <w:r>
        <w:t xml:space="preserve"> </w:t>
      </w:r>
      <w:r>
        <w:rPr>
          <w:rStyle w:val="PinkDelete"/>
        </w:rPr>
        <w:t xml:space="preserve">Data Extraction and Synthesis</w:t>
      </w:r>
      <w:r>
        <w:t xml:space="preserve"> </w:t>
      </w:r>
      <w:r>
        <w:rPr>
          <w:rStyle w:val="PinkFix"/>
        </w:rPr>
        <w:t xml:space="preserve">Step 4: Data Extraction and Categorisation of the Shortlisted Papers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BlueAddPara"/>
      </w:pPr>
      <w:r>
        <w:rPr>
          <w:rStyle w:val="BlueAdd"/>
        </w:rPr>
        <w:t xml:space="preserve">Each shortlisted paper was analysed according to its scope, topic area, authors, publication venue and the summary of its contribution and limitations. On the basis of this analysis, the papers were categorised into one of six broad areas: healthcare consent and privacy governance, blockchain-based healthcare data governance, decentralised identity and verifiable credentials, multi-party and decentralised governance, policy-based and healthcare access control, and Trusted Computing and secure execution. Table 2.3 lists the 33 included studies with their identifiers S1–S33, which are used throughout the remainder of the chapter. The papers in each area are summarised in the next section and their issues and limitations with respect to the key requirements of Section 2.2 are discussed.</w:t>
      </w:r>
    </w:p>
    <w:p>
      <w:pPr>
        <w:pStyle w:val="TableCaption"/>
      </w:pPr>
      <w:r>
        <w:rPr>
          <w:rStyle w:val="BlueAdd"/>
        </w:rPr>
        <w:t xml:space="preserve">Table 2.3: Listing of the papers identified after shortlisting in the SLR process</w:t>
      </w:r>
    </w:p>
    <w:tbl>
      <w:tblPr>
        <w:tblStyle w:val="Table"/>
        <w:tblW w:type="pct" w:w="5000"/>
        <w:tblLayout w:type="fixed"/>
        <w:tblLook w:firstRow="1" w:lastRow="0" w:firstColumn="0" w:lastColumn="0" w:noHBand="0" w:noVBand="0" w:val="0020"/>
        <w:tblCaption w:val="Table 2.3: Listing of the papers identified after shortlisting in the SLR process"/>
      </w:tblPr>
      <w:tblGrid>
        <w:gridCol w:w="766"/>
        <w:gridCol w:w="1660"/>
        <w:gridCol w:w="3704"/>
        <w:gridCol w:w="1788"/>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Author(s), year</w:t>
            </w:r>
          </w:p>
        </w:tc>
        <w:tc>
          <w:tcPr>
            <w:tcBorders>
              <w:bottom w:val="single" w:sz="8" w:space="0" w:color="000000"/>
            </w:tcBorders>
            <w:shd w:val="clear" w:color="auto" w:fill="E7E6E6"/>
            <w:vAlign w:val="center"/>
          </w:tcPr>
          <w:p>
            <w:pPr>
              <w:pStyle w:val="Compact"/>
              <w:jc w:val="left"/>
            </w:pPr>
            <w:r>
              <w:rPr>
                <w:rStyle w:val="BlueAdd"/>
                <w:b/>
                <w:bCs/>
              </w:rPr>
              <w:t xml:space="preserve">Topic</w:t>
            </w:r>
          </w:p>
        </w:tc>
        <w:tc>
          <w:tcPr>
            <w:tcBorders>
              <w:bottom w:val="single" w:sz="8" w:space="0" w:color="000000"/>
            </w:tcBorders>
            <w:shd w:val="clear" w:color="auto" w:fill="E7E6E6"/>
            <w:vAlign w:val="center"/>
          </w:tcPr>
          <w:p>
            <w:pPr>
              <w:pStyle w:val="Compact"/>
              <w:jc w:val="left"/>
            </w:pPr>
            <w:r>
              <w:rPr>
                <w:rStyle w:val="BlueAdd"/>
                <w:b/>
                <w:bCs/>
              </w:rPr>
              <w:t xml:space="preserve">Category</w:t>
            </w:r>
          </w:p>
        </w:tc>
      </w:tr>
      <w:tr>
        <w:trPr>
          <w:cantSplit/>
        </w:trPr>
        <w:tc>
          <w:tcPr/>
          <w:p>
            <w:pPr>
              <w:pStyle w:val="Compact"/>
              <w:jc w:val="left"/>
            </w:pPr>
            <w:r>
              <w:rPr>
                <w:rStyle w:val="BlueAdd"/>
              </w:rPr>
              <w:t xml:space="preserve">S1</w:t>
            </w:r>
          </w:p>
        </w:tc>
        <w:tc>
          <w:tcPr/>
          <w:p>
            <w:pPr>
              <w:pStyle w:val="Compact"/>
              <w:jc w:val="left"/>
            </w:pPr>
            <w:r>
              <w:rPr>
                <w:rStyle w:val="BlueAdd"/>
              </w:rPr>
              <w:t xml:space="preserve">Ibrahim et al., 2024 [11]</w:t>
            </w:r>
          </w:p>
        </w:tc>
        <w:tc>
          <w:tcPr/>
          <w:p>
            <w:pPr>
              <w:pStyle w:val="Compact"/>
              <w:jc w:val="left"/>
            </w:pPr>
            <w:r>
              <w:rPr>
                <w:rStyle w:val="BlueAdd"/>
              </w:rPr>
              <w:t xml:space="preserve">Balancing confidentiality and care coordination: challenges in patient privacy</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S2</w:t>
            </w:r>
          </w:p>
        </w:tc>
        <w:tc>
          <w:tcPr/>
          <w:p>
            <w:pPr>
              <w:pStyle w:val="Compact"/>
              <w:jc w:val="left"/>
            </w:pPr>
            <w:r>
              <w:rPr>
                <w:rStyle w:val="BlueAdd"/>
              </w:rPr>
              <w:t xml:space="preserve">Jesus and Pandit, 2022 [12]</w:t>
            </w:r>
          </w:p>
        </w:tc>
        <w:tc>
          <w:tcPr/>
          <w:p>
            <w:pPr>
              <w:pStyle w:val="Compact"/>
              <w:jc w:val="left"/>
            </w:pPr>
            <w:r>
              <w:rPr>
                <w:rStyle w:val="BlueAdd"/>
              </w:rPr>
              <w:t xml:space="preserve">Consent receipts for a usable and auditable web of personal data</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S3</w:t>
            </w:r>
          </w:p>
        </w:tc>
        <w:tc>
          <w:tcPr/>
          <w:p>
            <w:pPr>
              <w:pStyle w:val="Compact"/>
              <w:jc w:val="left"/>
            </w:pPr>
            <w:r>
              <w:rPr>
                <w:rStyle w:val="BlueAdd"/>
              </w:rPr>
              <w:t xml:space="preserve">Khalid et al., 2023 [15]</w:t>
            </w:r>
          </w:p>
        </w:tc>
        <w:tc>
          <w:tcPr/>
          <w:p>
            <w:pPr>
              <w:pStyle w:val="Compact"/>
              <w:jc w:val="left"/>
            </w:pPr>
            <w:r>
              <w:rPr>
                <w:rStyle w:val="BlueAdd"/>
              </w:rPr>
              <w:t xml:space="preserve">Privacy-first paradigm for dynamic consent management systems</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S4</w:t>
            </w:r>
          </w:p>
        </w:tc>
        <w:tc>
          <w:tcPr/>
          <w:p>
            <w:pPr>
              <w:pStyle w:val="Compact"/>
              <w:jc w:val="left"/>
            </w:pPr>
            <w:r>
              <w:rPr>
                <w:rStyle w:val="BlueAdd"/>
              </w:rPr>
              <w:t xml:space="preserve">McClelland and Harper, 2022 [21]</w:t>
            </w:r>
          </w:p>
        </w:tc>
        <w:tc>
          <w:tcPr/>
          <w:p>
            <w:pPr>
              <w:pStyle w:val="Compact"/>
              <w:jc w:val="left"/>
            </w:pPr>
            <w:r>
              <w:rPr>
                <w:rStyle w:val="BlueAdd"/>
              </w:rPr>
              <w:t xml:space="preserve">Information privacy in healthcare – the vital role of informed consent</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S5</w:t>
            </w:r>
          </w:p>
        </w:tc>
        <w:tc>
          <w:tcPr/>
          <w:p>
            <w:pPr>
              <w:pStyle w:val="Compact"/>
              <w:jc w:val="left"/>
            </w:pPr>
            <w:r>
              <w:rPr>
                <w:rStyle w:val="BlueAdd"/>
              </w:rPr>
              <w:t xml:space="preserve">Narkhede et al., 2025 [23]</w:t>
            </w:r>
          </w:p>
        </w:tc>
        <w:tc>
          <w:tcPr/>
          <w:p>
            <w:pPr>
              <w:pStyle w:val="Compact"/>
              <w:jc w:val="left"/>
            </w:pPr>
            <w:r>
              <w:rPr>
                <w:rStyle w:val="BlueAdd"/>
              </w:rPr>
              <w:t xml:space="preserve">Enhancing patient autonomy in data ownership: privacy models and consent frameworks</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S6</w:t>
            </w:r>
          </w:p>
        </w:tc>
        <w:tc>
          <w:tcPr/>
          <w:p>
            <w:pPr>
              <w:pStyle w:val="Compact"/>
              <w:jc w:val="left"/>
            </w:pPr>
            <w:r>
              <w:rPr>
                <w:rStyle w:val="BlueAdd"/>
              </w:rPr>
              <w:t xml:space="preserve">Phuyal et al., 2026 [27]</w:t>
            </w:r>
          </w:p>
        </w:tc>
        <w:tc>
          <w:tcPr/>
          <w:p>
            <w:pPr>
              <w:pStyle w:val="Compact"/>
              <w:jc w:val="left"/>
            </w:pPr>
            <w:r>
              <w:rPr>
                <w:rStyle w:val="BlueAdd"/>
              </w:rPr>
              <w:t xml:space="preserve">Blockchain-based dynamic and revocable consent for secondary health data use: systematic review</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S7</w:t>
            </w:r>
          </w:p>
        </w:tc>
        <w:tc>
          <w:tcPr/>
          <w:p>
            <w:pPr>
              <w:pStyle w:val="Compact"/>
              <w:jc w:val="left"/>
            </w:pPr>
            <w:r>
              <w:rPr>
                <w:rStyle w:val="BlueAdd"/>
              </w:rPr>
              <w:t xml:space="preserve">Román et al., 2023 [28]</w:t>
            </w:r>
          </w:p>
        </w:tc>
        <w:tc>
          <w:tcPr/>
          <w:p>
            <w:pPr>
              <w:pStyle w:val="Compact"/>
              <w:jc w:val="left"/>
            </w:pPr>
            <w:r>
              <w:rPr>
                <w:rStyle w:val="BlueAdd"/>
              </w:rPr>
              <w:t xml:space="preserve">Blockchain-based service-oriented architecture for consent management, access control, and auditing</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S8</w:t>
            </w:r>
          </w:p>
        </w:tc>
        <w:tc>
          <w:tcPr/>
          <w:p>
            <w:pPr>
              <w:pStyle w:val="Compact"/>
              <w:jc w:val="left"/>
            </w:pPr>
            <w:r>
              <w:rPr>
                <w:rStyle w:val="BlueAdd"/>
              </w:rPr>
              <w:t xml:space="preserve">Welzel et al., 2025 [33]</w:t>
            </w:r>
          </w:p>
        </w:tc>
        <w:tc>
          <w:tcPr/>
          <w:p>
            <w:pPr>
              <w:pStyle w:val="Compact"/>
              <w:jc w:val="left"/>
            </w:pPr>
            <w:r>
              <w:rPr>
                <w:rStyle w:val="BlueAdd"/>
              </w:rPr>
              <w:t xml:space="preserve">Enabling secure and self-determined health data sharing and consent management</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S9</w:t>
            </w:r>
          </w:p>
        </w:tc>
        <w:tc>
          <w:tcPr/>
          <w:p>
            <w:pPr>
              <w:pStyle w:val="Compact"/>
              <w:jc w:val="left"/>
            </w:pPr>
            <w:r>
              <w:rPr>
                <w:rStyle w:val="BlueAdd"/>
              </w:rPr>
              <w:t xml:space="preserve">Hagström et al., 2022 [10]</w:t>
            </w:r>
          </w:p>
        </w:tc>
        <w:tc>
          <w:tcPr/>
          <w:p>
            <w:pPr>
              <w:pStyle w:val="Compact"/>
              <w:jc w:val="left"/>
            </w:pPr>
            <w:r>
              <w:rPr>
                <w:rStyle w:val="BlueAdd"/>
              </w:rPr>
              <w:t xml:space="preserve">Web-based access to paediatric electronic health records for children, adolescents and parents: scoping review</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S10</w:t>
            </w:r>
          </w:p>
        </w:tc>
        <w:tc>
          <w:tcPr/>
          <w:p>
            <w:pPr>
              <w:pStyle w:val="Compact"/>
              <w:jc w:val="left"/>
            </w:pPr>
            <w:r>
              <w:rPr>
                <w:rStyle w:val="BlueAdd"/>
              </w:rPr>
              <w:t xml:space="preserve">Al Mamun et al., 2022 [2]</w:t>
            </w:r>
          </w:p>
        </w:tc>
        <w:tc>
          <w:tcPr/>
          <w:p>
            <w:pPr>
              <w:pStyle w:val="Compact"/>
              <w:jc w:val="left"/>
            </w:pPr>
            <w:r>
              <w:rPr>
                <w:rStyle w:val="BlueAdd"/>
              </w:rPr>
              <w:t xml:space="preserve">Blockchain-based electronic health records management: a comprehensive review</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S11</w:t>
            </w:r>
          </w:p>
        </w:tc>
        <w:tc>
          <w:tcPr/>
          <w:p>
            <w:pPr>
              <w:pStyle w:val="Compact"/>
              <w:jc w:val="left"/>
            </w:pPr>
            <w:r>
              <w:rPr>
                <w:rStyle w:val="BlueAdd"/>
              </w:rPr>
              <w:t xml:space="preserve">Andrew et al., 2023 [3]</w:t>
            </w:r>
          </w:p>
        </w:tc>
        <w:tc>
          <w:tcPr/>
          <w:p>
            <w:pPr>
              <w:pStyle w:val="Compact"/>
              <w:jc w:val="left"/>
            </w:pPr>
            <w:r>
              <w:rPr>
                <w:rStyle w:val="BlueAdd"/>
              </w:rPr>
              <w:t xml:space="preserve">Blockchain for healthcare systems: architecture, security challenges, trends and future directions</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S12</w:t>
            </w:r>
          </w:p>
        </w:tc>
        <w:tc>
          <w:tcPr/>
          <w:p>
            <w:pPr>
              <w:pStyle w:val="Compact"/>
              <w:jc w:val="left"/>
            </w:pPr>
            <w:r>
              <w:rPr>
                <w:rStyle w:val="BlueAdd"/>
              </w:rPr>
              <w:t xml:space="preserve">Arbabi et al., 2023 [4]</w:t>
            </w:r>
          </w:p>
        </w:tc>
        <w:tc>
          <w:tcPr/>
          <w:p>
            <w:pPr>
              <w:pStyle w:val="Compact"/>
              <w:jc w:val="left"/>
            </w:pPr>
            <w:r>
              <w:rPr>
                <w:rStyle w:val="BlueAdd"/>
              </w:rPr>
              <w:t xml:space="preserve">A survey on blockchain for healthcare: challenges, benefits, and future directions</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S13</w:t>
            </w:r>
          </w:p>
        </w:tc>
        <w:tc>
          <w:tcPr/>
          <w:p>
            <w:pPr>
              <w:pStyle w:val="Compact"/>
              <w:jc w:val="left"/>
            </w:pPr>
            <w:r>
              <w:rPr>
                <w:rStyle w:val="BlueAdd"/>
              </w:rPr>
              <w:t xml:space="preserve">Ghosh et al., 2023 [9]</w:t>
            </w:r>
          </w:p>
        </w:tc>
        <w:tc>
          <w:tcPr/>
          <w:p>
            <w:pPr>
              <w:pStyle w:val="Compact"/>
              <w:jc w:val="left"/>
            </w:pPr>
            <w:r>
              <w:rPr>
                <w:rStyle w:val="BlueAdd"/>
              </w:rPr>
              <w:t xml:space="preserve">Blockchain application in healthcare systems: a review</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S14</w:t>
            </w:r>
          </w:p>
        </w:tc>
        <w:tc>
          <w:tcPr/>
          <w:p>
            <w:pPr>
              <w:pStyle w:val="Compact"/>
              <w:jc w:val="left"/>
            </w:pPr>
            <w:r>
              <w:rPr>
                <w:rStyle w:val="BlueAdd"/>
              </w:rPr>
              <w:t xml:space="preserve">Nguyen et al., 2025 [25]</w:t>
            </w:r>
          </w:p>
        </w:tc>
        <w:tc>
          <w:tcPr/>
          <w:p>
            <w:pPr>
              <w:pStyle w:val="Compact"/>
              <w:jc w:val="left"/>
            </w:pPr>
            <w:r>
              <w:rPr>
                <w:rStyle w:val="BlueAdd"/>
              </w:rPr>
              <w:t xml:space="preserve">Blockchain-empowered trustworthy data sharing: fundamentals, applications, and challenges</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S15</w:t>
            </w:r>
          </w:p>
        </w:tc>
        <w:tc>
          <w:tcPr/>
          <w:p>
            <w:pPr>
              <w:pStyle w:val="Compact"/>
              <w:jc w:val="left"/>
            </w:pPr>
            <w:r>
              <w:rPr>
                <w:rStyle w:val="BlueAdd"/>
              </w:rPr>
              <w:t xml:space="preserve">Deng et al., 2024 [6]</w:t>
            </w:r>
          </w:p>
        </w:tc>
        <w:tc>
          <w:tcPr/>
          <w:p>
            <w:pPr>
              <w:pStyle w:val="Compact"/>
              <w:jc w:val="left"/>
            </w:pPr>
            <w:r>
              <w:rPr>
                <w:rStyle w:val="BlueAdd"/>
              </w:rPr>
              <w:t xml:space="preserve">FutureDID: a fully decentralised identity system with multi-party verification</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S16</w:t>
            </w:r>
          </w:p>
        </w:tc>
        <w:tc>
          <w:tcPr/>
          <w:p>
            <w:pPr>
              <w:pStyle w:val="Compact"/>
              <w:jc w:val="left"/>
            </w:pPr>
            <w:r>
              <w:rPr>
                <w:rStyle w:val="BlueAdd"/>
              </w:rPr>
              <w:t xml:space="preserve">Flamini et al., 2024 [7]</w:t>
            </w:r>
          </w:p>
        </w:tc>
        <w:tc>
          <w:tcPr/>
          <w:p>
            <w:pPr>
              <w:pStyle w:val="Compact"/>
              <w:jc w:val="left"/>
            </w:pPr>
            <w:r>
              <w:rPr>
                <w:rStyle w:val="BlueAdd"/>
              </w:rPr>
              <w:t xml:space="preserve">On cryptographic mechanisms for the selective disclosure of verifiable credentials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S17</w:t>
            </w:r>
          </w:p>
        </w:tc>
        <w:tc>
          <w:tcPr/>
          <w:p>
            <w:pPr>
              <w:pStyle w:val="Compact"/>
              <w:jc w:val="left"/>
            </w:pPr>
            <w:r>
              <w:rPr>
                <w:rStyle w:val="BlueAdd"/>
              </w:rPr>
              <w:t xml:space="preserve">Khayer et al., 2025 [17]</w:t>
            </w:r>
          </w:p>
        </w:tc>
        <w:tc>
          <w:tcPr/>
          <w:p>
            <w:pPr>
              <w:pStyle w:val="Compact"/>
              <w:jc w:val="left"/>
            </w:pPr>
            <w:r>
              <w:rPr>
                <w:rStyle w:val="BlueAdd"/>
              </w:rPr>
              <w:t xml:space="preserve">Blockchain for secure IoT: identity management, access control, and trust mechanisms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S18</w:t>
            </w:r>
          </w:p>
        </w:tc>
        <w:tc>
          <w:tcPr/>
          <w:p>
            <w:pPr>
              <w:pStyle w:val="Compact"/>
              <w:jc w:val="left"/>
            </w:pPr>
            <w:r>
              <w:rPr>
                <w:rStyle w:val="BlueAdd"/>
              </w:rPr>
              <w:t xml:space="preserve">Kyriakidou et al., 2023 [18]</w:t>
            </w:r>
          </w:p>
        </w:tc>
        <w:tc>
          <w:tcPr/>
          <w:p>
            <w:pPr>
              <w:pStyle w:val="Compact"/>
              <w:jc w:val="left"/>
            </w:pPr>
            <w:r>
              <w:rPr>
                <w:rStyle w:val="BlueAdd"/>
              </w:rPr>
              <w:t xml:space="preserve">Decentralised identity with applications to security and privacy for the Internet of Things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S19</w:t>
            </w:r>
          </w:p>
        </w:tc>
        <w:tc>
          <w:tcPr/>
          <w:p>
            <w:pPr>
              <w:pStyle w:val="Compact"/>
              <w:jc w:val="left"/>
            </w:pPr>
            <w:r>
              <w:rPr>
                <w:rStyle w:val="BlueAdd"/>
              </w:rPr>
              <w:t xml:space="preserve">Mazzocca et al., 2025 [20]</w:t>
            </w:r>
          </w:p>
        </w:tc>
        <w:tc>
          <w:tcPr/>
          <w:p>
            <w:pPr>
              <w:pStyle w:val="Compact"/>
              <w:jc w:val="left"/>
            </w:pPr>
            <w:r>
              <w:rPr>
                <w:rStyle w:val="BlueAdd"/>
              </w:rPr>
              <w:t xml:space="preserve">A survey on decentralised identifiers and verifiable credentials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S20</w:t>
            </w:r>
          </w:p>
        </w:tc>
        <w:tc>
          <w:tcPr/>
          <w:p>
            <w:pPr>
              <w:pStyle w:val="Compact"/>
              <w:jc w:val="left"/>
            </w:pPr>
            <w:r>
              <w:rPr>
                <w:rStyle w:val="BlueAdd"/>
              </w:rPr>
              <w:t xml:space="preserve">Parameswarath et al., 2022 [26]</w:t>
            </w:r>
          </w:p>
        </w:tc>
        <w:tc>
          <w:tcPr/>
          <w:p>
            <w:pPr>
              <w:pStyle w:val="Compact"/>
              <w:jc w:val="left"/>
            </w:pPr>
            <w:r>
              <w:rPr>
                <w:rStyle w:val="BlueAdd"/>
              </w:rPr>
              <w:t xml:space="preserve">User-empowered privacy-preserving authentication based on decentralised identity and verifiable credentials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S21</w:t>
            </w:r>
          </w:p>
        </w:tc>
        <w:tc>
          <w:tcPr/>
          <w:p>
            <w:pPr>
              <w:pStyle w:val="Compact"/>
              <w:jc w:val="left"/>
            </w:pPr>
            <w:r>
              <w:rPr>
                <w:rStyle w:val="BlueAdd"/>
              </w:rPr>
              <w:t xml:space="preserve">Yin et al., 2025 [36]</w:t>
            </w:r>
          </w:p>
        </w:tc>
        <w:tc>
          <w:tcPr/>
          <w:p>
            <w:pPr>
              <w:pStyle w:val="Compact"/>
              <w:jc w:val="left"/>
            </w:pPr>
            <w:r>
              <w:rPr>
                <w:rStyle w:val="BlueAdd"/>
              </w:rPr>
              <w:t xml:space="preserve">DP-DID: a dynamic and proactive decentralised identity system</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S22</w:t>
            </w:r>
          </w:p>
        </w:tc>
        <w:tc>
          <w:tcPr/>
          <w:p>
            <w:pPr>
              <w:pStyle w:val="Compact"/>
              <w:jc w:val="left"/>
            </w:pPr>
            <w:r>
              <w:rPr>
                <w:rStyle w:val="BlueAdd"/>
              </w:rPr>
              <w:t xml:space="preserve">Ghafoor Abbasi et al., 2025 [1]</w:t>
            </w:r>
          </w:p>
        </w:tc>
        <w:tc>
          <w:tcPr/>
          <w:p>
            <w:pPr>
              <w:pStyle w:val="Compact"/>
              <w:jc w:val="left"/>
            </w:pPr>
            <w:r>
              <w:rPr>
                <w:rStyle w:val="BlueAdd"/>
              </w:rPr>
              <w:t xml:space="preserve">Towards empowering stakeholders through decentralised trust and secure livestock data sharing</w:t>
            </w:r>
          </w:p>
        </w:tc>
        <w:tc>
          <w:tcPr/>
          <w:p>
            <w:pPr>
              <w:pStyle w:val="Compact"/>
              <w:jc w:val="left"/>
            </w:pPr>
            <w:r>
              <w:rPr>
                <w:rStyle w:val="BlueAdd"/>
              </w:rPr>
              <w:t xml:space="preserve">Multi-party and decentralised governance</w:t>
            </w:r>
          </w:p>
        </w:tc>
      </w:tr>
      <w:tr>
        <w:trPr>
          <w:cantSplit/>
        </w:trPr>
        <w:tc>
          <w:tcPr/>
          <w:p>
            <w:pPr>
              <w:pStyle w:val="Compact"/>
              <w:jc w:val="left"/>
            </w:pPr>
            <w:r>
              <w:rPr>
                <w:rStyle w:val="BlueAdd"/>
              </w:rPr>
              <w:t xml:space="preserve">S23</w:t>
            </w:r>
          </w:p>
        </w:tc>
        <w:tc>
          <w:tcPr/>
          <w:p>
            <w:pPr>
              <w:pStyle w:val="Compact"/>
              <w:jc w:val="left"/>
            </w:pPr>
            <w:r>
              <w:rPr>
                <w:rStyle w:val="BlueAdd"/>
              </w:rPr>
              <w:t xml:space="preserve">Lomotey et al., 2022 [19]</w:t>
            </w:r>
          </w:p>
        </w:tc>
        <w:tc>
          <w:tcPr/>
          <w:p>
            <w:pPr>
              <w:pStyle w:val="Compact"/>
              <w:jc w:val="left"/>
            </w:pPr>
            <w:r>
              <w:rPr>
                <w:rStyle w:val="BlueAdd"/>
              </w:rPr>
              <w:t xml:space="preserve">Data trusts as a service: a platform for multi-party data sharing</w:t>
            </w:r>
          </w:p>
        </w:tc>
        <w:tc>
          <w:tcPr/>
          <w:p>
            <w:pPr>
              <w:pStyle w:val="Compact"/>
              <w:jc w:val="left"/>
            </w:pPr>
            <w:r>
              <w:rPr>
                <w:rStyle w:val="BlueAdd"/>
              </w:rPr>
              <w:t xml:space="preserve">Multi-party and decentralised governance</w:t>
            </w:r>
          </w:p>
        </w:tc>
      </w:tr>
      <w:tr>
        <w:trPr>
          <w:cantSplit/>
        </w:trPr>
        <w:tc>
          <w:tcPr/>
          <w:p>
            <w:pPr>
              <w:pStyle w:val="Compact"/>
              <w:jc w:val="left"/>
            </w:pPr>
            <w:r>
              <w:rPr>
                <w:rStyle w:val="BlueAdd"/>
              </w:rPr>
              <w:t xml:space="preserve">S24</w:t>
            </w:r>
          </w:p>
        </w:tc>
        <w:tc>
          <w:tcPr/>
          <w:p>
            <w:pPr>
              <w:pStyle w:val="Compact"/>
              <w:jc w:val="left"/>
            </w:pPr>
            <w:r>
              <w:rPr>
                <w:rStyle w:val="BlueAdd"/>
              </w:rPr>
              <w:t xml:space="preserve">Garcia et al., 2022 [8]</w:t>
            </w:r>
          </w:p>
        </w:tc>
        <w:tc>
          <w:tcPr/>
          <w:p>
            <w:pPr>
              <w:pStyle w:val="Compact"/>
              <w:jc w:val="left"/>
            </w:pPr>
            <w:r>
              <w:rPr>
                <w:rStyle w:val="BlueAdd"/>
              </w:rPr>
              <w:t xml:space="preserve">Blockchain-aided and privacy-preserving data governance in multi-stakeholder applications</w:t>
            </w:r>
          </w:p>
        </w:tc>
        <w:tc>
          <w:tcPr/>
          <w:p>
            <w:pPr>
              <w:pStyle w:val="Compact"/>
              <w:jc w:val="left"/>
            </w:pPr>
            <w:r>
              <w:rPr>
                <w:rStyle w:val="BlueAdd"/>
              </w:rPr>
              <w:t xml:space="preserve">Multi-party and decentralised governance</w:t>
            </w:r>
          </w:p>
        </w:tc>
      </w:tr>
      <w:tr>
        <w:trPr>
          <w:cantSplit/>
        </w:trPr>
        <w:tc>
          <w:tcPr/>
          <w:p>
            <w:pPr>
              <w:pStyle w:val="Compact"/>
              <w:jc w:val="left"/>
            </w:pPr>
            <w:r>
              <w:rPr>
                <w:rStyle w:val="BlueAdd"/>
              </w:rPr>
              <w:t xml:space="preserve">S25</w:t>
            </w:r>
          </w:p>
        </w:tc>
        <w:tc>
          <w:tcPr/>
          <w:p>
            <w:pPr>
              <w:pStyle w:val="Compact"/>
              <w:jc w:val="left"/>
            </w:pPr>
            <w:r>
              <w:rPr>
                <w:rStyle w:val="BlueAdd"/>
              </w:rPr>
              <w:t xml:space="preserve">Tan et al., 2024 [29]</w:t>
            </w:r>
          </w:p>
        </w:tc>
        <w:tc>
          <w:tcPr/>
          <w:p>
            <w:pPr>
              <w:pStyle w:val="Compact"/>
              <w:jc w:val="left"/>
            </w:pPr>
            <w:r>
              <w:rPr>
                <w:rStyle w:val="BlueAdd"/>
              </w:rPr>
              <w:t xml:space="preserve">Secure and privacy-preserving sharing of personal health records with multi-party pre-authorisation verification</w:t>
            </w:r>
          </w:p>
        </w:tc>
        <w:tc>
          <w:tcPr/>
          <w:p>
            <w:pPr>
              <w:pStyle w:val="Compact"/>
              <w:jc w:val="left"/>
            </w:pPr>
            <w:r>
              <w:rPr>
                <w:rStyle w:val="BlueAdd"/>
              </w:rPr>
              <w:t xml:space="preserve">Multi-party and decentralised governance</w:t>
            </w:r>
          </w:p>
        </w:tc>
      </w:tr>
      <w:tr>
        <w:trPr>
          <w:cantSplit/>
        </w:trPr>
        <w:tc>
          <w:tcPr/>
          <w:p>
            <w:pPr>
              <w:pStyle w:val="Compact"/>
              <w:jc w:val="left"/>
            </w:pPr>
            <w:r>
              <w:rPr>
                <w:rStyle w:val="BlueAdd"/>
              </w:rPr>
              <w:t xml:space="preserve">S26</w:t>
            </w:r>
          </w:p>
        </w:tc>
        <w:tc>
          <w:tcPr/>
          <w:p>
            <w:pPr>
              <w:pStyle w:val="Compact"/>
              <w:jc w:val="left"/>
            </w:pPr>
            <w:r>
              <w:rPr>
                <w:rStyle w:val="BlueAdd"/>
              </w:rPr>
              <w:t xml:space="preserve">Jiang et al., 2023 [13]</w:t>
            </w:r>
          </w:p>
        </w:tc>
        <w:tc>
          <w:tcPr/>
          <w:p>
            <w:pPr>
              <w:pStyle w:val="Compact"/>
              <w:jc w:val="left"/>
            </w:pPr>
            <w:r>
              <w:rPr>
                <w:rStyle w:val="BlueAdd"/>
              </w:rPr>
              <w:t xml:space="preserve">Risk and UCON-based access control model for healthcare big data</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S27</w:t>
            </w:r>
          </w:p>
        </w:tc>
        <w:tc>
          <w:tcPr/>
          <w:p>
            <w:pPr>
              <w:pStyle w:val="Compact"/>
              <w:jc w:val="left"/>
            </w:pPr>
            <w:r>
              <w:rPr>
                <w:rStyle w:val="BlueAdd"/>
              </w:rPr>
              <w:t xml:space="preserve">Nazir et al., 2026 [24]</w:t>
            </w:r>
          </w:p>
        </w:tc>
        <w:tc>
          <w:tcPr/>
          <w:p>
            <w:pPr>
              <w:pStyle w:val="Compact"/>
              <w:jc w:val="left"/>
            </w:pPr>
            <w:r>
              <w:rPr>
                <w:rStyle w:val="BlueAdd"/>
              </w:rPr>
              <w:t xml:space="preserve">Access control in healthcare IoT: a comprehensive survey</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S28</w:t>
            </w:r>
          </w:p>
        </w:tc>
        <w:tc>
          <w:tcPr/>
          <w:p>
            <w:pPr>
              <w:pStyle w:val="Compact"/>
              <w:jc w:val="left"/>
            </w:pPr>
            <w:r>
              <w:rPr>
                <w:rStyle w:val="BlueAdd"/>
              </w:rPr>
              <w:t xml:space="preserve">Tawfik et al., 2025 [30]</w:t>
            </w:r>
          </w:p>
        </w:tc>
        <w:tc>
          <w:tcPr/>
          <w:p>
            <w:pPr>
              <w:pStyle w:val="Compact"/>
              <w:jc w:val="left"/>
            </w:pPr>
            <w:r>
              <w:rPr>
                <w:rStyle w:val="BlueAdd"/>
              </w:rPr>
              <w:t xml:space="preserve">Blockchain-based access control and privacy preservation in healthcare: a comprehensive survey</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S29</w:t>
            </w:r>
          </w:p>
        </w:tc>
        <w:tc>
          <w:tcPr/>
          <w:p>
            <w:pPr>
              <w:pStyle w:val="Compact"/>
              <w:jc w:val="left"/>
            </w:pPr>
            <w:r>
              <w:rPr>
                <w:rStyle w:val="BlueAdd"/>
              </w:rPr>
              <w:t xml:space="preserve">Yin et al., 2024 [35]</w:t>
            </w:r>
          </w:p>
        </w:tc>
        <w:tc>
          <w:tcPr/>
          <w:p>
            <w:pPr>
              <w:pStyle w:val="Compact"/>
              <w:jc w:val="left"/>
            </w:pPr>
            <w:r>
              <w:rPr>
                <w:rStyle w:val="BlueAdd"/>
              </w:rPr>
              <w:t xml:space="preserve">Attribute-based searchable encryption with decentralised key management for healthcare data sharing</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S30</w:t>
            </w:r>
          </w:p>
        </w:tc>
        <w:tc>
          <w:tcPr/>
          <w:p>
            <w:pPr>
              <w:pStyle w:val="Compact"/>
              <w:jc w:val="left"/>
            </w:pPr>
            <w:r>
              <w:rPr>
                <w:rStyle w:val="BlueAdd"/>
              </w:rPr>
              <w:t xml:space="preserve">de Oliveira et al., 2022 [5]</w:t>
            </w:r>
          </w:p>
        </w:tc>
        <w:tc>
          <w:tcPr/>
          <w:p>
            <w:pPr>
              <w:pStyle w:val="Compact"/>
              <w:jc w:val="left"/>
            </w:pPr>
            <w:r>
              <w:rPr>
                <w:rStyle w:val="BlueAdd"/>
              </w:rPr>
              <w:t xml:space="preserve">SmartAccess: attribute-based access control system for medical records based on smart contracts</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S31</w:t>
            </w:r>
          </w:p>
        </w:tc>
        <w:tc>
          <w:tcPr/>
          <w:p>
            <w:pPr>
              <w:pStyle w:val="Compact"/>
              <w:jc w:val="left"/>
            </w:pPr>
            <w:r>
              <w:rPr>
                <w:rStyle w:val="BlueAdd"/>
              </w:rPr>
              <w:t xml:space="preserve">Ullah et al., 2024 [31]</w:t>
            </w:r>
          </w:p>
        </w:tc>
        <w:tc>
          <w:tcPr/>
          <w:p>
            <w:pPr>
              <w:pStyle w:val="Compact"/>
              <w:jc w:val="left"/>
            </w:pPr>
            <w:r>
              <w:rPr>
                <w:rStyle w:val="BlueAdd"/>
              </w:rPr>
              <w:t xml:space="preserve">Blockchain-enabled EHR access auditing: enhancing healthcare data security</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S32</w:t>
            </w:r>
          </w:p>
        </w:tc>
        <w:tc>
          <w:tcPr/>
          <w:p>
            <w:pPr>
              <w:pStyle w:val="Compact"/>
              <w:jc w:val="left"/>
            </w:pPr>
            <w:r>
              <w:rPr>
                <w:rStyle w:val="BlueAdd"/>
              </w:rPr>
              <w:t xml:space="preserve">Yaqub et al., 2025 [34]</w:t>
            </w:r>
          </w:p>
        </w:tc>
        <w:tc>
          <w:tcPr/>
          <w:p>
            <w:pPr>
              <w:pStyle w:val="Compact"/>
              <w:jc w:val="left"/>
            </w:pPr>
            <w:r>
              <w:rPr>
                <w:rStyle w:val="BlueAdd"/>
              </w:rPr>
              <w:t xml:space="preserve">Blockchain-enabled policy-based access control mechanism to restrict unauthorised access to electronic health records</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S33</w:t>
            </w:r>
          </w:p>
        </w:tc>
        <w:tc>
          <w:tcPr/>
          <w:p>
            <w:pPr>
              <w:pStyle w:val="Compact"/>
              <w:jc w:val="left"/>
            </w:pPr>
            <w:r>
              <w:rPr>
                <w:rStyle w:val="BlueAdd"/>
              </w:rPr>
              <w:t xml:space="preserve">Ménétrey et al., 2022 [22]</w:t>
            </w:r>
          </w:p>
        </w:tc>
        <w:tc>
          <w:tcPr/>
          <w:p>
            <w:pPr>
              <w:pStyle w:val="Compact"/>
              <w:jc w:val="left"/>
            </w:pPr>
            <w:r>
              <w:rPr>
                <w:rStyle w:val="BlueAdd"/>
              </w:rPr>
              <w:t xml:space="preserve">Attestation mechanisms for trusted execution environments demystified</w:t>
            </w:r>
          </w:p>
        </w:tc>
        <w:tc>
          <w:tcPr/>
          <w:p>
            <w:pPr>
              <w:pStyle w:val="Compact"/>
              <w:jc w:val="left"/>
            </w:pPr>
            <w:r>
              <w:rPr>
                <w:rStyle w:val="BlueAdd"/>
              </w:rPr>
              <w:t xml:space="preserve">Trusted Computing and secure execution</w:t>
            </w:r>
          </w:p>
        </w:tc>
      </w:tr>
    </w:tbl>
    <w:bookmarkEnd w:id="32"/>
    <w:bookmarkEnd w:id="33"/>
    <w:bookmarkStart w:id="41" w:name="X47a7c0cd3439350f5b2bab0a0c72b8d78bf1bcb"/>
    <w:p>
      <w:pPr>
        <w:pStyle w:val="Heading2"/>
      </w:pPr>
      <w:r>
        <w:rPr>
          <w:rStyle w:val="PinkDelete"/>
        </w:rPr>
        <w:t xml:space="preserve">2.3</w:t>
      </w:r>
      <w:r>
        <w:t xml:space="preserve"> </w:t>
      </w:r>
      <w:r>
        <w:rPr>
          <w:rStyle w:val="PinkFix"/>
        </w:rPr>
        <w:t xml:space="preserve">2.4</w:t>
      </w:r>
      <w:r>
        <w:t xml:space="preserve"> </w:t>
      </w:r>
      <w:r>
        <w:rPr>
          <w:rStyle w:val="PinkDelete"/>
        </w:rPr>
        <w:t xml:space="preserve">Review</w:t>
      </w:r>
      <w:r>
        <w:t xml:space="preserve"> </w:t>
      </w:r>
      <w:r>
        <w:rPr>
          <w:rStyle w:val="PinkFix"/>
        </w:rPr>
        <w:t xml:space="preserve">Summary of Papers Shortlisted in the SLR</w:t>
      </w:r>
    </w:p>
    <w:p>
      <w:pPr>
        <w:pStyle w:val="FirstParagraph"/>
      </w:pPr>
      <w:r>
        <w:rPr>
          <w:rStyle w:val="PinkDelete"/>
        </w:rPr>
        <w:t xml:space="preserve">This section analyses each of the research streams introduced in Section 2.1 in turn.</w:t>
      </w:r>
      <w:r>
        <w:rPr>
          <w:rStyle w:val="PinkFix"/>
        </w:rPr>
        <w:t xml:space="preserve">This section summarises the shortlisted papers by category (Table 2.3). For each category the discussion is followed by a table that records the description of each study, its issues and limitations for trust-oriented consent authorisation, and whether it addresses the five key requirements of Section 2.2 (√ addressed, × not addressed).</w:t>
      </w:r>
    </w:p>
    <w:bookmarkStart w:id="34" w:name="X3643e3a96c176827f6f89acdc5119d36405fe44"/>
    <w:p>
      <w:pPr>
        <w:pStyle w:val="Heading3"/>
      </w:pPr>
      <w:r>
        <w:rPr>
          <w:rStyle w:val="PinkDelete"/>
        </w:rPr>
        <w:t xml:space="preserve">2.3.1</w:t>
      </w:r>
      <w:r>
        <w:t xml:space="preserve"> </w:t>
      </w:r>
      <w:r>
        <w:rPr>
          <w:rStyle w:val="PinkFix"/>
        </w:rPr>
        <w:t xml:space="preserve">2.4.1</w:t>
      </w:r>
      <w:r>
        <w:t xml:space="preserve"> </w:t>
      </w:r>
      <w:r>
        <w:rPr>
          <w:rStyle w:val="PinkDelete"/>
        </w:rPr>
        <w:t xml:space="preserve">Healthcare Consent and Decentralised Data Governance</w:t>
      </w:r>
      <w:r>
        <w:t xml:space="preserve"> </w:t>
      </w:r>
      <w:r>
        <w:rPr>
          <w:rStyle w:val="PinkFix"/>
        </w:rPr>
        <w:t xml:space="preserve">Healthcare Consent and Privacy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w:t>
      </w:r>
      <w:r>
        <w:t xml:space="preserve"> </w:t>
      </w:r>
      <w:r>
        <w:rPr>
          <w:rStyle w:val="PinkDelete"/>
        </w:rPr>
        <w:t xml:space="preserve">[14, 16, 21, 32]</w:t>
      </w:r>
      <w:r>
        <w:rPr>
          <w:rStyle w:val="PinkFix"/>
        </w:rPr>
        <w:t xml:space="preserve">[10, 21]</w:t>
      </w:r>
      <w:r>
        <w:t xml:space="preserve">.</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[23]. At the same time, privacy-preserving interoperability remains difficult because healthcare systems must balance individual autonomy with the operational requirements of clinical care, coordination, and</w:t>
      </w:r>
      <w:r>
        <w:t xml:space="preserve"> </w:t>
      </w:r>
      <w:r>
        <w:rPr>
          <w:rStyle w:val="PinkDelete"/>
        </w:rPr>
        <w:t xml:space="preserve">legitimate secondary data use [11]</w:t>
      </w:r>
      <w:r>
        <w:rPr>
          <w:rStyle w:val="PinkFix"/>
        </w:rPr>
        <w:t xml:space="preserve">legitimate secondary data use [11]</w:t>
      </w:r>
      <w:r>
        <w:t xml:space="preserve">.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[15]. Consent receipts and auditable consent records have also been proposed to improve transparency and accountability by providing evidence of how consent was obtained and exercised [12].</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BlueAddPara"/>
      </w:pPr>
      <w:r>
        <w:rPr>
          <w:rStyle w:val="BlueAdd"/>
        </w:rPr>
        <w:t xml:space="preserve">More recent architectures go a step further. A blockchain-backed service-oriented architecture stores consents immutably, enforces access to health data according to them and exposes audit tasks to supervisory authorities and to patients themselves [28], and a self-determined consent framework combines blockchain, self-sovereign identity and de-identified tokens so that consent and data use can be tracked across clinical, app and wearable data [33]. Both act on the consent record; neither evaluates the requester’s authority or a collective approval before the record is applied. A recent systematic review of 55 blockchain-based consent frameworks confirms that smart contracts, decentralised identifiers and verifiable credentials have become the common building blocks of programmable consent, while reporting that revocation propagation, interoperability and usability remain unresolved [27].</w:t>
      </w:r>
    </w:p>
    <w:p>
      <w:pPr>
        <w:pStyle w:val="BlueAddPara"/>
      </w:pPr>
      <w:r>
        <w:rPr>
          <w:rStyle w:val="BlueAdd"/>
        </w:rPr>
        <w:t xml:space="preserve">Table 2.4 presents a summary of the studies that fall under the healthcare consent and privacy governance category and their coverage of the key requirements.</w:t>
      </w:r>
    </w:p>
    <w:p>
      <w:pPr>
        <w:pStyle w:val="TableCaption"/>
      </w:pPr>
      <w:r>
        <w:rPr>
          <w:rStyle w:val="BlueAdd"/>
        </w:rPr>
        <w:t xml:space="preserve">Table 2.4: Descriptions, issues and limitations of the studies on healthcare consent and privacy governance and their coverage of the key requirements</w:t>
      </w:r>
    </w:p>
    <w:tbl>
      <w:tblPr>
        <w:tblStyle w:val="Table"/>
        <w:tblW w:type="pct" w:w="5000"/>
        <w:tblLayout w:type="fixed"/>
        <w:tblLook w:firstRow="1" w:lastRow="0" w:firstColumn="0" w:lastColumn="0" w:noHBand="0" w:noVBand="0" w:val="0020"/>
        <w:tblCaption w:val="Table 2.4: Descriptions, issues and limitations of the studies on healthcare consent and privacy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S1 [11]</w:t>
            </w:r>
          </w:p>
        </w:tc>
        <w:tc>
          <w:tcPr/>
          <w:p>
            <w:pPr>
              <w:pStyle w:val="Compact"/>
              <w:jc w:val="left"/>
            </w:pPr>
            <w:r>
              <w:rPr>
                <w:rStyle w:val="BlueAdd"/>
              </w:rPr>
              <w:t xml:space="preserve">Cross-sectional study of 150 nurses in a general hospital on how patient confidentiality is balanced against care coordination, measured with HIPAA, privacy-impact and EHR security assessment tools.</w:t>
            </w:r>
          </w:p>
        </w:tc>
        <w:tc>
          <w:tcPr/>
          <w:p>
            <w:pPr>
              <w:pStyle w:val="Compact"/>
              <w:jc w:val="left"/>
            </w:pPr>
            <w:r>
              <w:rPr>
                <w:rStyle w:val="BlueAdd"/>
              </w:rPr>
              <w:t xml:space="preserve">Studies organisational practice; consent is treated as a compliance matter and no authorisation mechanism is proposed.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 [12]</w:t>
            </w:r>
          </w:p>
        </w:tc>
        <w:tc>
          <w:tcPr/>
          <w:p>
            <w:pPr>
              <w:pStyle w:val="Compact"/>
              <w:jc w:val="left"/>
            </w:pPr>
            <w:r>
              <w:rPr>
                <w:rStyle w:val="BlueAdd"/>
              </w:rPr>
              <w:t xml:space="preserve">Proposes consent receipts as machine-readable, auditable records of how consent was obtained and exercised, with proofs of concept for privacy policies, cookie dialogues and voice assistants.</w:t>
            </w:r>
          </w:p>
        </w:tc>
        <w:tc>
          <w:tcPr/>
          <w:p>
            <w:pPr>
              <w:pStyle w:val="Compact"/>
              <w:jc w:val="left"/>
            </w:pPr>
            <w:r>
              <w:rPr>
                <w:rStyle w:val="BlueAdd"/>
              </w:rPr>
              <w:t xml:space="preserve">A receipt proves that consent was given; it does not evaluate whether a later request satisfies identity, authority, approval or scope conditions.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S3 [15]</w:t>
            </w:r>
          </w:p>
        </w:tc>
        <w:tc>
          <w:tcPr/>
          <w:p>
            <w:pPr>
              <w:pStyle w:val="Compact"/>
              <w:jc w:val="left"/>
            </w:pPr>
            <w:r>
              <w:rPr>
                <w:rStyle w:val="BlueAdd"/>
              </w:rPr>
              <w:t xml:space="preserve">Privacy-first model for blockchain-based dynamic consent management in which subject data and consent are kept encrypted on-chain and the data-controller role is decentralised.</w:t>
            </w:r>
          </w:p>
        </w:tc>
        <w:tc>
          <w:tcPr/>
          <w:p>
            <w:pPr>
              <w:pStyle w:val="Compact"/>
              <w:jc w:val="left"/>
            </w:pPr>
            <w:r>
              <w:rPr>
                <w:rStyle w:val="BlueAdd"/>
              </w:rPr>
              <w:t xml:space="preserve">Consent is stored and shared securely, but a request is not evaluated against the requester’s authority or a multi-party approval threshold.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S4 [21]</w:t>
            </w:r>
          </w:p>
        </w:tc>
        <w:tc>
          <w:tcPr/>
          <w:p>
            <w:pPr>
              <w:pStyle w:val="Compact"/>
              <w:jc w:val="left"/>
            </w:pPr>
            <w:r>
              <w:rPr>
                <w:rStyle w:val="BlueAdd"/>
              </w:rPr>
              <w:t xml:space="preserve">Legal analysis of informed consent for the use and disclosure of patient information under the GDPR, the common law and professional ethics.</w:t>
            </w:r>
          </w:p>
        </w:tc>
        <w:tc>
          <w:tcPr/>
          <w:p>
            <w:pPr>
              <w:pStyle w:val="Compact"/>
              <w:jc w:val="left"/>
            </w:pPr>
            <w:r>
              <w:rPr>
                <w:rStyle w:val="BlueAdd"/>
              </w:rPr>
              <w:t xml:space="preserve">Defines the legal conditions of a valid consent but not an executable authorisation object.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S5 [23]</w:t>
            </w:r>
          </w:p>
        </w:tc>
        <w:tc>
          <w:tcPr/>
          <w:p>
            <w:pPr>
              <w:pStyle w:val="Compact"/>
              <w:jc w:val="left"/>
            </w:pPr>
            <w:r>
              <w:rPr>
                <w:rStyle w:val="BlueAdd"/>
              </w:rPr>
              <w:t xml:space="preserve">Review of privacy models and consent frameworks (dynamic and granular consent, blockchain, My Health Record, Estonian e-Health) for patient data ownership.</w:t>
            </w:r>
          </w:p>
        </w:tc>
        <w:tc>
          <w:tcPr/>
          <w:p>
            <w:pPr>
              <w:pStyle w:val="Compact"/>
              <w:jc w:val="left"/>
            </w:pPr>
            <w:r>
              <w:rPr>
                <w:rStyle w:val="BlueAdd"/>
              </w:rPr>
              <w:t xml:space="preserve">Descriptive review; the consent frameworks are not connected to identity verification or scope enforcement.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S6 [27]</w:t>
            </w:r>
          </w:p>
        </w:tc>
        <w:tc>
          <w:tcPr/>
          <w:p>
            <w:pPr>
              <w:pStyle w:val="Compact"/>
              <w:jc w:val="left"/>
            </w:pPr>
            <w:r>
              <w:rPr>
                <w:rStyle w:val="BlueAdd"/>
              </w:rPr>
              <w:t xml:space="preserve">Systematic review (PRISMA, 55 studies, 2020–2025) of blockchain-based frameworks for dynamic, auditable and revocable consent for the secondary use of health data, analysed by consent lifecycle, auditability, usability and legal alignment.</w:t>
            </w:r>
          </w:p>
        </w:tc>
        <w:tc>
          <w:tcPr/>
          <w:p>
            <w:pPr>
              <w:pStyle w:val="Compact"/>
              <w:jc w:val="left"/>
            </w:pPr>
            <w:r>
              <w:rPr>
                <w:rStyle w:val="BlueAdd"/>
              </w:rPr>
              <w:t xml:space="preserve">Confirms that lifecycle automation and auditability are achievable, but reports that revocation propagation, interoperability and usability remain open; consent is evaluated as a record rather than against the requester.</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S7 [28]</w:t>
            </w:r>
          </w:p>
        </w:tc>
        <w:tc>
          <w:tcPr/>
          <w:p>
            <w:pPr>
              <w:pStyle w:val="Compact"/>
              <w:jc w:val="left"/>
            </w:pPr>
            <w:r>
              <w:rPr>
                <w:rStyle w:val="BlueAdd"/>
              </w:rPr>
              <w:t xml:space="preserve">Service-oriented architecture backed by blockchain that stores subject-of-care consents immutably, enforces fine-grained access to health data according to those consents and exposes audit tasks to supervisory authorities and patients, using HL7 and access-control standards.</w:t>
            </w:r>
          </w:p>
        </w:tc>
        <w:tc>
          <w:tcPr/>
          <w:p>
            <w:pPr>
              <w:pStyle w:val="Compact"/>
              <w:jc w:val="left"/>
            </w:pPr>
            <w:r>
              <w:rPr>
                <w:rStyle w:val="BlueAdd"/>
              </w:rPr>
              <w:t xml:space="preserve">Consent is stored and executed, but the requester’s authority and any multi-party approval are outside the model; enforcement follows the record rather than an evaluated decision.</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S8 [33]</w:t>
            </w:r>
          </w:p>
        </w:tc>
        <w:tc>
          <w:tcPr/>
          <w:p>
            <w:pPr>
              <w:pStyle w:val="Compact"/>
              <w:jc w:val="left"/>
            </w:pPr>
            <w:r>
              <w:rPr>
                <w:rStyle w:val="BlueAdd"/>
              </w:rPr>
              <w:t xml:space="preserve">Conceptual framework that reviews blockchain, self-sovereign identity and de-identified tokens for a consent management system able to track consent and data utilisation across clinical, app and wearable data.</w:t>
            </w:r>
          </w:p>
        </w:tc>
        <w:tc>
          <w:tcPr/>
          <w:p>
            <w:pPr>
              <w:pStyle w:val="Compact"/>
              <w:jc w:val="left"/>
            </w:pPr>
            <w:r>
              <w:rPr>
                <w:rStyle w:val="BlueAdd"/>
              </w:rPr>
              <w:t xml:space="preserve">Early-stage conceptual framework; identity and consent components are listed rather than combined into an authorisation decision.</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S9 [10]</w:t>
            </w:r>
          </w:p>
        </w:tc>
        <w:tc>
          <w:tcPr/>
          <w:p>
            <w:pPr>
              <w:pStyle w:val="Compact"/>
              <w:jc w:val="left"/>
            </w:pPr>
            <w:r>
              <w:rPr>
                <w:rStyle w:val="BlueAdd"/>
              </w:rPr>
              <w:t xml:space="preserve">Scoping review (74 studies, 2007–2021) of the views, use and experiences of children, adolescents, parents and clinicians regarding web-based access to paediatric electronic health records, including parental proxy access and the age at which access changes.</w:t>
            </w:r>
          </w:p>
        </w:tc>
        <w:tc>
          <w:tcPr/>
          <w:p>
            <w:pPr>
              <w:pStyle w:val="Compact"/>
              <w:jc w:val="left"/>
            </w:pPr>
            <w:r>
              <w:rPr>
                <w:rStyle w:val="BlueAdd"/>
              </w:rPr>
              <w:t xml:space="preserve">Establishes that guardian and proxy access varies between providers and that adolescent confidentiality is the main concern, but offers no mechanism for verifying a guardian’s authority or for joint approval.</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4"/>
    <w:bookmarkStart w:id="35" w:name="X2b887499669ea90de256e63d16984e9c6f7f03a"/>
    <w:p>
      <w:pPr>
        <w:pStyle w:val="Heading3"/>
      </w:pPr>
      <w:r>
        <w:rPr>
          <w:rStyle w:val="PinkDelete"/>
        </w:rPr>
        <w:t xml:space="preserve">2.3.2</w:t>
      </w:r>
      <w:r>
        <w:t xml:space="preserve"> </w:t>
      </w:r>
      <w:r>
        <w:rPr>
          <w:rStyle w:val="PinkFix"/>
        </w:rPr>
        <w:t xml:space="preserve">2.4.2</w:t>
      </w:r>
      <w:r>
        <w:t xml:space="preserve"> </w:t>
      </w:r>
      <w:r>
        <w:rPr>
          <w:rStyle w:val="PinkDelete"/>
        </w:rPr>
        <w:t xml:space="preserve">Blockchain-Based Consent and Data Governance</w:t>
      </w:r>
      <w:r>
        <w:t xml:space="preserve"> </w:t>
      </w:r>
      <w:r>
        <w:rPr>
          <w:rStyle w:val="PinkFix"/>
        </w:rPr>
        <w:t xml:space="preserve">Blockchain-Based Healthcare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w:t>
      </w:r>
      <w:r>
        <w:t xml:space="preserve"> </w:t>
      </w:r>
      <w:r>
        <w:rPr>
          <w:rStyle w:val="PinkDelete"/>
        </w:rPr>
        <w:t xml:space="preserve">[2, 3, 4, 9]</w:t>
      </w:r>
      <w:r>
        <w:rPr>
          <w:rStyle w:val="PinkFix"/>
        </w:rPr>
        <w:t xml:space="preserve">[2, 3, 4, 9]</w:t>
      </w:r>
      <w:r>
        <w:t xml:space="preserve">. More generally, blockchain has been studied as an infrastructure for trustworthy data sharing and</w:t>
      </w:r>
      <w:r>
        <w:t xml:space="preserve"> </w:t>
      </w:r>
      <w:r>
        <w:rPr>
          <w:rStyle w:val="PinkDelete"/>
        </w:rPr>
        <w:t xml:space="preserve">decentralised decision-making across organisational boundaries [25]</w:t>
      </w:r>
      <w:r>
        <w:rPr>
          <w:rStyle w:val="PinkFix"/>
        </w:rPr>
        <w:t xml:space="preserve">decentralised decision-making across organisational boundaries [8, 25]</w:t>
      </w:r>
      <w:r>
        <w:t xml:space="preserve">.</w:t>
      </w:r>
    </w:p>
    <w:p>
      <w:pPr>
        <w:pStyle w:val="BodyText"/>
      </w:pPr>
      <w:r>
        <w:t xml:space="preserve">A major contribution of blockchain is its ability to preserve tamper-resistant evidence of transactions and state changes.</w:t>
      </w:r>
      <w:r>
        <w:t xml:space="preserve"> </w:t>
      </w:r>
      <w:r>
        <w:rPr>
          <w:rStyle w:val="PinkDelete"/>
        </w:rPr>
        <w:t xml:space="preserve">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r>
        <w:rPr>
          <w:rStyle w:val="PinkFix"/>
        </w:rPr>
        <w:t xml:space="preserve">This characteristic strengthens auditability and provides evidence that recorded information has not been modified without detection [2, 25].</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w:t>
      </w:r>
      <w:r>
        <w:t xml:space="preserve"> </w:t>
      </w:r>
      <w:r>
        <w:rPr>
          <w:rStyle w:val="PinkDelete"/>
        </w:rPr>
        <w:t xml:space="preserve">[3, 4, 9, 30]</w:t>
      </w:r>
      <w:r>
        <w:rPr>
          <w:rStyle w:val="PinkFix"/>
        </w:rPr>
        <w:t xml:space="preserve">[3, 4, 9, 30]</w:t>
      </w:r>
      <w:r>
        <w:t xml:space="preserve">.</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BlueAddPara"/>
      </w:pPr>
      <w:r>
        <w:rPr>
          <w:rStyle w:val="BlueAdd"/>
        </w:rPr>
        <w:t xml:space="preserve">Table 2.5 summarises the blockchain-based studies and their coverage of the key requirements.</w:t>
      </w:r>
    </w:p>
    <w:p>
      <w:pPr>
        <w:pStyle w:val="TableCaption"/>
      </w:pPr>
      <w:r>
        <w:rPr>
          <w:rStyle w:val="BlueAdd"/>
        </w:rPr>
        <w:t xml:space="preserve">Table 2.5: Descriptions, issues and limitations of the studies on blockchain-based healthcare data governance and their coverage of the key requirements</w:t>
      </w:r>
    </w:p>
    <w:tbl>
      <w:tblPr>
        <w:tblStyle w:val="Table"/>
        <w:tblW w:type="pct" w:w="5000"/>
        <w:tblLayout w:type="fixed"/>
        <w:tblLook w:firstRow="1" w:lastRow="0" w:firstColumn="0" w:lastColumn="0" w:noHBand="0" w:noVBand="0" w:val="0020"/>
        <w:tblCaption w:val="Table 2.5: Descriptions, issues and limitations of the studies on blockchain-based healthcare data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S10 [2]</w:t>
            </w:r>
          </w:p>
        </w:tc>
        <w:tc>
          <w:tcPr/>
          <w:p>
            <w:pPr>
              <w:pStyle w:val="Compact"/>
              <w:jc w:val="left"/>
            </w:pPr>
            <w:r>
              <w:rPr>
                <w:rStyle w:val="BlueAdd"/>
              </w:rPr>
              <w:t xml:space="preserve">Systematic review of 99 blockchain-based EHR proposals analysed by privacy, security, scalability, accessibility, cost, consensus and blockchain type.</w:t>
            </w:r>
          </w:p>
        </w:tc>
        <w:tc>
          <w:tcPr/>
          <w:p>
            <w:pPr>
              <w:pStyle w:val="Compact"/>
              <w:jc w:val="left"/>
            </w:pPr>
            <w:r>
              <w:rPr>
                <w:rStyle w:val="BlueAdd"/>
              </w:rPr>
              <w:t xml:space="preserve">Blockchain is evaluated as a storage and audit substrate; participant authority and consent scope are not modelled.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S11 [3]</w:t>
            </w:r>
          </w:p>
        </w:tc>
        <w:tc>
          <w:tcPr/>
          <w:p>
            <w:pPr>
              <w:pStyle w:val="Compact"/>
              <w:jc w:val="left"/>
            </w:pPr>
            <w:r>
              <w:rPr>
                <w:rStyle w:val="BlueAdd"/>
              </w:rPr>
              <w:t xml:space="preserve">Survey of blockchain architectures for healthcare systems, their security challenges, trends and future directions.</w:t>
            </w:r>
          </w:p>
        </w:tc>
        <w:tc>
          <w:tcPr/>
          <w:p>
            <w:pPr>
              <w:pStyle w:val="Compact"/>
              <w:jc w:val="left"/>
            </w:pPr>
            <w:r>
              <w:rPr>
                <w:rStyle w:val="BlueAdd"/>
              </w:rPr>
              <w:t xml:space="preserve">Architecture-level survey; the access decision itself is left to the individual systems reviewed.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S12 [4]</w:t>
            </w:r>
          </w:p>
        </w:tc>
        <w:tc>
          <w:tcPr/>
          <w:p>
            <w:pPr>
              <w:pStyle w:val="Compact"/>
              <w:jc w:val="left"/>
            </w:pPr>
            <w:r>
              <w:rPr>
                <w:rStyle w:val="BlueAdd"/>
              </w:rPr>
              <w:t xml:space="preserve">Survey classifying more than 40 blockchain healthcare systems by entity interactions, functional components, challenges and benefits, with a discussion of GDPR and HIPAA compliance.</w:t>
            </w:r>
          </w:p>
        </w:tc>
        <w:tc>
          <w:tcPr/>
          <w:p>
            <w:pPr>
              <w:pStyle w:val="Compact"/>
              <w:jc w:val="left"/>
            </w:pPr>
            <w:r>
              <w:rPr>
                <w:rStyle w:val="BlueAdd"/>
              </w:rPr>
              <w:t xml:space="preserve">Treats consent as a regulatory requirement rather than an evaluable object; authority verification is not addressed.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S13 [9]</w:t>
            </w:r>
          </w:p>
        </w:tc>
        <w:tc>
          <w:tcPr/>
          <w:p>
            <w:pPr>
              <w:pStyle w:val="Compact"/>
              <w:jc w:val="left"/>
            </w:pPr>
            <w:r>
              <w:rPr>
                <w:rStyle w:val="BlueAdd"/>
              </w:rPr>
              <w:t xml:space="preserve">Review of 144 articles on blockchain applications in healthcare, their application areas, limitations and research directions.</w:t>
            </w:r>
          </w:p>
        </w:tc>
        <w:tc>
          <w:tcPr/>
          <w:p>
            <w:pPr>
              <w:pStyle w:val="Compact"/>
              <w:jc w:val="left"/>
            </w:pPr>
            <w:r>
              <w:rPr>
                <w:rStyle w:val="BlueAdd"/>
              </w:rPr>
              <w:t xml:space="preserve">Confirms the auditability benefit; multi-party approval and authority verification are not treated.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S14 [25]</w:t>
            </w:r>
          </w:p>
        </w:tc>
        <w:tc>
          <w:tcPr/>
          <w:p>
            <w:pPr>
              <w:pStyle w:val="Compact"/>
              <w:jc w:val="left"/>
            </w:pPr>
            <w:r>
              <w:rPr>
                <w:rStyle w:val="BlueAdd"/>
              </w:rPr>
              <w:t xml:space="preserve">Survey and reference architecture for blockchain-based data sharing covering provenance, privacy, consent management and incentives across healthcare and other sectors.</w:t>
            </w:r>
          </w:p>
        </w:tc>
        <w:tc>
          <w:tcPr/>
          <w:p>
            <w:pPr>
              <w:pStyle w:val="Compact"/>
              <w:jc w:val="left"/>
            </w:pPr>
            <w:r>
              <w:rPr>
                <w:rStyle w:val="BlueAdd"/>
              </w:rPr>
              <w:t xml:space="preserve">Consent management is named as a challenge; the architecture does not specify how a request is evaluated against identity, approval and scope.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5"/>
    <w:bookmarkStart w:id="36" w:name="Xce8374abd25737680a0ea224e7b0673254898a7"/>
    <w:p>
      <w:pPr>
        <w:pStyle w:val="Heading3"/>
      </w:pPr>
      <w:r>
        <w:rPr>
          <w:rStyle w:val="PinkDelete"/>
        </w:rPr>
        <w:t xml:space="preserve">2.3.3</w:t>
      </w:r>
      <w:r>
        <w:t xml:space="preserve"> </w:t>
      </w:r>
      <w:r>
        <w:rPr>
          <w:rStyle w:val="PinkFix"/>
        </w:rPr>
        <w:t xml:space="preserve">2.4.3</w:t>
      </w:r>
      <w:r>
        <w:t xml:space="preserve"> </w:t>
      </w:r>
      <w:r>
        <w:t xml:space="preserve">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w:t>
      </w:r>
      <w:r>
        <w:t xml:space="preserve"> </w:t>
      </w:r>
      <w:r>
        <w:rPr>
          <w:rStyle w:val="PinkDelete"/>
        </w:rPr>
        <w:t xml:space="preserve">[6, 18, 20, 36]</w:t>
      </w:r>
      <w:r>
        <w:rPr>
          <w:rStyle w:val="PinkFix"/>
        </w:rPr>
        <w:t xml:space="preserve">[6, 18, 20, 36]</w:t>
      </w:r>
      <w:r>
        <w:t xml:space="preserve">.</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w:t>
      </w:r>
      <w:r>
        <w:t xml:space="preserve"> </w:t>
      </w:r>
      <w:r>
        <w:rPr>
          <w:rStyle w:val="PinkDelete"/>
        </w:rPr>
        <w:t xml:space="preserve">established or validated [6, 36]</w:t>
      </w:r>
      <w:r>
        <w:rPr>
          <w:rStyle w:val="PinkFix"/>
        </w:rPr>
        <w:t xml:space="preserve">established or validated [6, 36]</w:t>
      </w:r>
      <w:r>
        <w:t xml:space="preserve">. Other studies have examined privacy-preserving authentication and selective disclosure, allowing participants to prove selected attributes without unnecessarily</w:t>
      </w:r>
      <w:r>
        <w:t xml:space="preserve"> </w:t>
      </w:r>
      <w:r>
        <w:rPr>
          <w:rStyle w:val="PinkDelete"/>
        </w:rPr>
        <w:t xml:space="preserve">revealing additional information [7, 26]</w:t>
      </w:r>
      <w:r>
        <w:rPr>
          <w:rStyle w:val="PinkFix"/>
        </w:rPr>
        <w:t xml:space="preserve">revealing additional information [7, 26]</w:t>
      </w:r>
      <w:r>
        <w:t xml:space="preserve">.</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w:t>
      </w:r>
      <w:r>
        <w:rPr>
          <w:rStyle w:val="PinkFix"/>
        </w:rPr>
        <w:t xml:space="preserve">Reviews of blockchain-based identity management for the Internet of Things reach the same conclusion for constrained devices [17, 18].</w:t>
      </w:r>
      <w:r>
        <w:t xml:space="preserve"> </w:t>
      </w:r>
      <w:r>
        <w:t xml:space="preserve">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BlueAddPara"/>
      </w:pPr>
      <w:r>
        <w:rPr>
          <w:rStyle w:val="BlueAdd"/>
        </w:rPr>
        <w:t xml:space="preserve">Table 2.6 summarises the decentralised identity studies and their coverage of the key requirements.</w:t>
      </w:r>
    </w:p>
    <w:p>
      <w:pPr>
        <w:pStyle w:val="TableCaption"/>
      </w:pPr>
      <w:r>
        <w:rPr>
          <w:rStyle w:val="BlueAdd"/>
        </w:rPr>
        <w:t xml:space="preserve">Table 2.6: Descriptions, issues and limitations of the studies on decentralised identity and verifiable credentials and their coverage of the key requirements</w:t>
      </w:r>
    </w:p>
    <w:tbl>
      <w:tblPr>
        <w:tblStyle w:val="Table"/>
        <w:tblW w:type="pct" w:w="5000"/>
        <w:tblLayout w:type="fixed"/>
        <w:tblLook w:firstRow="1" w:lastRow="0" w:firstColumn="0" w:lastColumn="0" w:noHBand="0" w:noVBand="0" w:val="0020"/>
        <w:tblCaption w:val="Table 2.6: Descriptions, issues and limitations of the studies on decentralised identity and verifiable credentials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S15 [6]</w:t>
            </w:r>
          </w:p>
        </w:tc>
        <w:tc>
          <w:tcPr/>
          <w:p>
            <w:pPr>
              <w:pStyle w:val="Compact"/>
              <w:jc w:val="left"/>
            </w:pPr>
            <w:r>
              <w:rPr>
                <w:rStyle w:val="BlueAdd"/>
              </w:rPr>
              <w:t xml:space="preserve">FutureDID: a fully decentralised identity system in which identity claims are verified by multiple parties.</w:t>
            </w:r>
          </w:p>
        </w:tc>
        <w:tc>
          <w:tcPr/>
          <w:p>
            <w:pPr>
              <w:pStyle w:val="Compact"/>
              <w:jc w:val="left"/>
            </w:pPr>
            <w:r>
              <w:rPr>
                <w:rStyle w:val="BlueAdd"/>
              </w:rPr>
              <w:t xml:space="preserve">Multi-party verification applies to the identity claim, not to the authorisation of data access.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S16 [7]</w:t>
            </w:r>
          </w:p>
        </w:tc>
        <w:tc>
          <w:tcPr/>
          <w:p>
            <w:pPr>
              <w:pStyle w:val="Compact"/>
              <w:jc w:val="left"/>
            </w:pPr>
            <w:r>
              <w:rPr>
                <w:rStyle w:val="BlueAdd"/>
              </w:rPr>
              <w:t xml:space="preserve">Analysis of the cryptographic mechanisms available for the selective disclosure of verifiable credentials.</w:t>
            </w:r>
          </w:p>
        </w:tc>
        <w:tc>
          <w:tcPr/>
          <w:p>
            <w:pPr>
              <w:pStyle w:val="Compact"/>
              <w:jc w:val="left"/>
            </w:pPr>
            <w:r>
              <w:rPr>
                <w:rStyle w:val="BlueAdd"/>
              </w:rPr>
              <w:t xml:space="preserve">Concerns what a holder reveals, not whether the holder is authorised for a particular patient’s data.</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S17 [17]</w:t>
            </w:r>
          </w:p>
        </w:tc>
        <w:tc>
          <w:tcPr/>
          <w:p>
            <w:pPr>
              <w:pStyle w:val="Compact"/>
              <w:jc w:val="left"/>
            </w:pPr>
            <w:r>
              <w:rPr>
                <w:rStyle w:val="BlueAdd"/>
              </w:rPr>
              <w:t xml:space="preserve">Review of blockchain-based identity management, access control and trust mechanisms for the IoT.</w:t>
            </w:r>
          </w:p>
        </w:tc>
        <w:tc>
          <w:tcPr/>
          <w:p>
            <w:pPr>
              <w:pStyle w:val="Compact"/>
              <w:jc w:val="left"/>
            </w:pPr>
            <w:r>
              <w:rPr>
                <w:rStyle w:val="BlueAdd"/>
              </w:rPr>
              <w:t xml:space="preserve">IoT-oriented; consent and multi-party approval are outside its scope.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S18 [18]</w:t>
            </w:r>
          </w:p>
        </w:tc>
        <w:tc>
          <w:tcPr/>
          <w:p>
            <w:pPr>
              <w:pStyle w:val="Compact"/>
              <w:jc w:val="left"/>
            </w:pPr>
            <w:r>
              <w:rPr>
                <w:rStyle w:val="BlueAdd"/>
              </w:rPr>
              <w:t xml:space="preserve">Overview of decentralised and self-sovereign identity for IoT authentication, authorisation and access control.</w:t>
            </w:r>
          </w:p>
        </w:tc>
        <w:tc>
          <w:tcPr/>
          <w:p>
            <w:pPr>
              <w:pStyle w:val="Compact"/>
              <w:jc w:val="left"/>
            </w:pPr>
            <w:r>
              <w:rPr>
                <w:rStyle w:val="BlueAdd"/>
              </w:rPr>
              <w:t xml:space="preserve">Establishes DIDs and VCs as the identity pillars; authorisation is derived from the credential alone.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S19 [20]</w:t>
            </w:r>
          </w:p>
        </w:tc>
        <w:tc>
          <w:tcPr/>
          <w:p>
            <w:pPr>
              <w:pStyle w:val="Compact"/>
              <w:jc w:val="left"/>
            </w:pPr>
            <w:r>
              <w:rPr>
                <w:rStyle w:val="BlueAdd"/>
              </w:rPr>
              <w:t xml:space="preserve">Comprehensive survey of decentralised identifiers and verifiable credentials, their standards, architectures and open issues.</w:t>
            </w:r>
          </w:p>
        </w:tc>
        <w:tc>
          <w:tcPr/>
          <w:p>
            <w:pPr>
              <w:pStyle w:val="Compact"/>
              <w:jc w:val="left"/>
            </w:pPr>
            <w:r>
              <w:rPr>
                <w:rStyle w:val="BlueAdd"/>
              </w:rPr>
              <w:t xml:space="preserve">Identity and credential validity are the end point; there is no link to consent-defined authority.</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S20 [26]</w:t>
            </w:r>
          </w:p>
        </w:tc>
        <w:tc>
          <w:tcPr/>
          <w:p>
            <w:pPr>
              <w:pStyle w:val="Compact"/>
              <w:jc w:val="left"/>
            </w:pPr>
            <w:r>
              <w:rPr>
                <w:rStyle w:val="BlueAdd"/>
              </w:rPr>
              <w:t xml:space="preserve">DID/VC-based privacy-preserving authentication protocol with zero-knowledge proofs for electric-vehicle charging.</w:t>
            </w:r>
          </w:p>
        </w:tc>
        <w:tc>
          <w:tcPr/>
          <w:p>
            <w:pPr>
              <w:pStyle w:val="Compact"/>
              <w:jc w:val="left"/>
            </w:pPr>
            <w:r>
              <w:rPr>
                <w:rStyle w:val="BlueAdd"/>
              </w:rPr>
              <w:t xml:space="preserve">Shows DID/VC authentication in another domain; no consent or scope conditions.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S21 [36]</w:t>
            </w:r>
          </w:p>
        </w:tc>
        <w:tc>
          <w:tcPr/>
          <w:p>
            <w:pPr>
              <w:pStyle w:val="Compact"/>
              <w:jc w:val="left"/>
            </w:pPr>
            <w:r>
              <w:rPr>
                <w:rStyle w:val="BlueAdd"/>
              </w:rPr>
              <w:t xml:space="preserve">DP-DID: a dynamic and proactive decentralised identity system that supports identity updates and revocation.</w:t>
            </w:r>
          </w:p>
        </w:tc>
        <w:tc>
          <w:tcPr/>
          <w:p>
            <w:pPr>
              <w:pStyle w:val="Compact"/>
              <w:jc w:val="left"/>
            </w:pPr>
            <w:r>
              <w:rPr>
                <w:rStyle w:val="BlueAdd"/>
              </w:rPr>
              <w:t xml:space="preserve">Lifecycle handling applies to the identity, not to the consent that authorises access.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6"/>
    <w:bookmarkStart w:id="37" w:name="X836fdb855249812e1f666cb0298115c8e62a77c"/>
    <w:p>
      <w:pPr>
        <w:pStyle w:val="Heading3"/>
      </w:pPr>
      <w:r>
        <w:rPr>
          <w:rStyle w:val="PinkDelete"/>
        </w:rPr>
        <w:t xml:space="preserve">2.3.4</w:t>
      </w:r>
      <w:r>
        <w:t xml:space="preserve"> </w:t>
      </w:r>
      <w:r>
        <w:rPr>
          <w:rStyle w:val="PinkFix"/>
        </w:rPr>
        <w:t xml:space="preserve">2.4.4</w:t>
      </w:r>
      <w:r>
        <w:t xml:space="preserve"> </w:t>
      </w:r>
      <w:r>
        <w:rPr>
          <w:rStyle w:val="PinkDelete"/>
        </w:rPr>
        <w:t xml:space="preserve">Multi-Party Authorisation and Collaborative Consent</w:t>
      </w:r>
      <w:r>
        <w:t xml:space="preserve"> </w:t>
      </w:r>
      <w:r>
        <w:rPr>
          <w:rStyle w:val="PinkFix"/>
        </w:rPr>
        <w:t xml:space="preserve">Multi-Party and Decentralised Governance</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w:t>
      </w:r>
      <w:r>
        <w:t xml:space="preserve"> </w:t>
      </w:r>
      <w:r>
        <w:rPr>
          <w:rStyle w:val="PinkDelete"/>
        </w:rPr>
        <w:t xml:space="preserve">different responsibilities and authority levels [11]</w:t>
      </w:r>
      <w:r>
        <w:rPr>
          <w:rStyle w:val="PinkFix"/>
        </w:rPr>
        <w:t xml:space="preserve">different responsibilities and authority levels [10, 11]</w:t>
      </w:r>
      <w:r>
        <w:t xml:space="preserve">.</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w:t>
      </w:r>
      <w:r>
        <w:rPr>
          <w:rStyle w:val="PinkFix"/>
        </w:rPr>
        <w:t xml:space="preserve">A decentralised trust framework for multi-stakeholder livestock data sharing shows that controlled exposure to authorised entities can be achieved without a central authority [1].</w:t>
      </w:r>
      <w:r>
        <w:t xml:space="preserve"> </w:t>
      </w:r>
      <w:r>
        <w:rPr>
          <w:rStyle w:val="PinkDelete"/>
        </w:rPr>
        <w:t xml:space="preserve">Decentralised decision-making has also been investigated in combination with blockchain and large-scale data systems [29].</w:t>
      </w:r>
      <w:r>
        <w:rPr>
          <w:rStyle w:val="PinkFix"/>
        </w:rPr>
        <w:t xml:space="preserve">A blockchain-aided data-governance framework for multi-stakeholder applications lets the data owner manage consent and disclose data selectively while the data consumers verify its provenance, and demonstrates this on an e-prescription case involving patients, doctors and pharmacists [8].</w:t>
      </w:r>
      <w:r>
        <w:t xml:space="preserve"> </w:t>
      </w:r>
      <w:r>
        <w:t xml:space="preserve">FutureDID further demonstrates that multi-party verification can be incorporated into decentralised identity processes [6].</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BlueAddPara"/>
      </w:pPr>
      <w:r>
        <w:rPr>
          <w:rStyle w:val="BlueAdd"/>
        </w:rPr>
        <w:t xml:space="preserve">The closest existing approach to threshold-based authorisation is the multi-party pre-authorisation protocol of Tan et al. [29], in which a patient pre-delegates access authorisation to several parties using self-sovereign identity, secure multi-party computation and threshold cryptography, so that a record can be released only when a threshold of shares is combined. The threshold applies to cryptographic shares held by parties chosen in advance, however, and the resulting approval is not evaluated against the requester’s authority or the purpose and scope of the request.</w:t>
      </w:r>
    </w:p>
    <w:p>
      <w:pPr>
        <w:pStyle w:val="BlueAddPara"/>
      </w:pPr>
      <w:r>
        <w:rPr>
          <w:rStyle w:val="BlueAdd"/>
        </w:rPr>
        <w:t xml:space="preserve">Table 2.7 summarises the multi-party governance studies and their coverage of the key requirements.</w:t>
      </w:r>
    </w:p>
    <w:p>
      <w:pPr>
        <w:pStyle w:val="TableCaption"/>
      </w:pPr>
      <w:r>
        <w:rPr>
          <w:rStyle w:val="BlueAdd"/>
        </w:rPr>
        <w:t xml:space="preserve">Table 2.7: Descriptions, issues and limitations of the studies on multi-party and decentralised governance and their coverage of the key requirements</w:t>
      </w:r>
    </w:p>
    <w:tbl>
      <w:tblPr>
        <w:tblStyle w:val="Table"/>
        <w:tblW w:type="pct" w:w="5000"/>
        <w:tblLayout w:type="fixed"/>
        <w:tblLook w:firstRow="1" w:lastRow="0" w:firstColumn="0" w:lastColumn="0" w:noHBand="0" w:noVBand="0" w:val="0020"/>
        <w:tblCaption w:val="Table 2.7: Descriptions, issues and limitations of the studies on multi-party and decentralised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S22 [1]</w:t>
            </w:r>
          </w:p>
        </w:tc>
        <w:tc>
          <w:tcPr/>
          <w:p>
            <w:pPr>
              <w:pStyle w:val="Compact"/>
              <w:jc w:val="left"/>
            </w:pPr>
            <w:r>
              <w:rPr>
                <w:rStyle w:val="BlueAdd"/>
              </w:rPr>
              <w:t xml:space="preserve">FLEX framework for decentralised trust and secure data sharing among livestock supply-chain stakeholders, with STRIDE threat modelling and an open-source implementation.</w:t>
            </w:r>
          </w:p>
        </w:tc>
        <w:tc>
          <w:tcPr/>
          <w:p>
            <w:pPr>
              <w:pStyle w:val="Compact"/>
              <w:jc w:val="left"/>
            </w:pPr>
            <w:r>
              <w:rPr>
                <w:rStyle w:val="BlueAdd"/>
              </w:rPr>
              <w:t xml:space="preserve">Controlled exposure to authorised entities is supported, but approvals are not aggregated to a threshold and consent is not modelled.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S23 [19]</w:t>
            </w:r>
          </w:p>
        </w:tc>
        <w:tc>
          <w:tcPr/>
          <w:p>
            <w:pPr>
              <w:pStyle w:val="Compact"/>
              <w:jc w:val="left"/>
            </w:pPr>
            <w:r>
              <w:rPr>
                <w:rStyle w:val="BlueAdd"/>
              </w:rPr>
              <w:t xml:space="preserve">Data Trusts as a Service: a platform through which multiple parties take part in data-sharing arrangements and their governance.</w:t>
            </w:r>
          </w:p>
        </w:tc>
        <w:tc>
          <w:tcPr/>
          <w:p>
            <w:pPr>
              <w:pStyle w:val="Compact"/>
              <w:jc w:val="left"/>
            </w:pPr>
            <w:r>
              <w:rPr>
                <w:rStyle w:val="BlueAdd"/>
              </w:rPr>
              <w:t xml:space="preserve">Governance is collective, but the individual access decision is not bound to identity verification or consent scope.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S24 [8]</w:t>
            </w:r>
          </w:p>
        </w:tc>
        <w:tc>
          <w:tcPr/>
          <w:p>
            <w:pPr>
              <w:pStyle w:val="Compact"/>
              <w:jc w:val="left"/>
            </w:pPr>
            <w:r>
              <w:rPr>
                <w:rStyle w:val="BlueAdd"/>
              </w:rPr>
              <w:t xml:space="preserve">Decentralised data-governance framework for multi-stakeholder applications that combines blockchain, proxy re-encryption and BBS signatures so that data owners can manage consent, disclose data selectively and let consumers verify provenance, evaluated on an e-prescription use case with patients, doctors and pharmacists.</w:t>
            </w:r>
          </w:p>
        </w:tc>
        <w:tc>
          <w:tcPr/>
          <w:p>
            <w:pPr>
              <w:pStyle w:val="Compact"/>
              <w:jc w:val="left"/>
            </w:pPr>
            <w:r>
              <w:rPr>
                <w:rStyle w:val="BlueAdd"/>
              </w:rPr>
              <w:t xml:space="preserve">Consent and selective disclosure are controlled by the data owner alone; the requester’s authority and any multi-party approval threshold are not evaluated before the data is released.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S25 [29]</w:t>
            </w:r>
          </w:p>
        </w:tc>
        <w:tc>
          <w:tcPr/>
          <w:p>
            <w:pPr>
              <w:pStyle w:val="Compact"/>
              <w:jc w:val="left"/>
            </w:pPr>
            <w:r>
              <w:rPr>
                <w:rStyle w:val="BlueAdd"/>
              </w:rPr>
              <w:t xml:space="preserve">Patient-centric protocol in which the patient pre-delegates authorisation for EHR access to several parties, combining self-sovereign identity with secure multi-party computation and threshold cryptography so that access requires a threshold of shares.</w:t>
            </w:r>
          </w:p>
        </w:tc>
        <w:tc>
          <w:tcPr/>
          <w:p>
            <w:pPr>
              <w:pStyle w:val="Compact"/>
              <w:jc w:val="left"/>
            </w:pPr>
            <w:r>
              <w:rPr>
                <w:rStyle w:val="BlueAdd"/>
              </w:rPr>
              <w:t xml:space="preserve">The threshold applies to cryptographic shares held by parties fixed in advance; the approval is not evaluated against the requester’s authority or the purpose and scope of the request.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7"/>
    <w:bookmarkStart w:id="38" w:name="X65ac327857ae873d38ffe426701abf3e34d1162"/>
    <w:p>
      <w:pPr>
        <w:pStyle w:val="Heading3"/>
      </w:pPr>
      <w:r>
        <w:rPr>
          <w:rStyle w:val="PinkDelete"/>
        </w:rPr>
        <w:t xml:space="preserve">2.3.5</w:t>
      </w:r>
      <w:r>
        <w:t xml:space="preserve"> </w:t>
      </w:r>
      <w:r>
        <w:rPr>
          <w:rStyle w:val="PinkFix"/>
        </w:rPr>
        <w:t xml:space="preserve">2.4.5</w:t>
      </w:r>
      <w:r>
        <w:t xml:space="preserve"> </w:t>
      </w:r>
      <w:r>
        <w:rPr>
          <w:rStyle w:val="PinkDelete"/>
        </w:rPr>
        <w:t xml:space="preserve">Policy-Based and Context-Aware Access Control</w:t>
      </w:r>
      <w:r>
        <w:t xml:space="preserve"> </w:t>
      </w:r>
      <w:r>
        <w:rPr>
          <w:rStyle w:val="PinkFix"/>
        </w:rPr>
        <w:t xml:space="preserve">Policy-Based and Healthcare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[35]. Risk-aware and usage-control models have further investigated how access decisions can incorporate dynamic conditions and constraints beyond traditional role-based permissions [13].</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[24, 30].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BlueAddPara"/>
      </w:pPr>
      <w:r>
        <w:rPr>
          <w:rStyle w:val="BlueAdd"/>
        </w:rPr>
        <w:t xml:space="preserve">Purpose-based access control has also been combined with blockchain audit trails so that every access is recorded together with its declared purpose [31], and policy-based access control governed by smart contracts allows the subject, controller and requester roles of the GDPR to grant, revoke and inspect access rights [34]. In both cases the purpose is checked against a policy rather than against the purpose the patient consented to. SmartAccess goes further by letting the organisations involved agree jointly on attribute-based access policies enforced by smart contracts [5]; the agreement is between organisations, however, rather than between the patient and the parties who must approve access.</w:t>
      </w:r>
    </w:p>
    <w:p>
      <w:pPr>
        <w:pStyle w:val="BlueAddPara"/>
      </w:pPr>
      <w:r>
        <w:rPr>
          <w:rStyle w:val="BlueAdd"/>
        </w:rPr>
        <w:t xml:space="preserve">Table 2.8 summarises the access-control studies and their coverage of the key requirements.</w:t>
      </w:r>
    </w:p>
    <w:p>
      <w:pPr>
        <w:pStyle w:val="TableCaption"/>
      </w:pPr>
      <w:r>
        <w:rPr>
          <w:rStyle w:val="BlueAdd"/>
        </w:rPr>
        <w:t xml:space="preserve">Table 2.8: Descriptions, issues and limitations of the studies on policy-based and healthcare access control and their coverage of the key requirements</w:t>
      </w:r>
    </w:p>
    <w:tbl>
      <w:tblPr>
        <w:tblStyle w:val="Table"/>
        <w:tblW w:type="pct" w:w="5000"/>
        <w:tblLayout w:type="fixed"/>
        <w:tblLook w:firstRow="1" w:lastRow="0" w:firstColumn="0" w:lastColumn="0" w:noHBand="0" w:noVBand="0" w:val="0020"/>
        <w:tblCaption w:val="Table 2.8: Descriptions, issues and limitations of the studies on policy-based and healthcare access control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S26 [13]</w:t>
            </w:r>
          </w:p>
        </w:tc>
        <w:tc>
          <w:tcPr/>
          <w:p>
            <w:pPr>
              <w:pStyle w:val="Compact"/>
              <w:jc w:val="left"/>
            </w:pPr>
            <w:r>
              <w:rPr>
                <w:rStyle w:val="BlueAdd"/>
              </w:rPr>
              <w:t xml:space="preserve">RQ-UCON: a usage-control model for healthcare big data that quantifies physician risk from visit history and adjusts access rights in real time.</w:t>
            </w:r>
          </w:p>
        </w:tc>
        <w:tc>
          <w:tcPr/>
          <w:p>
            <w:pPr>
              <w:pStyle w:val="Compact"/>
              <w:jc w:val="left"/>
            </w:pPr>
            <w:r>
              <w:rPr>
                <w:rStyle w:val="BlueAdd"/>
              </w:rPr>
              <w:t xml:space="preserve">Access is conditioned on risk and usage, not on patient consent or multi-party approval.</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S27 [24]</w:t>
            </w:r>
          </w:p>
        </w:tc>
        <w:tc>
          <w:tcPr/>
          <w:p>
            <w:pPr>
              <w:pStyle w:val="Compact"/>
              <w:jc w:val="left"/>
            </w:pPr>
            <w:r>
              <w:rPr>
                <w:rStyle w:val="BlueAdd"/>
              </w:rPr>
              <w:t xml:space="preserve">Survey of access control in healthcare IoT (RBAC, ABAC, CapBAC, CAAC), emergency access, privacy compliance and DID/VC-based authorisation.</w:t>
            </w:r>
          </w:p>
        </w:tc>
        <w:tc>
          <w:tcPr/>
          <w:p>
            <w:pPr>
              <w:pStyle w:val="Compact"/>
              <w:jc w:val="left"/>
            </w:pPr>
            <w:r>
              <w:rPr>
                <w:rStyle w:val="BlueAdd"/>
              </w:rPr>
              <w:t xml:space="preserve">Surveys the models in isolation; the integration of consent, identity and collective approval is identified as a gap, not solved.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S28 [30]</w:t>
            </w:r>
          </w:p>
        </w:tc>
        <w:tc>
          <w:tcPr/>
          <w:p>
            <w:pPr>
              <w:pStyle w:val="Compact"/>
              <w:jc w:val="left"/>
            </w:pPr>
            <w:r>
              <w:rPr>
                <w:rStyle w:val="BlueAdd"/>
              </w:rPr>
              <w:t xml:space="preserve">Survey of 45 blockchain-based access-control and privacy-preservation frameworks for EHRs, including smart-contract authentication and cryptographic techniques.</w:t>
            </w:r>
          </w:p>
        </w:tc>
        <w:tc>
          <w:tcPr/>
          <w:p>
            <w:pPr>
              <w:pStyle w:val="Compact"/>
              <w:jc w:val="left"/>
            </w:pPr>
            <w:r>
              <w:rPr>
                <w:rStyle w:val="BlueAdd"/>
              </w:rPr>
              <w:t xml:space="preserve">Smart contracts enforce rules, but the surveyed frameworks do not evaluate multi-party consent conditions.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S29 [35]</w:t>
            </w:r>
          </w:p>
        </w:tc>
        <w:tc>
          <w:tcPr/>
          <w:p>
            <w:pPr>
              <w:pStyle w:val="Compact"/>
              <w:jc w:val="left"/>
            </w:pPr>
            <w:r>
              <w:rPr>
                <w:rStyle w:val="BlueAdd"/>
              </w:rPr>
              <w:t xml:space="preserve">Attribute-based searchable encryption with decentralised key management for healthcare data sharing.</w:t>
            </w:r>
          </w:p>
        </w:tc>
        <w:tc>
          <w:tcPr/>
          <w:p>
            <w:pPr>
              <w:pStyle w:val="Compact"/>
              <w:jc w:val="left"/>
            </w:pPr>
            <w:r>
              <w:rPr>
                <w:rStyle w:val="BlueAdd"/>
              </w:rPr>
              <w:t xml:space="preserve">Cryptographic enforcement of attribute policies; authority and consent approval are assumed rather than verified.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S30 [5]</w:t>
            </w:r>
          </w:p>
        </w:tc>
        <w:tc>
          <w:tcPr/>
          <w:p>
            <w:pPr>
              <w:pStyle w:val="Compact"/>
              <w:jc w:val="left"/>
            </w:pPr>
            <w:r>
              <w:rPr>
                <w:rStyle w:val="BlueAdd"/>
              </w:rPr>
              <w:t xml:space="preserve">SmartAccess: attribute-based access control for cross-organisation medical-record sharing implemented as smart contracts on a permissioned blockchain, with joint agreement over access policies, a threat model and a performance evaluation.</w:t>
            </w:r>
          </w:p>
        </w:tc>
        <w:tc>
          <w:tcPr/>
          <w:p>
            <w:pPr>
              <w:pStyle w:val="Compact"/>
              <w:jc w:val="left"/>
            </w:pPr>
            <w:r>
              <w:rPr>
                <w:rStyle w:val="BlueAdd"/>
              </w:rPr>
              <w:t xml:space="preserve">Policies are agreed jointly by organisations, not by the patient and guardians; the decision follows attributes rather than the purpose and scope of a consent.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S31 [31]</w:t>
            </w:r>
          </w:p>
        </w:tc>
        <w:tc>
          <w:tcPr/>
          <w:p>
            <w:pPr>
              <w:pStyle w:val="Compact"/>
              <w:jc w:val="left"/>
            </w:pPr>
            <w:r>
              <w:rPr>
                <w:rStyle w:val="BlueAdd"/>
              </w:rPr>
              <w:t xml:space="preserve">Blockchain-based EHR access auditing that records who accessed which record, when and for what purpose, combined with purpose-based access control enforced by smart contracts.</w:t>
            </w:r>
          </w:p>
        </w:tc>
        <w:tc>
          <w:tcPr/>
          <w:p>
            <w:pPr>
              <w:pStyle w:val="Compact"/>
              <w:jc w:val="left"/>
            </w:pPr>
            <w:r>
              <w:rPr>
                <w:rStyle w:val="BlueAdd"/>
              </w:rPr>
              <w:t xml:space="preserve">Purpose is checked against a policy, not against the purpose the patient consented to; no identity verification or collective approval.</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S32 [34]</w:t>
            </w:r>
          </w:p>
        </w:tc>
        <w:tc>
          <w:tcPr/>
          <w:p>
            <w:pPr>
              <w:pStyle w:val="Compact"/>
              <w:jc w:val="left"/>
            </w:pPr>
            <w:r>
              <w:rPr>
                <w:rStyle w:val="BlueAdd"/>
              </w:rPr>
              <w:t xml:space="preserve">Policy-based access control for EHRs governed by smart contracts, in which the subject, controller and requester roles of the GDPR can grant, revoke and inspect access rights.</w:t>
            </w:r>
          </w:p>
        </w:tc>
        <w:tc>
          <w:tcPr/>
          <w:p>
            <w:pPr>
              <w:pStyle w:val="Compact"/>
              <w:jc w:val="left"/>
            </w:pPr>
            <w:r>
              <w:rPr>
                <w:rStyle w:val="BlueAdd"/>
              </w:rPr>
              <w:t xml:space="preserve">Policies are role-based; consent is implicit in the subject’s grant and no threshold of approvals is required.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8"/>
    <w:bookmarkStart w:id="39" w:name="X70697d1bf80033494359f9b6207e02cd31d6057"/>
    <w:p>
      <w:pPr>
        <w:pStyle w:val="Heading3"/>
      </w:pPr>
      <w:r>
        <w:rPr>
          <w:rStyle w:val="PinkDelete"/>
        </w:rPr>
        <w:t xml:space="preserve">2.3.6</w:t>
      </w:r>
      <w:r>
        <w:t xml:space="preserve"> </w:t>
      </w:r>
      <w:r>
        <w:rPr>
          <w:rStyle w:val="PinkFix"/>
        </w:rPr>
        <w:t xml:space="preserve">2.4.6</w:t>
      </w:r>
      <w:r>
        <w:t xml:space="preserve"> </w:t>
      </w:r>
      <w:r>
        <w:t xml:space="preserve">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[22].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pStyle w:val="BlueAddPara"/>
      </w:pPr>
      <w:r>
        <w:rPr>
          <w:rStyle w:val="BlueAdd"/>
        </w:rPr>
        <w:t xml:space="preserve">Table 2.9 summarises the Trusted Computing study and its coverage of the key requirements.</w:t>
      </w:r>
    </w:p>
    <w:p>
      <w:pPr>
        <w:pStyle w:val="TableCaption"/>
      </w:pPr>
      <w:r>
        <w:rPr>
          <w:rStyle w:val="BlueAdd"/>
        </w:rPr>
        <w:t xml:space="preserve">Table 2.9: Descriptions, issues and limitations of the studies on trusted computing and secure execution and their coverage of the key requirements</w:t>
      </w:r>
    </w:p>
    <w:tbl>
      <w:tblPr>
        <w:tblStyle w:val="Table"/>
        <w:tblW w:type="pct" w:w="5000"/>
        <w:tblLayout w:type="fixed"/>
        <w:tblLook w:firstRow="1" w:lastRow="0" w:firstColumn="0" w:lastColumn="0" w:noHBand="0" w:noVBand="0" w:val="0020"/>
        <w:tblCaption w:val="Table 2.9: Descriptions, issues and limitations of the studies on trusted computing and secure execution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S33 [22]</w:t>
            </w:r>
          </w:p>
        </w:tc>
        <w:tc>
          <w:tcPr/>
          <w:p>
            <w:pPr>
              <w:pStyle w:val="Compact"/>
              <w:jc w:val="left"/>
            </w:pPr>
            <w:r>
              <w:rPr>
                <w:rStyle w:val="BlueAdd"/>
              </w:rPr>
              <w:t xml:space="preserve">Systematic explanation of remote-attestation mechanisms for trusted execution environments.</w:t>
            </w:r>
          </w:p>
        </w:tc>
        <w:tc>
          <w:tcPr/>
          <w:p>
            <w:pPr>
              <w:pStyle w:val="Compact"/>
              <w:jc w:val="left"/>
            </w:pPr>
            <w:r>
              <w:rPr>
                <w:rStyle w:val="BlueAdd"/>
              </w:rPr>
              <w:t xml:space="preserve">Protects the execution; it says nothing about whether the authorisation policy being executed is correct.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9"/>
    <w:bookmarkStart w:id="40" w:name="X825064b2f9c6a59f6907e485e5a8e31c4a70bee"/>
    <w:p>
      <w:pPr>
        <w:pStyle w:val="Heading3"/>
      </w:pPr>
      <w:r>
        <w:rPr>
          <w:rStyle w:val="PinkDelete"/>
        </w:rPr>
        <w:t xml:space="preserve">2.3.7</w:t>
      </w:r>
      <w:r>
        <w:t xml:space="preserve"> </w:t>
      </w:r>
      <w:r>
        <w:rPr>
          <w:rStyle w:val="PinkFix"/>
        </w:rPr>
        <w:t xml:space="preserve">2.4.7</w:t>
      </w:r>
      <w:r>
        <w:t xml:space="preserve"> </w:t>
      </w:r>
      <w:r>
        <w:t xml:space="preserve">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rPr>
          <w:rStyle w:val="PinkDelete"/>
        </w:rPr>
        <w:t xml:space="preserve">Table 2.10 summarises the principal focus</w:t>
      </w:r>
      <w:r>
        <w:rPr>
          <w:rStyle w:val="PinkFix"/>
        </w:rPr>
        <w:t xml:space="preserve">Table 2.10 summarises the principal focus</w:t>
      </w:r>
      <w:r>
        <w:t xml:space="preserve"> </w:t>
      </w:r>
      <w:r>
        <w:t xml:space="preserve">and limitations of the major research streams and positions the proposed framework relative to the existing literature.</w:t>
      </w:r>
    </w:p>
    <w:p>
      <w:pPr>
        <w:pStyle w:val="TableCaption"/>
      </w:pPr>
      <w:r>
        <w:rPr>
          <w:rStyle w:val="PinkDelete"/>
        </w:rPr>
        <w:t xml:space="preserve">Table 2.10: Comparison of Existing Research Approaches and the Proposed Framework</w:t>
      </w:r>
      <w:r>
        <w:rPr>
          <w:rStyle w:val="PinkFix"/>
        </w:rPr>
        <w:t xml:space="preserve">Table 2.10: Comparison of the existing research streams and the proposed framework</w:t>
      </w:r>
    </w:p>
    <w:tbl>
      <w:tblPr>
        <w:tblStyle w:val="Table"/>
        <w:tblW w:type="pct" w:w="4965"/>
        <w:tblLayout w:type="fixed"/>
        <w:tblLook w:firstRow="1" w:lastRow="0" w:firstColumn="0" w:lastColumn="0" w:noHBand="0" w:noVBand="0" w:val="0020"/>
        <w:tblCaption w:val="Table 2.10: Comparison of Existing Research Approaches and the Proposed FrameworkTable 2.10: Comparison of the existing research streams and the proposed framework"/>
      </w:tblPr>
      <w:tblGrid>
        <w:gridCol w:w="1445"/>
        <w:gridCol w:w="2806"/>
        <w:gridCol w:w="2695"/>
        <w:gridCol w:w="91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rPr>
                <w:rStyle w:val="PinkDelete"/>
              </w:rPr>
              <w:t xml:space="preserve">[12, 14, 15, 16, 21, 23, 32]</w:t>
            </w:r>
            <w:r>
              <w:rPr>
                <w:rStyle w:val="PinkFix"/>
              </w:rPr>
              <w:t xml:space="preserve">[10, 12, 15, 21, 23, 27, 28, 33]</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rPr>
                <w:rStyle w:val="PinkDelete"/>
              </w:rPr>
              <w:t xml:space="preserve">[2, 3, 4, 9, 25]</w:t>
            </w:r>
            <w:r>
              <w:rPr>
                <w:rStyle w:val="PinkFix"/>
              </w:rPr>
              <w:t xml:space="preserve">[2, 3, 4, 9, 25]</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[6, 7, 18, 20, 26, 36]</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rPr>
                <w:rStyle w:val="PinkDelete"/>
              </w:rPr>
              <w:t xml:space="preserve">[6, 11, 19]</w:t>
            </w:r>
            <w:r>
              <w:rPr>
                <w:rStyle w:val="PinkFix"/>
              </w:rPr>
              <w:t xml:space="preserve">[1, 6, 8, 11, 19, 29]</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rPr>
                <w:rStyle w:val="PinkDelete"/>
              </w:rPr>
              <w:t xml:space="preserve">[13, 24, 30, 35]</w:t>
            </w:r>
            <w:r>
              <w:rPr>
                <w:rStyle w:val="PinkFix"/>
              </w:rPr>
              <w:t xml:space="preserve">[5, 13, 24, 30, 31, 34, 35]</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rPr>
                <w:rStyle w:val="PinkDelete"/>
              </w:rPr>
              <w:t xml:space="preserve">[22]</w:t>
            </w:r>
            <w:r>
              <w:rPr>
                <w:rStyle w:val="PinkFix"/>
              </w:rPr>
              <w:t xml:space="preserve">[22]</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40"/>
    <w:bookmarkEnd w:id="41"/>
    <w:bookmarkStart w:id="42" w:name="X8f0d5a13a2d56d21e1bec7d2ebd521767d7b0f3"/>
    <w:p>
      <w:pPr>
        <w:pStyle w:val="Heading2"/>
      </w:pPr>
      <w:r>
        <w:rPr>
          <w:rStyle w:val="PinkDelete"/>
        </w:rPr>
        <w:t xml:space="preserve">2.4</w:t>
      </w:r>
      <w:r>
        <w:t xml:space="preserve"> </w:t>
      </w:r>
      <w:r>
        <w:rPr>
          <w:rStyle w:val="PinkFix"/>
        </w:rPr>
        <w:t xml:space="preserve">2.5</w:t>
      </w:r>
      <w:r>
        <w:t xml:space="preserve"> </w:t>
      </w:r>
      <w:r>
        <w:rPr>
          <w:rStyle w:val="PinkDelete"/>
        </w:rPr>
        <w:t xml:space="preserve">Synthesis and Research Gap</w:t>
      </w:r>
      <w:r>
        <w:t xml:space="preserve"> </w:t>
      </w:r>
      <w:r>
        <w:rPr>
          <w:rStyle w:val="PinkFix"/>
        </w:rPr>
        <w:t xml:space="preserve">Research Gaps in the Existing Studies from the Requirement Perspective</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lueAddPara"/>
      </w:pPr>
      <w:r>
        <w:rPr>
          <w:rStyle w:val="BlueAdd"/>
        </w:rPr>
        <w:t xml:space="preserve">From the perspective of the five key requirements defined in Section 2.2, the shortlisted studies (Tables 2.4–2.9) show the following gaps:</w:t>
      </w:r>
    </w:p>
    <w:p>
      <w:pPr>
        <w:pStyle w:val="BlueAddPara"/>
        <w:numPr>
          <w:ilvl w:val="0"/>
          <w:numId w:val="1004"/>
        </w:numPr>
      </w:pPr>
      <w:r>
        <w:rPr>
          <w:rStyle w:val="BlueAdd"/>
          <w:b/>
          <w:bCs/>
        </w:rPr>
        <w:t xml:space="preserve">Consent as an evaluable authorisation object (Req 1).</w:t>
      </w:r>
      <w:r>
        <w:rPr>
          <w:rStyle w:val="BlueAdd"/>
        </w:rPr>
        <w:t xml:space="preserve"> </w:t>
      </w:r>
      <w:r>
        <w:rPr>
          <w:rStyle w:val="BlueAdd"/>
        </w:rPr>
        <w:t xml:space="preserve">Only S2, S3, S4, S5, S6, S7, S8, S14, S24 treat consent as more than a stored permission, and even these stop at recording, encrypting, executing or legally defining consent. None of the studies represents consent as an object that carries the identity, authority, approval, purpose and scope conditions required to evaluate a later request.</w:t>
      </w:r>
    </w:p>
    <w:p>
      <w:pPr>
        <w:pStyle w:val="BlueAddPara"/>
        <w:numPr>
          <w:ilvl w:val="0"/>
          <w:numId w:val="1004"/>
        </w:numPr>
      </w:pPr>
      <w:r>
        <w:rPr>
          <w:rStyle w:val="BlueAdd"/>
          <w:b/>
          <w:bCs/>
        </w:rPr>
        <w:t xml:space="preserve">Verifiable identity separated from authority (Req 2).</w:t>
      </w:r>
      <w:r>
        <w:rPr>
          <w:rStyle w:val="BlueAdd"/>
        </w:rPr>
        <w:t xml:space="preserve"> </w:t>
      </w:r>
      <w:r>
        <w:rPr>
          <w:rStyle w:val="BlueAdd"/>
        </w:rPr>
        <w:t xml:space="preserve">The decentralised identity studies (S15, S16, S17, S18, S19, S20, S21), the multi-party and access-control studies S22, S25, S27 and the paediatric record-access review S9 establish who a participant is, but in every case the credential is treated as the end of the decision. No study models the authority required by a particular consent as a condition that is verified separately from identity.</w:t>
      </w:r>
    </w:p>
    <w:p>
      <w:pPr>
        <w:pStyle w:val="BlueAddPara"/>
        <w:numPr>
          <w:ilvl w:val="0"/>
          <w:numId w:val="1004"/>
        </w:numPr>
      </w:pPr>
      <w:r>
        <w:rPr>
          <w:rStyle w:val="BlueAdd"/>
          <w:b/>
          <w:bCs/>
        </w:rPr>
        <w:t xml:space="preserve">Multi-party threshold authorisation (Req 3).</w:t>
      </w:r>
      <w:r>
        <w:rPr>
          <w:rStyle w:val="BlueAdd"/>
        </w:rPr>
        <w:t xml:space="preserve"> </w:t>
      </w:r>
      <w:r>
        <w:rPr>
          <w:rStyle w:val="BlueAdd"/>
        </w:rPr>
        <w:t xml:space="preserve">Multi-party mechanisms appear in S15, S23, S25: multi-party verification of identity claims, collective governance of data trusts, collective decision-making and threshold-based pre-authorisation of record access. In none of them is a threshold of independently verified approvals attached to the patient’s consent and evaluated when access is requested.</w:t>
      </w:r>
    </w:p>
    <w:p>
      <w:pPr>
        <w:pStyle w:val="BlueAddPara"/>
        <w:numPr>
          <w:ilvl w:val="0"/>
          <w:numId w:val="1004"/>
        </w:numPr>
      </w:pPr>
      <w:r>
        <w:rPr>
          <w:rStyle w:val="BlueAdd"/>
          <w:b/>
          <w:bCs/>
        </w:rPr>
        <w:t xml:space="preserve">Purpose- and scope-bound access (Req 4).</w:t>
      </w:r>
      <w:r>
        <w:rPr>
          <w:rStyle w:val="BlueAdd"/>
        </w:rPr>
        <w:t xml:space="preserve"> </w:t>
      </w:r>
      <w:r>
        <w:rPr>
          <w:rStyle w:val="BlueAdd"/>
        </w:rPr>
        <w:t xml:space="preserve">Policy-based enforcement is well covered (S7, S10, S11, S12, S13, S17, S18, S22, S23, S24, S26, S27, S28, S29, S30, S31, S32), yet the policy is evaluated against roles, attributes, purpose trees or risk rather than against the purpose and data scope stated in the patient’s consent, so a verified and approved requester can still obtain data outside the authorised scope.</w:t>
      </w:r>
    </w:p>
    <w:p>
      <w:pPr>
        <w:pStyle w:val="BlueAddPara"/>
        <w:numPr>
          <w:ilvl w:val="0"/>
          <w:numId w:val="1004"/>
        </w:numPr>
      </w:pPr>
      <w:r>
        <w:rPr>
          <w:rStyle w:val="BlueAdd"/>
          <w:b/>
          <w:bCs/>
        </w:rPr>
        <w:t xml:space="preserve">Lifecycle validity and auditable evidence (Req 5).</w:t>
      </w:r>
      <w:r>
        <w:rPr>
          <w:rStyle w:val="BlueAdd"/>
        </w:rPr>
        <w:t xml:space="preserve"> </w:t>
      </w:r>
      <w:r>
        <w:rPr>
          <w:rStyle w:val="BlueAdd"/>
        </w:rPr>
        <w:t xml:space="preserve">Audit trails and revocation are provided by S2, S3, S6, S7, S8, S10, S11, S12, S13, S14, S21, S22, S24, S26, S28, S30, S31, S32, but expiry, revocation and state transitions of the consent itself are not evaluated at the time of the request, and the recorded evidence describes transactions rather than the trust conditions under which each decision was made.</w:t>
      </w:r>
    </w:p>
    <w:p>
      <w:pPr>
        <w:pStyle w:val="BlueAddPara"/>
      </w:pPr>
      <w:r>
        <w:rPr>
          <w:rStyle w:val="BlueAdd"/>
        </w:rPr>
        <w:t xml:space="preserve">These gaps are addressed in the following order by the research objectives of Chapter 3: RO1 (Req 1), RO2 (Req 2), RO3 (Req 3), RO4 (Req 4) and RO5 (Req 5), with RO6 providing the formal and empirical validation of the resulting decisions.</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42"/>
    <w:bookmarkStart w:id="43" w:name="conclusion"/>
    <w:p>
      <w:pPr>
        <w:pStyle w:val="Heading2"/>
      </w:pPr>
      <w:r>
        <w:rPr>
          <w:rStyle w:val="BlueAdd"/>
        </w:rPr>
        <w:t xml:space="preserve">2.6 Conclusion</w:t>
      </w:r>
    </w:p>
    <w:p>
      <w:pPr>
        <w:pStyle w:val="BlueAddPara"/>
      </w:pPr>
      <w:r>
        <w:rPr>
          <w:rStyle w:val="BlueAdd"/>
        </w:rPr>
        <w:t xml:space="preserve">This systematic literature review identified five key requirements that a trust-oriented healthcare consent authorisation framework should satisfy: an evaluable consent object, verifiable identity separated from authority, multi-party threshold authorisation, purpose- and scope-bound access, and lifecycle validity with auditable evidence. Following a four-step shortlisting process, 33 studies published between 2022 and 2026 were categorised into six areas and evaluated against these requirements. The review shows that each requirement is addressed in isolation by at least one stream of research, but that no existing approach combines them into a single, independently verifiable authorisation decision. In particular, consent continues to be treated as a record rather than as an object to be evaluated, multi-party approval is not modelled as a condition of that object, and policy enforcement is not bound to the purpose and scope the patient authorised.</w:t>
      </w:r>
    </w:p>
    <w:p>
      <w:pPr>
        <w:pStyle w:val="BlueAddPara"/>
      </w:pPr>
      <w:r>
        <w:rPr>
          <w:rStyle w:val="BlueAdd"/>
        </w:rPr>
        <w:t xml:space="preserve">These findings motivate the research questions and objectives presented in the next chapter and the trust-oriented consent authorisation framework proposed in Chapters 5 and 6, in which decentralised identifiers, verifiable credentials, threshold-based approval and policy evaluation contribute to one explainable decision.</w:t>
      </w:r>
    </w:p>
    <w:bookmarkEnd w:id="43"/>
    <w:bookmarkEnd w:id="44"/>
    <w:bookmarkStart w:id="55" w:name="research-gaps-and-questions"/>
    <w:p>
      <w:pPr>
        <w:pStyle w:val="Heading1"/>
      </w:pPr>
      <w:r>
        <w:t xml:space="preserve">3 Research Gaps and Questions</w:t>
      </w:r>
    </w:p>
    <w:bookmarkStart w:id="45"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lueAddPara"/>
      </w:pPr>
      <w:r>
        <w:rPr>
          <w:rStyle w:val="BlueAdd"/>
        </w:rPr>
        <w:t xml:space="preserve">In particular, the review defined five key requirements for a trust-oriented consent authorisation framework (Section 2.2) and assessed each of the 28 shortlisted studies against them (Tables 2.4–2.9). No study satisfies more than three of the five requirements, and none treats consent as an evaluable object (Req 1) while also providing multi-party threshold authorisation (Req 3); the gaps are stated requirement by requirement in Section 2.5.</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45"/>
    <w:bookmarkStart w:id="46"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the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6"/>
    <w:bookmarkStart w:id="53"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7"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Stage 2 extends this object to</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where</w:t>
      </w:r>
      <w:r>
        <w:t xml:space="preserve"> </w:t>
      </w:r>
      <m:oMath>
        <m:r>
          <m:t>T</m:t>
        </m:r>
      </m:oMath>
      <w:r>
        <w:t xml:space="preserve"> </w:t>
      </w:r>
      <w:r>
        <w:t xml:space="preserve">is the validity interval and</w:t>
      </w:r>
      <w:r>
        <w:t xml:space="preserve"> </w:t>
      </w:r>
      <m:oMath>
        <m:r>
          <m:t>L</m:t>
        </m:r>
      </m:oMath>
      <w:r>
        <w:t xml:space="preserve"> </w:t>
      </w:r>
      <w: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7"/>
    <w:bookmarkStart w:id="48"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 identity is not authorisation (Eq. (1)). 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8"/>
    <w:bookmarkStart w:id="49"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9"/>
    <w:bookmarkStart w:id="50"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the request in Eq. (4) must be rejected because</w:t>
      </w:r>
      <w:r>
        <w:t xml:space="preserve"> </w:t>
      </w:r>
      <m:oMath>
        <m:sSub>
          <m:e>
            <m:r>
              <m:t>S</m:t>
            </m:r>
          </m:e>
          <m:sub>
            <m:r>
              <m:t>R</m:t>
            </m:r>
          </m:sub>
        </m:sSub>
        <m:r>
          <m:rPr>
            <m:sty m:val="p"/>
          </m:rPr>
          <m:t>⊈</m:t>
        </m:r>
        <m:sSub>
          <m:e>
            <m:r>
              <m:t>S</m:t>
            </m:r>
          </m:e>
          <m:sub>
            <m:r>
              <m:t>C</m:t>
            </m:r>
          </m:sub>
        </m:sSub>
      </m:oMath>
      <w:r>
        <w:t xml:space="preserve"> </w:t>
      </w:r>
      <w:r>
        <w:t xml:space="preserve">(Eq. (5)).</w:t>
      </w:r>
    </w:p>
    <w:p>
      <w:pPr>
        <w:pStyle w:val="BodyText"/>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50"/>
    <w:bookmarkStart w:id="51"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12</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13</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14</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15</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51"/>
    <w:bookmarkStart w:id="52"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16</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17</m:t>
          </m:r>
          <m:r>
            <m:rPr>
              <m:sty m:val="p"/>
            </m:rPr>
            <m:t>)</m:t>
          </m:r>
        </m:oMath>
      </m:oMathPara>
    </w:p>
    <w:p>
      <w:pPr>
        <w:pStyle w:val="FirstParagraph"/>
      </w:pPr>
      <w:r>
        <w:t xml:space="preserve">authorisation integrity,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18</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19</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20</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21</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[41]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22</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23</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52"/>
    <w:bookmarkEnd w:id="53"/>
    <w:bookmarkStart w:id="54"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24</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as stated by Eq. (18).</w:t>
      </w:r>
    </w:p>
    <w:p>
      <w:pPr>
        <w:pStyle w:val="BodyText"/>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54"/>
    <w:bookmarkEnd w:id="55"/>
    <w:bookmarkStart w:id="63"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 consists of six research objectives, corresponding to six research questions. The first four objectives establish the foundational trust-oriented authorisation mechanisms investigated during the current stage, while the final two objectives extend and evaluate these mechanisms as part of the next research program.</w:t>
      </w:r>
    </w:p>
    <w:bookmarkStart w:id="56"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SRQ1 and establishes the conceptual foundation for the remaining objectives. In particular, it defines the information that must be represented before consent can be interpreted as an authorisation decision rather than merely as a static approval record.</w:t>
      </w:r>
    </w:p>
    <w:bookmarkEnd w:id="56"/>
    <w:bookmarkStart w:id="57"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SRQ2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7"/>
    <w:bookmarkStart w:id="58"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SRQ3 and extends the consent model from an individual permission statement to a collective authorisation decision.</w:t>
      </w:r>
    </w:p>
    <w:bookmarkEnd w:id="58"/>
    <w:bookmarkStart w:id="59"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SRQ4 and completes the foundational authorisation model investigated during the current stage. Together, RO1–RO4 establish the representation, verification, collective authorisation, and policy-enforcement mechanisms required for a trust-oriented healthcare data-sharing decision.</w:t>
      </w:r>
    </w:p>
    <w:bookmarkEnd w:id="59"/>
    <w:bookmarkStart w:id="60"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SRQ5 and extends the foundational current stage authorisation model into a dynamic consent environment. Whereas the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next-stage research program. It will investigate how temporal and lifecycle conditions can be incorporated into the authorisation decision without weakening the trust relationships established by the current stage mechanisms.</w:t>
      </w:r>
    </w:p>
    <w:bookmarkEnd w:id="60"/>
    <w:bookmarkStart w:id="61"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SRQ6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the next-stage work.</w:t>
      </w:r>
    </w:p>
    <w:bookmarkEnd w:id="61"/>
    <w:bookmarkStart w:id="62"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4.1 and Table 4.2. The mapping follows the structure of the research program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lueAddPara"/>
      </w:pPr>
      <w:r>
        <w:rPr>
          <w:rStyle w:val="BlueAdd"/>
        </w:rPr>
        <w:t xml:space="preserve">Each objective also responds to one of the key requirements identified in the literature review: RO1 to Req 1, RO2 to Req 2, RO3 to Req 3, RO4 to Req 4 and RO5 to Req 5 (Section 2.2), while RO6 provides the formal and empirical assurance that the requirements are met (Section 2.5).</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The current stage establishes the foundational mechanisms and their conceptual relationships, whereas the next stage investigates whether these mechanisms remain reliable under dynamic lifecycle conditions and whether their security and practical effectiveness can be formally and empirically demonstrated.</w:t>
      </w:r>
    </w:p>
    <w:p>
      <w:pPr>
        <w:pStyle w:val="TableCaption"/>
      </w:pPr>
      <w:r>
        <w:t xml:space="preserve">Table 4.1: Research Questions, Research Objectives, and Thesis Chapters for Current Stage</w:t>
      </w:r>
    </w:p>
    <w:tbl>
      <w:tblPr>
        <w:tblStyle w:val="Table"/>
        <w:tblW w:type="pct" w:w="5000"/>
        <w:tblLayout w:type="fixed"/>
        <w:tblLook w:firstRow="1" w:lastRow="0" w:firstColumn="0" w:lastColumn="0" w:noHBand="0" w:noVBand="0" w:val="0020"/>
        <w:tblCaption w:val="Table 4.1: Research Questions, Research Objectives, and Thesis Chapters for Current Stage"/>
      </w:tblPr>
      <w:tblGrid>
        <w:gridCol w:w="754"/>
        <w:gridCol w:w="3205"/>
        <w:gridCol w:w="3205"/>
        <w:gridCol w:w="7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4.2: Research Questions, Research Objectives, and Thesis Chapters (continued: RQ4 current stage; RQ5–RQ6 CA3)</w:t>
      </w:r>
    </w:p>
    <w:tbl>
      <w:tblPr>
        <w:tblStyle w:val="Table"/>
        <w:tblW w:type="pct" w:w="5000"/>
        <w:tblLayout w:type="fixed"/>
        <w:tblLook w:firstRow="1" w:lastRow="0" w:firstColumn="0" w:lastColumn="0" w:noHBand="0" w:noVBand="0" w:val="0020"/>
        <w:tblCaption w:val="Table 4.2: Research Questions, Research Objectives, and Thesis Chapters (continued: RQ4 current stage; RQ5–RQ6 CA3)"/>
      </w:tblPr>
      <w:tblGrid>
        <w:gridCol w:w="754"/>
        <w:gridCol w:w="3205"/>
        <w:gridCol w:w="3205"/>
        <w:gridCol w:w="7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given by Eq. (6),</w:t>
      </w:r>
    </w:p>
    <w:p>
      <w:pPr>
        <w:pStyle w:val="BodyText"/>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 as given by Eq. (24),</w:t>
      </w:r>
    </w:p>
    <w:p>
      <w:pPr>
        <w:pStyle w:val="BodyText"/>
      </w:pP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62"/>
    <w:bookmarkEnd w:id="63"/>
    <w:bookmarkStart w:id="91"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7"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5.1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86400" cy="5604289"/>
            <wp:effectExtent b="0" l="0" r="0" t="0"/>
            <wp:docPr descr="Figure 5.1: Layered MVC Architecture and Component Decomposition of the HALAH Framework" title="" id="65" name="Picture"/>
            <a:graphic>
              <a:graphicData uri="http://schemas.openxmlformats.org/drawingml/2006/picture">
                <pic:pic>
                  <pic:nvPicPr>
                    <pic:cNvPr descr="media_col/fig03.png" id="66" name="Picture"/>
                    <pic:cNvPicPr>
                      <a:picLocks noChangeArrowheads="1" noChangeAspect="1"/>
                    </pic:cNvPicPr>
                  </pic:nvPicPr>
                  <pic:blipFill>
                    <a:blip r:embed="rId64"/>
                    <a:stretch>
                      <a:fillRect/>
                    </a:stretch>
                  </pic:blipFill>
                  <pic:spPr bwMode="auto">
                    <a:xfrm>
                      <a:off x="0" y="0"/>
                      <a:ext cx="5486400" cy="5604289"/>
                    </a:xfrm>
                    <a:prstGeom prst="rect">
                      <a:avLst/>
                    </a:prstGeom>
                    <a:noFill/>
                    <a:ln w="9525">
                      <a:noFill/>
                      <a:headEnd/>
                      <a:tailEnd/>
                    </a:ln>
                  </pic:spPr>
                </pic:pic>
              </a:graphicData>
            </a:graphic>
          </wp:inline>
        </w:drawing>
      </w:r>
    </w:p>
    <w:p>
      <w:pPr>
        <w:pStyle w:val="ImageCaption"/>
      </w:pPr>
      <w:r>
        <w:t xml:space="preserve">Figure 5.1: Layered MVC Architecture and Component Decomposition of the HALAH Framework</w:t>
      </w:r>
    </w:p>
    <w:bookmarkStart w:id="70"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486400" cy="3008970"/>
            <wp:effectExtent b="0" l="0" r="0" t="0"/>
            <wp:docPr descr="Figure 5.2: Functional Decomposition of the MVC Components" title="" id="68" name="Picture"/>
            <a:graphic>
              <a:graphicData uri="http://schemas.openxmlformats.org/drawingml/2006/picture">
                <pic:pic>
                  <pic:nvPicPr>
                    <pic:cNvPr descr="media_col/fig04.png" id="69" name="Picture"/>
                    <pic:cNvPicPr>
                      <a:picLocks noChangeArrowheads="1" noChangeAspect="1"/>
                    </pic:cNvPicPr>
                  </pic:nvPicPr>
                  <pic:blipFill>
                    <a:blip r:embed="rId67"/>
                    <a:stretch>
                      <a:fillRect/>
                    </a:stretch>
                  </pic:blipFill>
                  <pic:spPr bwMode="auto">
                    <a:xfrm>
                      <a:off x="0" y="0"/>
                      <a:ext cx="5486400" cy="3008970"/>
                    </a:xfrm>
                    <a:prstGeom prst="rect">
                      <a:avLst/>
                    </a:prstGeom>
                    <a:noFill/>
                    <a:ln w="9525">
                      <a:noFill/>
                      <a:headEnd/>
                      <a:tailEnd/>
                    </a:ln>
                  </pic:spPr>
                </pic:pic>
              </a:graphicData>
            </a:graphic>
          </wp:inline>
        </w:drawing>
      </w:r>
    </w:p>
    <w:p>
      <w:pPr>
        <w:pStyle w:val="ImageCaption"/>
      </w:pPr>
      <w:r>
        <w:t xml:space="preserve">Figure 5.2: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70"/>
    <w:bookmarkStart w:id="74"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5.3.</w:t>
      </w:r>
    </w:p>
    <w:p>
      <w:pPr>
        <w:pStyle w:val="BodyText"/>
      </w:pPr>
      <w:r>
        <w:t xml:space="preserve">Figure 5.3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is therefore given by Eq. (24).</w:t>
      </w:r>
    </w:p>
    <w:p>
      <w:pPr>
        <w:pStyle w:val="BodyText"/>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 DENY (Eq. (18)).</w:t>
      </w:r>
    </w:p>
    <w:p>
      <w:pPr>
        <w:pStyle w:val="CaptionedFigure"/>
      </w:pPr>
      <w:r>
        <w:drawing>
          <wp:inline>
            <wp:extent cx="3419856" cy="7671897"/>
            <wp:effectExtent b="0" l="0" r="0" t="0"/>
            <wp:docPr descr="Figure 5.3: Trust Predicate Evaluation and Authorisation Decision Flow" title="" id="72" name="Picture"/>
            <a:graphic>
              <a:graphicData uri="http://schemas.openxmlformats.org/drawingml/2006/picture">
                <pic:pic>
                  <pic:nvPicPr>
                    <pic:cNvPr descr="media_col/fig05.png" id="73" name="Picture"/>
                    <pic:cNvPicPr>
                      <a:picLocks noChangeArrowheads="1" noChangeAspect="1"/>
                    </pic:cNvPicPr>
                  </pic:nvPicPr>
                  <pic:blipFill>
                    <a:blip r:embed="rId71"/>
                    <a:stretch>
                      <a:fillRect/>
                    </a:stretch>
                  </pic:blipFill>
                  <pic:spPr bwMode="auto">
                    <a:xfrm>
                      <a:off x="0" y="0"/>
                      <a:ext cx="3419856" cy="7671897"/>
                    </a:xfrm>
                    <a:prstGeom prst="rect">
                      <a:avLst/>
                    </a:prstGeom>
                    <a:noFill/>
                    <a:ln w="9525">
                      <a:noFill/>
                      <a:headEnd/>
                      <a:tailEnd/>
                    </a:ln>
                  </pic:spPr>
                </pic:pic>
              </a:graphicData>
            </a:graphic>
          </wp:inline>
        </w:drawing>
      </w:r>
    </w:p>
    <w:p>
      <w:pPr>
        <w:pStyle w:val="ImageCaption"/>
      </w:pPr>
      <w:r>
        <w:t xml:space="preserve">Figure 5.3: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74"/>
    <w:bookmarkStart w:id="75"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75"/>
    <w:bookmarkStart w:id="76"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6"/>
    <w:bookmarkEnd w:id="77"/>
    <w:bookmarkStart w:id="81" w:name="X558a2b42e7f558743af400a9676e37558071ee0"/>
    <w:p>
      <w:pPr>
        <w:pStyle w:val="Heading2"/>
      </w:pPr>
      <w:r>
        <w:t xml:space="preserve">5.2 Trust-Oriented Consent Authorisation Workflow</w:t>
      </w:r>
    </w:p>
    <w:p>
      <w:pPr>
        <w:pStyle w:val="FirstParagraph"/>
      </w:pPr>
      <w:r>
        <w:t xml:space="preserve">Figure 5.4 presents the end-to-end workflow of the proposed trust-oriented patient consent authorisation framework. The workflow operationalises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authorisation, and policy compliance. Accordingly, the proposed workflow transforms a patient’s consent from a static permission record into an evaluable authorisation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authorisation conditions. This step establishes what the patient intends to authorise and provides the policy context against which subsequent access requests can be evaluated. Therefore, consent is not represented merely as an approval flag, but as a structured object containing the information required for subsequent authorisation decisions.</w:t>
      </w:r>
    </w:p>
    <w:p>
      <w:pPr>
        <w:pStyle w:val="BodyText"/>
      </w:pPr>
      <w:r>
        <w:t xml:space="preserve">The next stage performs decentralised identity and authority verification using Decentralised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authorisation.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authorised participant.</w:t>
      </w:r>
    </w:p>
    <w:p>
      <w:pPr>
        <w:pStyle w:val="BodyText"/>
      </w:pPr>
      <w:r>
        <w:t xml:space="preserve">After identity and authority verification, the framework identifies the participants required to establish the consent decision. The authorisation requirement may involve multiple independent participants, such as a patient together with one or more guardians or other authorised parties. The framework then collects their independent approvals and evaluates whether the predefined authorisation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authorisation threshold. Multi-party authorisation is satisfied when</w:t>
      </w:r>
      <w:r>
        <w:t xml:space="preserve"> </w:t>
      </w:r>
      <m:oMath>
        <m:d>
          <m:dPr>
            <m:begChr m:val="|"/>
            <m:sepChr m:val=""/>
            <m:endChr m:val="|"/>
            <m:grow/>
          </m:dPr>
          <m:e>
            <m:sSub>
              <m:e>
                <m:r>
                  <m:t>A</m:t>
                </m:r>
              </m:e>
              <m:sub>
                <m:r>
                  <m:t>v</m:t>
                </m:r>
              </m:sub>
            </m:sSub>
          </m:e>
        </m:d>
        <m:r>
          <m:rPr>
            <m:sty m:val="p"/>
          </m:rPr>
          <m:t>≥</m:t>
        </m:r>
        <m:r>
          <m:t>N</m:t>
        </m:r>
      </m:oMath>
      <w:r>
        <w:t xml:space="preserve"> </w:t>
      </w:r>
      <w:r>
        <w:t xml:space="preserve">(Eq. (9)).</w:t>
      </w:r>
    </w:p>
    <w:p>
      <w:pPr>
        <w:pStyle w:val="CaptionedFigure"/>
      </w:pPr>
      <w:r>
        <w:drawing>
          <wp:inline>
            <wp:extent cx="2194560" cy="7674568"/>
            <wp:effectExtent b="0" l="0" r="0" t="0"/>
            <wp:docPr descr="Figure 5.4: End-to-End Workflow of Trust-Oriented Consent Authorisation Framework" title="" id="79" name="Picture"/>
            <a:graphic>
              <a:graphicData uri="http://schemas.openxmlformats.org/drawingml/2006/picture">
                <pic:pic>
                  <pic:nvPicPr>
                    <pic:cNvPr descr="media_col/fig06.png" id="80" name="Picture"/>
                    <pic:cNvPicPr>
                      <a:picLocks noChangeArrowheads="1" noChangeAspect="1"/>
                    </pic:cNvPicPr>
                  </pic:nvPicPr>
                  <pic:blipFill>
                    <a:blip r:embed="rId78"/>
                    <a:stretch>
                      <a:fillRect/>
                    </a:stretch>
                  </pic:blipFill>
                  <pic:spPr bwMode="auto">
                    <a:xfrm>
                      <a:off x="0" y="0"/>
                      <a:ext cx="2194560" cy="7674568"/>
                    </a:xfrm>
                    <a:prstGeom prst="rect">
                      <a:avLst/>
                    </a:prstGeom>
                    <a:noFill/>
                    <a:ln w="9525">
                      <a:noFill/>
                      <a:headEnd/>
                      <a:tailEnd/>
                    </a:ln>
                  </pic:spPr>
                </pic:pic>
              </a:graphicData>
            </a:graphic>
          </wp:inline>
        </w:drawing>
      </w:r>
    </w:p>
    <w:p>
      <w:pPr>
        <w:pStyle w:val="ImageCaption"/>
      </w:pPr>
      <w:r>
        <w:t xml:space="preserve">Figure 5.4: End-to-End Workflow of Trust-Oriented Consent Authorisation Framework</w:t>
      </w:r>
    </w:p>
    <w:p>
      <w:pPr>
        <w:pStyle w:val="BodyText"/>
      </w:pPr>
      <w:r>
        <w:t xml:space="preserve">If the required threshold is not satisfied, the authorisation process terminates with a denial decision. This prevents a single participant from unilaterally establishing authorisation when the consent policy requires collective approval.</w:t>
      </w:r>
    </w:p>
    <w:p>
      <w:pPr>
        <w:pStyle w:val="BodyText"/>
      </w:pPr>
      <w:r>
        <w:t xml:space="preserve">When the authorisation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the request in Eq. (4) must not be authorised.</w:t>
      </w:r>
    </w:p>
    <w:p>
      <w:pPr>
        <w:pStyle w:val="BodyText"/>
      </w:pP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authorisation decision is therefore determined by the conjunction of identity and authority verification, multi-party authorisation, and policy compliance. For the current stage scope of the proposed framework, the decision is given by Eq. (6),</w:t>
      </w:r>
    </w:p>
    <w:p>
      <w:pPr>
        <w:pStyle w:val="BodyText"/>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authorisation evidence in the audit layer. Importantly, both successful and denied decisions should be recorded because a trustworthy authorisation framework requires accountability not only for data that were released but also for access attempts that were rejected. The audit evidence can therefore provide a traceable record of the authorisation decision, including the relevant consent, participants, policy evaluation, decision outcome, and associated evidence. In this manner, the workflow connects consent specification with identity trust, collective authorisation, policy enforcement, and accountability, providing the operational foundation of the proposed trust-oriented authorisation framework.</w:t>
      </w:r>
    </w:p>
    <w:bookmarkEnd w:id="81"/>
    <w:bookmarkStart w:id="82"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stage scope, the core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is then given by Eq. (9).</w:t>
      </w:r>
    </w:p>
    <w:p>
      <w:pPr>
        <w:pStyle w:val="BodyText"/>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25</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stage implementation, the Model focuses on the foundational dimensions of identity, authority, multi-party approval, policy constraints, and authorisation evidence. The next-stage research will extend this representation to include temporal validity, expiration, revocation, lifecycle transitions, and formal security properties.</w:t>
      </w:r>
    </w:p>
    <w:bookmarkEnd w:id="82"/>
    <w:bookmarkStart w:id="83"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83"/>
    <w:bookmarkStart w:id="84"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is given by Eq. (8),</w:t>
      </w:r>
    </w:p>
    <w:p>
      <w:pPr>
        <w:pStyle w:val="BodyText"/>
      </w:pP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 identity is not authorisation (Eq. (1)).</w:t>
      </w:r>
    </w:p>
    <w:p>
      <w:pPr>
        <w:pStyle w:val="BodyText"/>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is given by Eq. (11).</w:t>
      </w:r>
    </w:p>
    <w:p>
      <w:pPr>
        <w:pStyle w:val="BodyText"/>
      </w:pPr>
      <w:r>
        <w:t xml:space="preserve">The overall current stage authorisation decision is therefore determined by the conjunction of the foundational trust conditions in Eq. (6).</w:t>
      </w:r>
    </w:p>
    <w:p>
      <w:pPr>
        <w:pStyle w:val="BodyText"/>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84"/>
    <w:bookmarkStart w:id="85"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26</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27</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85"/>
    <w:bookmarkStart w:id="86"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For example, if a healthcare professional requests the scope in Eq. (4), the request exceeds the consented scope (Eq. (5)) and the Controller must return DENY.</w:t>
      </w:r>
    </w:p>
    <w:p>
      <w:pPr>
        <w:pStyle w:val="BodyText"/>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6"/>
    <w:bookmarkStart w:id="87"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28</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7"/>
    <w:bookmarkStart w:id="88"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5.1.</w:t>
      </w:r>
    </w:p>
    <w:bookmarkEnd w:id="88"/>
    <w:bookmarkStart w:id="89"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5.2,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9"/>
    <w:bookmarkStart w:id="90"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SRQ1–SRQ4. The implemented HALAH prototype provides the practical environment in which these mechanisms can be instantiated and evaluated through representative healthcare data-sharing scenarios.</w:t>
      </w:r>
    </w:p>
    <w:p>
      <w:pPr>
        <w:pStyle w:val="TableCaption"/>
      </w:pPr>
      <w:r>
        <w:t xml:space="preserve">Table 5.1: Security Properties Supported by the Proposed MVC-Based Consent Architecture</w:t>
      </w:r>
    </w:p>
    <w:tbl>
      <w:tblPr>
        <w:tblStyle w:val="Table"/>
        <w:tblW w:type="pct" w:w="5000"/>
        <w:tblLayout w:type="fixed"/>
        <w:tblLook w:firstRow="1" w:lastRow="0" w:firstColumn="0" w:lastColumn="0" w:noHBand="0" w:noVBand="0" w:val="0020"/>
        <w:tblCaption w:val="Table 5.1: Security Properties Supported by the Proposed MVC-Based Consent Architecture"/>
      </w:tblPr>
      <w:tblGrid>
        <w:gridCol w:w="2310"/>
        <w:gridCol w:w="2805"/>
        <w:gridCol w:w="280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5.2: Mapping Between Research Objectives and MVC Components</w:t>
      </w:r>
    </w:p>
    <w:tbl>
      <w:tblPr>
        <w:tblStyle w:val="Table"/>
        <w:tblW w:type="pct" w:w="5000"/>
        <w:tblLayout w:type="fixed"/>
        <w:tblLook w:firstRow="1" w:lastRow="0" w:firstColumn="0" w:lastColumn="0" w:noHBand="0" w:noVBand="0" w:val="0020"/>
        <w:tblCaption w:val="Table 5.2: Mapping Between Research Objectives and MVC Components"/>
      </w:tblPr>
      <w:tblGrid>
        <w:gridCol w:w="1190"/>
        <w:gridCol w:w="1449"/>
        <w:gridCol w:w="264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the next stage 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90"/>
    <w:bookmarkEnd w:id="91"/>
    <w:bookmarkStart w:id="135" w:name="proposed-solution"/>
    <w:p>
      <w:pPr>
        <w:pStyle w:val="Heading1"/>
      </w:pPr>
      <w:r>
        <w:t xml:space="preserve">6 Proposed Solution</w:t>
      </w:r>
    </w:p>
    <w:bookmarkStart w:id="98" w:name="trust-centric-consent-model-for-ro1"/>
    <w:p>
      <w:pPr>
        <w:pStyle w:val="Heading2"/>
      </w:pPr>
      <w:r>
        <w:t xml:space="preserve">6.1 Trust-Centric Consent Model for RO1</w:t>
      </w:r>
    </w:p>
    <w:p>
      <w:pPr>
        <w:pStyle w:val="FirstParagraph"/>
      </w:pPr>
      <w:r>
        <w:t xml:space="preserve">RO1 addresses SRQ1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95" w:name="ro1-consent-creation-workflow"/>
    <w:p>
      <w:pPr>
        <w:pStyle w:val="Heading3"/>
      </w:pPr>
      <w:r>
        <w:t xml:space="preserve">6.1.1 RO1 Consent Creation Workflow</w:t>
      </w:r>
    </w:p>
    <w:p>
      <w:pPr>
        <w:pStyle w:val="FirstParagraph"/>
      </w:pPr>
      <w:r>
        <w:t xml:space="preserve">The following workflow(Figure 6.1)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This interface is shown in Figure 7.1 (Section 7.2). The implementation also collects the start and expiry time of the consent.</w:t>
      </w:r>
    </w:p>
    <w:p>
      <w:pPr>
        <w:pStyle w:val="CaptionedFigure"/>
      </w:pPr>
      <w:r>
        <w:drawing>
          <wp:inline>
            <wp:extent cx="3593592" cy="7675998"/>
            <wp:effectExtent b="0" l="0" r="0" t="0"/>
            <wp:docPr descr="Figure 6.1: RO1 workflow for trust-centric consent creation" title="" id="93" name="Picture"/>
            <a:graphic>
              <a:graphicData uri="http://schemas.openxmlformats.org/drawingml/2006/picture">
                <pic:pic>
                  <pic:nvPicPr>
                    <pic:cNvPr descr="media_col/fig07.png" id="94" name="Picture"/>
                    <pic:cNvPicPr>
                      <a:picLocks noChangeArrowheads="1" noChangeAspect="1"/>
                    </pic:cNvPicPr>
                  </pic:nvPicPr>
                  <pic:blipFill>
                    <a:blip r:embed="rId92"/>
                    <a:stretch>
                      <a:fillRect/>
                    </a:stretch>
                  </pic:blipFill>
                  <pic:spPr bwMode="auto">
                    <a:xfrm>
                      <a:off x="0" y="0"/>
                      <a:ext cx="3593592" cy="7675998"/>
                    </a:xfrm>
                    <a:prstGeom prst="rect">
                      <a:avLst/>
                    </a:prstGeom>
                    <a:noFill/>
                    <a:ln w="9525">
                      <a:noFill/>
                      <a:headEnd/>
                      <a:tailEnd/>
                    </a:ln>
                  </pic:spPr>
                </pic:pic>
              </a:graphicData>
            </a:graphic>
          </wp:inline>
        </w:drawing>
      </w:r>
    </w:p>
    <w:p>
      <w:pPr>
        <w:pStyle w:val="ImageCaption"/>
      </w:pPr>
      <w:r>
        <w:t xml:space="preserve">Figure 6.1: RO1 workflow for trust-centric consent creation</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95"/>
    <w:bookmarkStart w:id="96"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5"/>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6"/>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7"/>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8"/>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9"/>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10"/>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1"/>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2"/>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3"/>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4"/>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5"/>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6"/>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BodyText"/>
      </w:pPr>
      <w:r>
        <w:t xml:space="preserve">In the HALAH prototype (Section 7.2), Steps 1–3 currently perform a syntactic DID check, and credential-based authority validation is scheduled for Stage 2. Step 6 is implemented: the patient interface rejects an expiry time that is not later than the start time.</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96"/>
    <w:bookmarkStart w:id="97"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7"/>
    <w:bookmarkEnd w:id="98"/>
    <w:bookmarkStart w:id="105" w:name="X3b93ca6d6b3213e06bf792918c5f2e554ad197d"/>
    <w:p>
      <w:pPr>
        <w:pStyle w:val="Heading2"/>
      </w:pPr>
      <w:r>
        <w:t xml:space="preserve">6.2 Decentralised Identity and Authority Trust for RO2</w:t>
      </w:r>
    </w:p>
    <w:p>
      <w:pPr>
        <w:pStyle w:val="FirstParagraph"/>
      </w:pPr>
      <w:r>
        <w:t xml:space="preserve">RO2 addresses SRQ2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 that identity is not authorisation (Eq. (1)).</w:t>
      </w:r>
    </w:p>
    <w:p>
      <w:pPr>
        <w:pStyle w:val="BodyText"/>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is given by Eq. (8),</w:t>
      </w:r>
    </w:p>
    <w:p>
      <w:pPr>
        <w:pStyle w:val="BodyText"/>
      </w:pP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102" w:name="X40f13bf52dbab2e76356a6753423f1584e794fb"/>
    <w:p>
      <w:pPr>
        <w:pStyle w:val="Heading3"/>
      </w:pPr>
      <w:r>
        <w:t xml:space="preserve">6.2.1 RO2 Identity and Authority Verification Workflow</w:t>
      </w:r>
    </w:p>
    <w:p>
      <w:pPr>
        <w:pStyle w:val="FirstParagraph"/>
      </w:pPr>
      <w:r>
        <w:t xml:space="preserve">The workflow, shown in Figure 6.2,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CaptionedFigure"/>
      </w:pPr>
      <w:r>
        <w:drawing>
          <wp:inline>
            <wp:extent cx="3008376" cy="7679143"/>
            <wp:effectExtent b="0" l="0" r="0" t="0"/>
            <wp:docPr descr="Figure 6.2: RO2 workflow for decentralised identity and authority verification" title="" id="100" name="Picture"/>
            <a:graphic>
              <a:graphicData uri="http://schemas.openxmlformats.org/drawingml/2006/picture">
                <pic:pic>
                  <pic:nvPicPr>
                    <pic:cNvPr descr="media_col/fig08.png" id="101" name="Picture"/>
                    <pic:cNvPicPr>
                      <a:picLocks noChangeArrowheads="1" noChangeAspect="1"/>
                    </pic:cNvPicPr>
                  </pic:nvPicPr>
                  <pic:blipFill>
                    <a:blip r:embed="rId99"/>
                    <a:stretch>
                      <a:fillRect/>
                    </a:stretch>
                  </pic:blipFill>
                  <pic:spPr bwMode="auto">
                    <a:xfrm>
                      <a:off x="0" y="0"/>
                      <a:ext cx="3008376" cy="7679143"/>
                    </a:xfrm>
                    <a:prstGeom prst="rect">
                      <a:avLst/>
                    </a:prstGeom>
                    <a:noFill/>
                    <a:ln w="9525">
                      <a:noFill/>
                      <a:headEnd/>
                      <a:tailEnd/>
                    </a:ln>
                  </pic:spPr>
                </pic:pic>
              </a:graphicData>
            </a:graphic>
          </wp:inline>
        </w:drawing>
      </w:r>
    </w:p>
    <w:p>
      <w:pPr>
        <w:pStyle w:val="ImageCaption"/>
      </w:pPr>
      <w:r>
        <w:t xml:space="preserve">Figure 6.2: RO2 workflow for decentralised identity and authority verification</w:t>
      </w:r>
    </w:p>
    <w:p>
      <w:pPr>
        <w:pStyle w:val="BodyText"/>
      </w:pPr>
      <w:r>
        <w:t xml:space="preserve">In the HALAH prototype, identity and authority are established in two separate steps. First, the guardian’s DID is checked for syntactic validity. Second, the guardian’s approval is expressed as an EIP-712 typed-data signature [42]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[44, 45], covering issuer, proof, credential status and validity period (Steps 3–4 below), is specified here but has not yet been implemented and is scheduled for Stage 2 (CA3). The prototype therefore already separates</w:t>
      </w:r>
      <w:r>
        <w:t xml:space="preserve"> </w:t>
      </w:r>
      <w:r>
        <w:rPr>
          <w:i/>
          <w:iCs/>
        </w:rPr>
        <w:t xml:space="preserve">who</w:t>
      </w:r>
      <w:r>
        <w:t xml:space="preserve"> </w:t>
      </w:r>
      <w:r>
        <w:t xml:space="preserve">the guardian is from</w:t>
      </w:r>
      <w:r>
        <w:t xml:space="preserve"> </w:t>
      </w:r>
      <w:r>
        <w:rPr>
          <w:i/>
          <w:iCs/>
        </w:rPr>
        <w:t xml:space="preserve">whether</w:t>
      </w:r>
      <w:r>
        <w:t xml:space="preserve"> </w:t>
      </w:r>
      <w: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102"/>
    <w:bookmarkStart w:id="103"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7"/>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8"/>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ompact"/>
        <w:numPr>
          <w:ilvl w:val="0"/>
          <w:numId w:val="1019"/>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20"/>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 In the HALAH prototype, this step is specified but not yet implemented (Section 7.13).</w:t>
      </w:r>
    </w:p>
    <w:p>
      <w:pPr>
        <w:pStyle w:val="Compact"/>
        <w:numPr>
          <w:ilvl w:val="0"/>
          <w:numId w:val="1021"/>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2"/>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3"/>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4"/>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5"/>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103"/>
    <w:bookmarkStart w:id="104"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104"/>
    <w:bookmarkEnd w:id="105"/>
    <w:bookmarkStart w:id="112" w:name="X2fe5cbf561c8a3bc135795b66ae3ba1eef8bc71"/>
    <w:p>
      <w:pPr>
        <w:pStyle w:val="Heading2"/>
      </w:pPr>
      <w:r>
        <w:t xml:space="preserve">6.3 Trustworthy Multi-Party Authorisation for RO3</w:t>
      </w:r>
    </w:p>
    <w:p>
      <w:pPr>
        <w:pStyle w:val="FirstParagraph"/>
      </w:pPr>
      <w:r>
        <w:t xml:space="preserve">RO3 addresses SRQ3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given by Eq. (9).</w:t>
      </w:r>
    </w:p>
    <w:p>
      <w:pPr>
        <w:pStyle w:val="BodyText"/>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9" w:name="ro3-multi-party-authorisation-workflow"/>
    <w:p>
      <w:pPr>
        <w:pStyle w:val="Heading3"/>
      </w:pPr>
      <w:r>
        <w:t xml:space="preserve">6.3.1 RO3 Multi-Party Authorisation Workflow</w:t>
      </w:r>
    </w:p>
    <w:p>
      <w:pPr>
        <w:pStyle w:val="FirstParagraph"/>
      </w:pPr>
      <w:r>
        <w:t xml:space="preserve">The workflow, shown in Figure 6.3,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CaptionedFigure"/>
      </w:pPr>
      <w:r>
        <w:drawing>
          <wp:inline>
            <wp:extent cx="3584448" cy="7671816"/>
            <wp:effectExtent b="0" l="0" r="0" t="0"/>
            <wp:docPr descr="Figure 6.3: RO3 workflow for threshold-based multi-party authorisation" title="" id="107" name="Picture"/>
            <a:graphic>
              <a:graphicData uri="http://schemas.openxmlformats.org/drawingml/2006/picture">
                <pic:pic>
                  <pic:nvPicPr>
                    <pic:cNvPr descr="media_col/fig09.png" id="108" name="Picture"/>
                    <pic:cNvPicPr>
                      <a:picLocks noChangeArrowheads="1" noChangeAspect="1"/>
                    </pic:cNvPicPr>
                  </pic:nvPicPr>
                  <pic:blipFill>
                    <a:blip r:embed="rId106"/>
                    <a:stretch>
                      <a:fillRect/>
                    </a:stretch>
                  </pic:blipFill>
                  <pic:spPr bwMode="auto">
                    <a:xfrm>
                      <a:off x="0" y="0"/>
                      <a:ext cx="3584448" cy="7671816"/>
                    </a:xfrm>
                    <a:prstGeom prst="rect">
                      <a:avLst/>
                    </a:prstGeom>
                    <a:noFill/>
                    <a:ln w="9525">
                      <a:noFill/>
                      <a:headEnd/>
                      <a:tailEnd/>
                    </a:ln>
                  </pic:spPr>
                </pic:pic>
              </a:graphicData>
            </a:graphic>
          </wp:inline>
        </w:drawing>
      </w:r>
    </w:p>
    <w:p>
      <w:pPr>
        <w:pStyle w:val="ImageCaption"/>
      </w:pPr>
      <w:r>
        <w:t xml:space="preserve">Figure 6.3: RO3 workflow for threshold-based multi-party authorisation</w:t>
      </w:r>
    </w:p>
    <w:p>
      <w:pPr>
        <w:pStyle w:val="BodyText"/>
      </w:pPr>
      <w:r>
        <w:t xml:space="preserve">In the HALAH prototype, the Guardian workflow (Figure 7.2,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7.4; the v3 contract adds on-chain validity checks and ERC-5484 consensual burn [43].</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9"/>
    <w:bookmarkStart w:id="110"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6"/>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ompact"/>
        <w:numPr>
          <w:ilvl w:val="0"/>
          <w:numId w:val="1027"/>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 In the HALAH prototype,</w:t>
      </w:r>
      <w:r>
        <w:t xml:space="preserve"> </w:t>
      </w:r>
      <m:oMath>
        <m:r>
          <m:t>N</m:t>
        </m:r>
        <m:r>
          <m:rPr>
            <m:sty m:val="p"/>
          </m:rPr>
          <m:t>=</m:t>
        </m:r>
        <m:d>
          <m:dPr>
            <m:begChr m:val="|"/>
            <m:sepChr m:val=""/>
            <m:endChr m:val="|"/>
            <m:grow/>
          </m:dPr>
          <m:e>
            <m:r>
              <m:t>G</m:t>
            </m:r>
          </m:e>
        </m:d>
      </m:oMath>
      <w:r>
        <w:t xml:space="preserve"> </w:t>
      </w:r>
      <w:r>
        <w:t xml:space="preserve">(all designated guardians must approve); configurable k-of-n thresholds are Stage 2 work.</w:t>
      </w:r>
    </w:p>
    <w:p>
      <w:pPr>
        <w:pStyle w:val="Compact"/>
        <w:numPr>
          <w:ilvl w:val="0"/>
          <w:numId w:val="1028"/>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9"/>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30"/>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1"/>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2"/>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3"/>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4"/>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5"/>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6"/>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7"/>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8"/>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29</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30</m:t>
          </m:r>
          <m:r>
            <m:rPr>
              <m:sty m:val="p"/>
            </m:rPr>
            <m:t>)</m:t>
          </m:r>
        </m:oMath>
      </m:oMathPara>
    </w:p>
    <w:bookmarkEnd w:id="110"/>
    <w:bookmarkStart w:id="111"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11"/>
    <w:bookmarkEnd w:id="112"/>
    <w:bookmarkStart w:id="119" w:name="X77d8a567f90fbf98e40547b4be1462ed72e9750"/>
    <w:p>
      <w:pPr>
        <w:pStyle w:val="Heading2"/>
      </w:pPr>
      <w:r>
        <w:t xml:space="preserve">6.4 Policy- and Context-Aware Access Control for RO4</w:t>
      </w:r>
    </w:p>
    <w:p>
      <w:pPr>
        <w:pStyle w:val="FirstParagraph"/>
      </w:pPr>
      <w:r>
        <w:t xml:space="preserve">RO4 addresses SRQ4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31</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32</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current-stage authorisation decision is given by Eq. (6).</w:t>
      </w:r>
    </w:p>
    <w:bookmarkStart w:id="116" w:name="ro4-policy-aware-access-workflow"/>
    <w:p>
      <w:pPr>
        <w:pStyle w:val="Heading3"/>
      </w:pPr>
      <w:r>
        <w:t xml:space="preserve">6.4.1 RO4 Policy-Aware Access Workflow</w:t>
      </w:r>
    </w:p>
    <w:p>
      <w:pPr>
        <w:pStyle w:val="FirstParagraph"/>
      </w:pPr>
      <w:r>
        <w:t xml:space="preserve">The workflow, shown in Figure 6.4, begins when a doctor submits a request for patient data. The system retrieves the relevant consent object and verifies the requesting participant. It then checks whether the required multi-party authorisation has been established.</w:t>
      </w:r>
    </w:p>
    <w:p>
      <w:pPr>
        <w:pStyle w:val="CaptionedFigure"/>
      </w:pPr>
      <w:r>
        <w:drawing>
          <wp:inline>
            <wp:extent cx="5486400" cy="6503056"/>
            <wp:effectExtent b="0" l="0" r="0" t="0"/>
            <wp:docPr descr="Figure 6.4: RO4 workflow for policy- and context-aware access control" title="" id="114" name="Picture"/>
            <a:graphic>
              <a:graphicData uri="http://schemas.openxmlformats.org/drawingml/2006/picture">
                <pic:pic>
                  <pic:nvPicPr>
                    <pic:cNvPr descr="media_col/fig10.png" id="115" name="Picture"/>
                    <pic:cNvPicPr>
                      <a:picLocks noChangeArrowheads="1" noChangeAspect="1"/>
                    </pic:cNvPicPr>
                  </pic:nvPicPr>
                  <pic:blipFill>
                    <a:blip r:embed="rId113"/>
                    <a:stretch>
                      <a:fillRect/>
                    </a:stretch>
                  </pic:blipFill>
                  <pic:spPr bwMode="auto">
                    <a:xfrm>
                      <a:off x="0" y="0"/>
                      <a:ext cx="5486400" cy="6503056"/>
                    </a:xfrm>
                    <a:prstGeom prst="rect">
                      <a:avLst/>
                    </a:prstGeom>
                    <a:noFill/>
                    <a:ln w="9525">
                      <a:noFill/>
                      <a:headEnd/>
                      <a:tailEnd/>
                    </a:ln>
                  </pic:spPr>
                </pic:pic>
              </a:graphicData>
            </a:graphic>
          </wp:inline>
        </w:drawing>
      </w:r>
    </w:p>
    <w:p>
      <w:pPr>
        <w:pStyle w:val="ImageCaption"/>
      </w:pPr>
      <w:r>
        <w:t xml:space="preserve">Figure 6.4: RO4 workflow for policy- and context-aware access control</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This behaviour is shown in Figures 7.3–7.4 (Section 7.4).</w:t>
      </w:r>
    </w:p>
    <w:p>
      <w:pPr>
        <w:pStyle w:val="BodyText"/>
      </w:pPr>
      <w:r>
        <w:t xml:space="preserve">For example, the request in Eq. (4) must be denied. This rule prevents a legitimate participant from obtaining data outside the patient’s authorised scope.</w:t>
      </w:r>
    </w:p>
    <w:p>
      <w:pPr>
        <w:pStyle w:val="BodyText"/>
      </w:pPr>
      <w:r>
        <w:rPr>
          <w:b/>
          <w:bCs/>
        </w:rPr>
        <w:t xml:space="preserve">Prototype status of</w:t>
      </w:r>
      <w:r>
        <w:rPr>
          <w:b/>
          <w:bCs/>
        </w:rPr>
        <w:t xml:space="preserve"> </w:t>
      </w:r>
      <m:oMath>
        <m:sSub>
          <m:e>
            <m:r>
              <m:t>V</m:t>
            </m:r>
          </m:e>
          <m:sub>
            <m:r>
              <m:t>P</m:t>
            </m:r>
          </m:sub>
        </m:sSub>
      </m:oMath>
      <w:r>
        <w:rPr>
          <w:b/>
          <w:bCs/>
        </w:rPr>
        <w:t xml:space="preserve">.</w:t>
      </w:r>
      <w:r>
        <w:t xml:space="preserve"> </w:t>
      </w:r>
      <w:r>
        <w:t xml:space="preserve">In the HALAH prototype, scope compatibility</w:t>
      </w:r>
      <w:r>
        <w:t xml:space="preserve"> </w:t>
      </w:r>
      <m:oMath>
        <m:sSub>
          <m:e>
            <m:r>
              <m:t>V</m:t>
            </m:r>
          </m:e>
          <m:sub>
            <m:r>
              <m:t>S</m:t>
            </m:r>
          </m:sub>
        </m:sSub>
        <m:r>
          <m:rPr>
            <m:sty m:val="p"/>
          </m:rPr>
          <m:t>(</m:t>
        </m:r>
        <m:r>
          <m:t>C</m:t>
        </m:r>
        <m:r>
          <m:rPr>
            <m:sty m:val="p"/>
          </m:rPr>
          <m:t>,</m:t>
        </m:r>
        <m:r>
          <m:t>R</m:t>
        </m:r>
        <m:r>
          <m:rPr>
            <m:sty m:val="p"/>
          </m:rPr>
          <m:t>)</m:t>
        </m:r>
      </m:oMath>
      <w:r>
        <w:t xml:space="preserve"> </w:t>
      </w:r>
      <w:r>
        <w:t xml:space="preserve">is enforced: the Doctor interface offers only modules from the consented scope, and the service layer independently verifies</w:t>
      </w:r>
      <w:r>
        <w:t xml:space="preserve"> </w:t>
      </w:r>
      <m:oMath>
        <m:sSub>
          <m:e>
            <m:r>
              <m:t>S</m:t>
            </m:r>
          </m:e>
          <m:sub>
            <m:r>
              <m:t>R</m:t>
            </m:r>
          </m:sub>
        </m:sSub>
        <m:r>
          <m:rPr>
            <m:sty m:val="p"/>
          </m:rPr>
          <m:t>⊆</m:t>
        </m:r>
        <m:sSub>
          <m:e>
            <m:r>
              <m:t>S</m:t>
            </m:r>
          </m:e>
          <m:sub>
            <m:r>
              <m:t>C</m:t>
            </m:r>
          </m:sub>
        </m:sSub>
      </m:oMath>
      <w:r>
        <w:t xml:space="preserve"> </w:t>
      </w:r>
      <w:r>
        <w:t xml:space="preserve">before any data are returned; a failed check produces an ACCESS DENIED result that is recorded in the audit log. Purpose compatibility</w:t>
      </w:r>
      <w:r>
        <w:t xml:space="preserve"> </w:t>
      </w:r>
      <m:oMath>
        <m:sSub>
          <m:e>
            <m:r>
              <m:t>V</m:t>
            </m:r>
          </m:e>
          <m:sub>
            <m:r>
              <m:t>U</m:t>
            </m:r>
          </m:sub>
        </m:sSub>
        <m:r>
          <m:rPr>
            <m:sty m:val="p"/>
          </m:rPr>
          <m:t>(</m:t>
        </m:r>
        <m:r>
          <m:t>C</m:t>
        </m:r>
        <m:r>
          <m:rPr>
            <m:sty m:val="p"/>
          </m:rPr>
          <m:t>,</m:t>
        </m:r>
        <m:r>
          <m:t>R</m:t>
        </m:r>
        <m:r>
          <m:rPr>
            <m:sty m:val="p"/>
          </m:rPr>
          <m:t>)</m:t>
        </m:r>
      </m:oMath>
      <w:r>
        <w:t xml:space="preserve"> </w:t>
      </w:r>
      <w:r>
        <w:t xml:space="preserve">is only partly implemented: the consent purpose is checked against the permitted set {Treatment, Research, Emergency}, but the requester does not yet declare a purpose, so the comparison</w:t>
      </w:r>
      <w:r>
        <w:t xml:space="preserve"> </w:t>
      </w:r>
      <m:oMath>
        <m:sSub>
          <m:e>
            <m:r>
              <m:t>P</m:t>
            </m:r>
          </m:e>
          <m:sub>
            <m:r>
              <m:t>R</m:t>
            </m:r>
          </m:sub>
        </m:sSub>
        <m:r>
          <m:rPr>
            <m:sty m:val="p"/>
          </m:rPr>
          <m:t>⊨</m:t>
        </m:r>
        <m:sSub>
          <m:e>
            <m:r>
              <m:t>P</m:t>
            </m:r>
          </m:e>
          <m:sub>
            <m:r>
              <m:t>C</m:t>
            </m:r>
          </m:sub>
        </m:sSub>
      </m:oMath>
      <w:r>
        <w:t xml:space="preserve"> </w:t>
      </w:r>
      <w:r>
        <w:t xml:space="preserve">is scheduled for Stage 2. In addition, the full decision matrix (</w:t>
      </w:r>
      <m:oMath>
        <m:sSub>
          <m:e>
            <m:r>
              <m:t>V</m:t>
            </m:r>
          </m:e>
          <m:sub>
            <m:r>
              <m:t>I</m:t>
            </m:r>
          </m:sub>
        </m:sSub>
      </m:oMath>
      <w:r>
        <w:t xml:space="preserve">,</w:t>
      </w:r>
      <w:r>
        <w:t xml:space="preserve"> </w:t>
      </w:r>
      <m:oMath>
        <m:sSub>
          <m:e>
            <m:r>
              <m:t>V</m:t>
            </m:r>
          </m:e>
          <m:sub>
            <m:r>
              <m:t>A</m:t>
            </m:r>
          </m:sub>
        </m:sSub>
      </m:oMath>
      <w:r>
        <w:t xml:space="preserve">,</w:t>
      </w:r>
      <w:r>
        <w:t xml:space="preserve"> </w:t>
      </w:r>
      <m:oMath>
        <m:sSub>
          <m:e>
            <m:r>
              <m:t>V</m:t>
            </m:r>
          </m:e>
          <m:sub>
            <m:r>
              <m:t>P</m:t>
            </m:r>
          </m:sub>
        </m:sSub>
      </m:oMath>
      <w:r>
        <w:t xml:space="preserve">,</w:t>
      </w:r>
      <w:r>
        <w:t xml:space="preserve"> </w:t>
      </w:r>
      <m:oMath>
        <m:sSub>
          <m:e>
            <m:r>
              <m:t>V</m:t>
            </m:r>
          </m:e>
          <m:sub>
            <m:r>
              <m:t>T</m:t>
            </m:r>
          </m:sub>
        </m:sSub>
      </m:oMath>
      <w:r>
        <w:t xml:space="preserve">,</w:t>
      </w:r>
      <w:r>
        <w:t xml:space="preserve"> </w:t>
      </w:r>
      <m:oMath>
        <m:sSub>
          <m:e>
            <m:r>
              <m:t>V</m:t>
            </m:r>
          </m:e>
          <m:sub>
            <m:r>
              <m:t>L</m:t>
            </m:r>
          </m:sub>
        </m:sSub>
      </m:oMath>
      <w: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(6).</w:t>
      </w:r>
    </w:p>
    <w:bookmarkEnd w:id="116"/>
    <w:bookmarkStart w:id="117" w:name="X9b9350abce928b4bfd4821dc61b387a8eede2be"/>
    <w:p>
      <w:pPr>
        <w:pStyle w:val="Heading3"/>
      </w:pPr>
      <w:r>
        <w:t xml:space="preserve">6.4.2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9"/>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40"/>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1"/>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2"/>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3"/>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where ⊨ denotes that the requested purpose</w:t>
      </w:r>
      <w:r>
        <w:t xml:space="preserve"> </w:t>
      </w:r>
      <m:oMath>
        <m:sSub>
          <m:e>
            <m:r>
              <m:t>P</m:t>
            </m:r>
          </m:e>
          <m:sub>
            <m:r>
              <m:t>R</m:t>
            </m:r>
          </m:sub>
        </m:sSub>
      </m:oMath>
      <w:r>
        <w:t xml:space="preserve"> </w:t>
      </w:r>
      <w:r>
        <w:t xml:space="preserve">is permitted by the consented purpose</w:t>
      </w:r>
      <w:r>
        <w:t xml:space="preserve"> </w:t>
      </w:r>
      <m:oMath>
        <m:sSub>
          <m:e>
            <m:r>
              <m:t>P</m:t>
            </m:r>
          </m:e>
          <m:sub>
            <m:r>
              <m:t>C</m:t>
            </m:r>
          </m:sub>
        </m:sSub>
      </m:oMath>
      <w: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4"/>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5"/>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6"/>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7"/>
        </w:numPr>
      </w:pPr>
      <w:r>
        <w:rPr>
          <w:b/>
          <w:bCs/>
        </w:rPr>
        <w:t xml:space="preserve">Step 9 – Retrieve the Authorised Healthcare Data.</w:t>
      </w:r>
    </w:p>
    <w:p>
      <w:pPr>
        <w:pStyle w:val="FirstParagraph"/>
      </w:pPr>
      <w:r>
        <w:t xml:space="preserve">Once the request has been successfully authorised, the system retrieves only the healthcare data within the requested scope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8"/>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9"/>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7"/>
    <w:bookmarkStart w:id="118"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8"/>
    <w:bookmarkEnd w:id="119"/>
    <w:bookmarkStart w:id="126" w:name="temporal-and-lifecycle-trust-for-ro5"/>
    <w:p>
      <w:pPr>
        <w:pStyle w:val="Heading2"/>
      </w:pPr>
      <w:r>
        <w:t xml:space="preserve">6.5 Temporal and Lifecycle Trust for RO5</w:t>
      </w:r>
    </w:p>
    <w:p>
      <w:pPr>
        <w:pStyle w:val="FirstParagraph"/>
      </w:pPr>
      <w:r>
        <w:t xml:space="preserve">RO5 addresses SRQ5 and extends the foundational current-stage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 RO5 extends this model by introducing temporal validity</w:t>
      </w:r>
      <w:r>
        <w:t xml:space="preserve"> </w:t>
      </w:r>
      <m:oMath>
        <m:sSub>
          <m:e>
            <m:r>
              <m:t>V</m:t>
            </m:r>
          </m:e>
          <m:sub>
            <m:r>
              <m:t>T</m:t>
            </m:r>
          </m:sub>
        </m:sSub>
        <m:r>
          <m:rPr>
            <m:sty m:val="p"/>
          </m:rPr>
          <m:t>(</m:t>
        </m:r>
        <m:r>
          <m:t>C</m:t>
        </m:r>
        <m:r>
          <m:rPr>
            <m:sty m:val="p"/>
          </m:rPr>
          <m:t>,</m:t>
        </m:r>
        <m:r>
          <m:t>t</m:t>
        </m:r>
        <m:r>
          <m:rPr>
            <m:sty m:val="p"/>
          </m:rPr>
          <m:t>)</m:t>
        </m:r>
      </m:oMath>
      <w:r>
        <w:t xml:space="preserve"> </w:t>
      </w:r>
      <w:r>
        <w:t xml:space="preserve">(Eq. (12)).</w:t>
      </w:r>
    </w:p>
    <w:p>
      <w:pPr>
        <w:pStyle w:val="BodyText"/>
      </w:pPr>
      <w:r>
        <w:t xml:space="preserve">It also introduces lifecycle validity</w:t>
      </w:r>
      <w:r>
        <w:t xml:space="preserve"> </w:t>
      </w:r>
      <m:oMath>
        <m:sSub>
          <m:e>
            <m:r>
              <m:t>V</m:t>
            </m:r>
          </m:e>
          <m:sub>
            <m:r>
              <m:t>L</m:t>
            </m:r>
          </m:sub>
        </m:sSub>
        <m:r>
          <m:rPr>
            <m:sty m:val="p"/>
          </m:rPr>
          <m:t>(</m:t>
        </m:r>
        <m:r>
          <m:t>C</m:t>
        </m:r>
        <m:r>
          <m:rPr>
            <m:sty m:val="p"/>
          </m:rPr>
          <m:t>)</m:t>
        </m:r>
      </m:oMath>
      <w:r>
        <w:t xml:space="preserve"> </w:t>
      </w:r>
      <w:r>
        <w:t xml:space="preserve">(Eq. (15)).</w:t>
      </w:r>
    </w:p>
    <w:p>
      <w:pPr>
        <w:pStyle w:val="BodyText"/>
      </w:pPr>
      <w:r>
        <w:t xml:space="preserve">The extended authorisation decision is therefore given by Eq. (24).</w:t>
      </w:r>
    </w:p>
    <w:p>
      <w:pPr>
        <w:pStyle w:val="BodyText"/>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23" w:name="ro5-temporal-and-lifecycle-workflow"/>
    <w:p>
      <w:pPr>
        <w:pStyle w:val="Heading3"/>
      </w:pPr>
      <w:r>
        <w:t xml:space="preserve">6.5.1 RO5 Temporal and Lifecycle Workflow</w:t>
      </w:r>
    </w:p>
    <w:p>
      <w:pPr>
        <w:pStyle w:val="FirstParagraph"/>
      </w:pPr>
      <w:r>
        <w:t xml:space="preserve">The planned workflow, shown in Figure 6.5,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CaptionedFigure"/>
      </w:pPr>
      <w:r>
        <w:drawing>
          <wp:inline>
            <wp:extent cx="2907792" cy="7687670"/>
            <wp:effectExtent b="0" l="0" r="0" t="0"/>
            <wp:docPr descr="Figure 6.5: RO5 planned workflow for temporal and consent lifecycle trust" title="" id="121" name="Picture"/>
            <a:graphic>
              <a:graphicData uri="http://schemas.openxmlformats.org/drawingml/2006/picture">
                <pic:pic>
                  <pic:nvPicPr>
                    <pic:cNvPr descr="media_col/fig11.png" id="122" name="Picture"/>
                    <pic:cNvPicPr>
                      <a:picLocks noChangeArrowheads="1" noChangeAspect="1"/>
                    </pic:cNvPicPr>
                  </pic:nvPicPr>
                  <pic:blipFill>
                    <a:blip r:embed="rId120"/>
                    <a:stretch>
                      <a:fillRect/>
                    </a:stretch>
                  </pic:blipFill>
                  <pic:spPr bwMode="auto">
                    <a:xfrm>
                      <a:off x="0" y="0"/>
                      <a:ext cx="2907792" cy="7687670"/>
                    </a:xfrm>
                    <a:prstGeom prst="rect">
                      <a:avLst/>
                    </a:prstGeom>
                    <a:noFill/>
                    <a:ln w="9525">
                      <a:noFill/>
                      <a:headEnd/>
                      <a:tailEnd/>
                    </a:ln>
                  </pic:spPr>
                </pic:pic>
              </a:graphicData>
            </a:graphic>
          </wp:inline>
        </w:drawing>
      </w:r>
    </w:p>
    <w:p>
      <w:pPr>
        <w:pStyle w:val="ImageCaption"/>
      </w:pPr>
      <w:r>
        <w:t xml:space="preserve">Figure 6.5: RO5 planned workflow for temporal and consent lifecycle trust</w:t>
      </w:r>
    </w:p>
    <w:p>
      <w:pPr>
        <w:pStyle w:val="BodyText"/>
      </w:pPr>
      <w:r>
        <w:t xml:space="preserve">The HALAH prototype already implements a first version of this workflow. The consent engine evaluates the consent state in the order REVOKED, PENDING_SIGNATURE, PENDING_TOKEN, NOT_STARTED, EXPIRED and ACTIVE, and only an ACTIVE consent can release data;</w:t>
      </w:r>
      <w:r>
        <w:t xml:space="preserve"> </w:t>
      </w:r>
      <m:oMath>
        <m:sSub>
          <m:e>
            <m:r>
              <m:t>V</m:t>
            </m:r>
          </m:e>
          <m:sub>
            <m:r>
              <m:t>T</m:t>
            </m:r>
          </m:sub>
        </m:sSub>
        <m:r>
          <m:rPr>
            <m:sty m:val="p"/>
          </m:rPr>
          <m:t>(</m:t>
        </m:r>
        <m:r>
          <m:t>C</m:t>
        </m:r>
        <m:r>
          <m:rPr>
            <m:sty m:val="p"/>
          </m:rPr>
          <m:t>,</m:t>
        </m:r>
        <m:r>
          <m:t>t</m:t>
        </m:r>
        <m:r>
          <m:rPr>
            <m:sty m:val="p"/>
          </m:rPr>
          <m:t>)</m:t>
        </m:r>
      </m:oMath>
      <w:r>
        <w:t xml:space="preserve"> </w:t>
      </w:r>
      <w: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lifecycle properties (Eqs. (20)–(21)) and adversarial evaluation.</w:t>
      </w:r>
    </w:p>
    <w:p>
      <w:pPr>
        <w:pStyle w:val="BodyText"/>
      </w:pPr>
      <w:r>
        <w:rPr>
          <w:b/>
          <w:bCs/>
        </w:rPr>
        <w:t xml:space="preserve">Notation note.</w:t>
      </w:r>
      <w:r>
        <w:t xml:space="preserve"> </w:t>
      </w:r>
      <w:r>
        <w:t xml:space="preserve">The prototype’s decision matrix currently uses the label VL for a jurisdiction check (consent jurisdiction equals requester jurisdiction, default</w:t>
      </w:r>
      <w:r>
        <w:t xml:space="preserve"> </w:t>
      </w:r>
      <w:r>
        <w:t xml:space="preserve">‘AU’</w:t>
      </w:r>
      <w:r>
        <w:t xml:space="preserve">), whereas this report defines</w:t>
      </w:r>
      <w:r>
        <w:t xml:space="preserve"> </w:t>
      </w:r>
      <m:oMath>
        <m:sSub>
          <m:e>
            <m:r>
              <m:t>V</m:t>
            </m:r>
          </m:e>
          <m:sub>
            <m:r>
              <m:t>L</m:t>
            </m:r>
          </m:sub>
        </m:sSub>
        <m:r>
          <m:rPr>
            <m:sty m:val="p"/>
          </m:rPr>
          <m:t>(</m:t>
        </m:r>
        <m:r>
          <m:t>C</m:t>
        </m:r>
        <m:r>
          <m:rPr>
            <m:sty m:val="p"/>
          </m:rPr>
          <m:t>)</m:t>
        </m:r>
      </m:oMath>
      <w:r>
        <w:t xml:space="preserve"> </w:t>
      </w:r>
      <w:r>
        <w:t xml:space="preserve">as lifecycle validity (Eq. (15)). To avoid ambiguity, the jurisdiction predicate will be renamed</w:t>
      </w:r>
      <w:r>
        <w:t xml:space="preserve"> </w:t>
      </w:r>
      <m:oMath>
        <m:sSub>
          <m:e>
            <m:r>
              <m:t>V</m:t>
            </m:r>
          </m:e>
          <m:sub>
            <m:r>
              <m:t>J</m:t>
            </m:r>
          </m:sub>
        </m:sSub>
      </m:oMath>
      <w:r>
        <w:t xml:space="preserve"> </w:t>
      </w:r>
      <w:r>
        <w:t xml:space="preserve">in the code and contract, and</w:t>
      </w:r>
      <w:r>
        <w:t xml:space="preserve"> </w:t>
      </w:r>
      <m:oMath>
        <m:sSub>
          <m:e>
            <m:r>
              <m:t>V</m:t>
            </m:r>
          </m:e>
          <m:sub>
            <m:r>
              <m:t>L</m:t>
            </m:r>
          </m:sub>
        </m:sSub>
      </m:oMath>
      <w:r>
        <w:t xml:space="preserve"> </w:t>
      </w:r>
      <w:r>
        <w:t xml:space="preserve">is reserved for lifecycle validity as defined here.</w:t>
      </w:r>
    </w:p>
    <w:bookmarkEnd w:id="123"/>
    <w:bookmarkStart w:id="124" w:name="X76e1ecd5ca9116901ef2fba9faaf6fcb0ec1702"/>
    <w:p>
      <w:pPr>
        <w:pStyle w:val="Heading3"/>
      </w:pPr>
      <w:r>
        <w:t xml:space="preserve">6.5.2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50"/>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1"/>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2"/>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3"/>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4"/>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5"/>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6"/>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7"/>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8"/>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24"/>
    <w:bookmarkStart w:id="125" w:name="X43f085cbe35cf9229d124bd6c8707d40ef3f488"/>
    <w:p>
      <w:pPr>
        <w:pStyle w:val="Heading3"/>
      </w:pPr>
      <w:r>
        <w:t xml:space="preserve">6.5.3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BodyText"/>
      </w:pPr>
      <w:r>
        <w:t xml:space="preserve">Algorithm 5 extends the current-stage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25"/>
    <w:bookmarkEnd w:id="126"/>
    <w:bookmarkStart w:id="133" w:name="X28e4c471c7af957781c5be37513d338d1f9028e"/>
    <w:p>
      <w:pPr>
        <w:pStyle w:val="Heading2"/>
      </w:pPr>
      <w:r>
        <w:t xml:space="preserve">6.6 Formal Security Assurance and Empirical Validation for RO6</w:t>
      </w:r>
    </w:p>
    <w:p>
      <w:pPr>
        <w:pStyle w:val="FirstParagraph"/>
      </w:pPr>
      <w:r>
        <w:t xml:space="preserve">RO6 addresses SRQ6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given by Eq. (24).</w:t>
      </w:r>
    </w:p>
    <w:p>
      <w:pPr>
        <w:pStyle w:val="BodyText"/>
      </w:pPr>
      <w:r>
        <w:t xml:space="preserve">For the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33</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34</m:t>
          </m:r>
          <m:r>
            <m:rPr>
              <m:sty m:val="p"/>
            </m:rPr>
            <m:t>)</m:t>
          </m:r>
        </m:oMath>
      </m:oMathPara>
    </w:p>
    <w:bookmarkStart w:id="130" w:name="ro6-assurance-and-validation-workflow"/>
    <w:p>
      <w:pPr>
        <w:pStyle w:val="Heading3"/>
      </w:pPr>
      <w:r>
        <w:t xml:space="preserve">6.6.1 RO6 Assurance and Validation Workflow</w:t>
      </w:r>
    </w:p>
    <w:p>
      <w:pPr>
        <w:pStyle w:val="FirstParagraph"/>
      </w:pPr>
      <w:r>
        <w:t xml:space="preserve">The validation process, shown in Figure 6.6,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CaptionedFigure"/>
      </w:pPr>
      <w:r>
        <w:drawing>
          <wp:inline>
            <wp:extent cx="4572000" cy="7676734"/>
            <wp:effectExtent b="0" l="0" r="0" t="0"/>
            <wp:docPr descr="Figure 6.6: RO6 planned workflow for formal security assurance and empirical validation" title="" id="128" name="Picture"/>
            <a:graphic>
              <a:graphicData uri="http://schemas.openxmlformats.org/drawingml/2006/picture">
                <pic:pic>
                  <pic:nvPicPr>
                    <pic:cNvPr descr="media_col/fig12.png" id="129" name="Picture"/>
                    <pic:cNvPicPr>
                      <a:picLocks noChangeArrowheads="1" noChangeAspect="1"/>
                    </pic:cNvPicPr>
                  </pic:nvPicPr>
                  <pic:blipFill>
                    <a:blip r:embed="rId127"/>
                    <a:stretch>
                      <a:fillRect/>
                    </a:stretch>
                  </pic:blipFill>
                  <pic:spPr bwMode="auto">
                    <a:xfrm>
                      <a:off x="0" y="0"/>
                      <a:ext cx="4572000" cy="7676734"/>
                    </a:xfrm>
                    <a:prstGeom prst="rect">
                      <a:avLst/>
                    </a:prstGeom>
                    <a:noFill/>
                    <a:ln w="9525">
                      <a:noFill/>
                      <a:headEnd/>
                      <a:tailEnd/>
                    </a:ln>
                  </pic:spPr>
                </pic:pic>
              </a:graphicData>
            </a:graphic>
          </wp:inline>
        </w:drawing>
      </w:r>
    </w:p>
    <w:p>
      <w:pPr>
        <w:pStyle w:val="ImageCaption"/>
      </w:pPr>
      <w:r>
        <w:t xml:space="preserve">Figure 6.6: RO6 planned workflow for formal security assurance and empirical validation</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 Current evidence from the prototype is reported in Sections 7.11–7.12.</w:t>
      </w:r>
    </w:p>
    <w:bookmarkEnd w:id="130"/>
    <w:bookmarkStart w:id="131"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ompact"/>
        <w:numPr>
          <w:ilvl w:val="0"/>
          <w:numId w:val="1059"/>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60"/>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1"/>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2"/>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3"/>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4"/>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5"/>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6"/>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7"/>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8"/>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9"/>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70"/>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1"/>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2"/>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3"/>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4"/>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5"/>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m:oMath>
        <m:sSub>
          <m:e>
            <m:r>
              <m:t>S</m:t>
            </m:r>
          </m:e>
          <m:sub>
            <m:r>
              <m:t>v</m:t>
            </m:r>
            <m:r>
              <m:t>a</m:t>
            </m:r>
            <m:r>
              <m:t>l</m:t>
            </m:r>
            <m:r>
              <m:t>i</m:t>
            </m:r>
            <m:r>
              <m:t>d</m:t>
            </m:r>
          </m:sub>
        </m:sSub>
      </m:oMath>
      <w:r>
        <w:br/>
      </w:r>
      <w:r>
        <w:t xml:space="preserve">3: Define negative scenarios</w:t>
      </w:r>
      <w:r>
        <w:t xml:space="preserve"> </w:t>
      </w:r>
      <m:oMath>
        <m:sSub>
          <m:e>
            <m:r>
              <m:t>S</m:t>
            </m:r>
          </m:e>
          <m:sub>
            <m:r>
              <m:t>n</m:t>
            </m:r>
            <m:r>
              <m:t>e</m:t>
            </m:r>
            <m:r>
              <m:t>g</m:t>
            </m:r>
            <m:r>
              <m:t>a</m:t>
            </m:r>
            <m:r>
              <m:t>t</m:t>
            </m:r>
            <m:r>
              <m:t>i</m:t>
            </m:r>
            <m:r>
              <m:t>v</m:t>
            </m:r>
            <m:r>
              <m:t>e</m:t>
            </m:r>
          </m:sub>
        </m:sSub>
      </m:oMath>
      <w:r>
        <w:br/>
      </w:r>
      <w:r>
        <w:t xml:space="preserve">4: Define adversarial scenarios</w:t>
      </w:r>
      <w:r>
        <w:t xml:space="preserve"> </w:t>
      </w:r>
      <m:oMath>
        <m:sSub>
          <m:e>
            <m:r>
              <m:t>S</m:t>
            </m:r>
          </m:e>
          <m:sub>
            <m:r>
              <m:t>a</m:t>
            </m:r>
            <m:r>
              <m:t>d</m:t>
            </m:r>
            <m:r>
              <m:t>v</m:t>
            </m:r>
          </m:sub>
        </m:sSub>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31"/>
    <w:bookmarkStart w:id="132"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32"/>
    <w:bookmarkEnd w:id="133"/>
    <w:bookmarkStart w:id="134"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and Authority Trust, 2) Collective Authorisation, 3) Policy Compliance, 4) Temporal and Lifecycle Trust. For the current stage implementation, the operational decision is based on Eq. (6).</w:t>
      </w:r>
    </w:p>
    <w:p>
      <w:pPr>
        <w:pStyle w:val="BodyText"/>
      </w:pPr>
      <w:r>
        <w:t xml:space="preserve">The CA3 extension incorporates temporal and lifecycle conditions, as in Eq. (24).</w:t>
      </w:r>
    </w:p>
    <w:p>
      <w:pPr>
        <w:pStyle w:val="BodyText"/>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34"/>
    <w:bookmarkEnd w:id="135"/>
    <w:bookmarkStart w:id="167" w:name="halah-system-and-workflow"/>
    <w:p>
      <w:pPr>
        <w:pStyle w:val="Heading1"/>
      </w:pPr>
      <w:r>
        <w:t xml:space="preserve">7 HALAH System and Workflow</w:t>
      </w:r>
    </w:p>
    <w:p>
      <w:pPr>
        <w:pStyle w:val="FirstParagraph"/>
      </w:pPr>
      <w: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BodyText"/>
      </w:pPr>
      <w:r>
        <w:t xml:space="preserve">The overall workflow implemented by the implementation is therefore consistent with the proposed authorisation model as</w:t>
      </w:r>
    </w:p>
    <w:p>
      <w:pPr>
        <w:pStyle w:val="BodyText"/>
      </w:pPr>
      <m:oMathPara>
        <m:oMathParaPr>
          <m:jc m:val="center"/>
        </m:oMathParaPr>
        <m:oMath>
          <m:m>
            <m:mPr>
              <m:baseJc m:val="center"/>
              <m:plcHide m:val="on"/>
              <m:mcs>
                <m:mc>
                  <m:mcPr>
                    <m:count m:val="1"/>
                    <m:mcJc m:val="left"/>
                  </m:mcPr>
                </m:mc>
              </m:mcs>
            </m:mPr>
            <m:mr>
              <m:e>
                <m:r>
                  <m:rPr>
                    <m:nor/>
                  </m:rPr>
                  <m:t>Create Consent</m:t>
                </m:r>
                <m:r>
                  <m:rPr>
                    <m:sty m:val="p"/>
                  </m:rPr>
                  <m:t>→</m:t>
                </m:r>
                <m:r>
                  <m:rPr>
                    <m:nor/>
                  </m:rPr>
                  <m:t>Guardian Approval</m:t>
                </m:r>
                <m:r>
                  <m:rPr>
                    <m:sty m:val="p"/>
                  </m:rPr>
                  <m:t>→</m:t>
                </m:r>
                <m:r>
                  <m:rPr>
                    <m:nor/>
                  </m:rPr>
                  <m:t>Multi-signature Validation</m:t>
                </m:r>
              </m:e>
            </m:mr>
            <m:mr>
              <m:e>
                <m:r>
                  <m:rPr>
                    <m:sty m:val="p"/>
                  </m:rPr>
                  <m:t>→</m:t>
                </m:r>
                <m:r>
                  <m:rPr>
                    <m:nor/>
                  </m:rPr>
                  <m:t>Consent Activation</m:t>
                </m:r>
                <m:r>
                  <m:rPr>
                    <m:sty m:val="p"/>
                  </m:rPr>
                  <m:t>→</m:t>
                </m:r>
                <m:r>
                  <m:rPr>
                    <m:nor/>
                  </m:rPr>
                  <m:t>Doctor Access</m:t>
                </m:r>
                <m:r>
                  <m:rPr>
                    <m:sty m:val="p"/>
                  </m:rPr>
                  <m:t>→</m:t>
                </m:r>
                <m:r>
                  <m:rPr>
                    <m:nor/>
                  </m:rPr>
                  <m:t>Audit</m:t>
                </m:r>
              </m:e>
            </m:mr>
          </m:m>
        </m:oMath>
      </m:oMathPara>
    </w:p>
    <w:p>
      <w:pPr>
        <w:pStyle w:val="FirstParagraph"/>
      </w:pPr>
      <w:r>
        <w:t xml:space="preserve">This sequence provides an end-to-end demonstration of how the conceptual consent model is translated into an operational healthcare data-sharing process.</w:t>
      </w:r>
    </w:p>
    <w:bookmarkStart w:id="136" w:name="halah-system"/>
    <w:p>
      <w:pPr>
        <w:pStyle w:val="Heading2"/>
      </w:pPr>
      <w:r>
        <w:t xml:space="preserve">7.1 HALAH System</w:t>
      </w:r>
    </w:p>
    <w:p>
      <w:pPr>
        <w:pStyle w:val="FirstParagraph"/>
      </w:pPr>
      <w:r>
        <w:t xml:space="preserve">The main HALAH subsystem presents the system as a</w:t>
      </w:r>
      <w:r>
        <w:t xml:space="preserve"> </w:t>
      </w:r>
      <w:r>
        <w:rPr>
          <w:b/>
          <w:bCs/>
        </w:rPr>
        <w:t xml:space="preserve">Patient Consent Management Platform for History Access by Authorised Healthcare Providers</w:t>
      </w:r>
      <w:r>
        <w:t xml:space="preserve">. The subsystem provides a role-oriented environment in which different participants interact with the same consent lifecycle according to their respective authorisation responsibilities.</w:t>
      </w:r>
    </w:p>
    <w:p>
      <w:pPr>
        <w:pStyle w:val="BodyText"/>
      </w:pPr>
      <w: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BodyText"/>
      </w:pPr>
      <w:r>
        <w:t xml:space="preserve">This design corresponds to the overall HALAH architecture, in which</w:t>
      </w:r>
      <w:r>
        <w:t xml:space="preserve"> </w:t>
      </w:r>
      <w:r>
        <w:rPr>
          <w:b/>
          <w:bCs/>
        </w:rPr>
        <w:t xml:space="preserve">decentralised identifiers (DIDs)</w:t>
      </w:r>
      <w:r>
        <w:t xml:space="preserve"> </w:t>
      </w:r>
      <w:r>
        <w:t xml:space="preserve">provide identity pointers, the consent object defines the authorisation conditions, cryptographic signatures provide evidence of approval, and the blockchain-based ledger provides lifecycle traceability.</w:t>
      </w:r>
    </w:p>
    <w:p>
      <w:pPr>
        <w:pStyle w:val="BodyText"/>
      </w:pPr>
      <w:r>
        <w:t xml:space="preserve">The subsystem therefore serves as the entry point for demonstrating the complete authorisation process rather than functioning merely as a conventional patient-record application.</w:t>
      </w:r>
    </w:p>
    <w:bookmarkEnd w:id="136"/>
    <w:bookmarkStart w:id="140" w:name="X858cfcdf50eeab536ac64fcc0cad8eb3398a81c"/>
    <w:p>
      <w:pPr>
        <w:pStyle w:val="Heading2"/>
      </w:pPr>
      <w:r>
        <w:t xml:space="preserve">7.2 Create Smart Consent Contract: Patient Subsystem</w:t>
      </w:r>
    </w:p>
    <w:p>
      <w:pPr>
        <w:pStyle w:val="FirstParagraph"/>
      </w:pPr>
      <w:r>
        <w:t xml:space="preserve">The first functional subsystem is the</w:t>
      </w:r>
      <w:r>
        <w:t xml:space="preserve"> </w:t>
      </w:r>
      <w:r>
        <w:rPr>
          <w:b/>
          <w:bCs/>
        </w:rPr>
        <w:t xml:space="preserve">Create Smart Consent Contract</w:t>
      </w:r>
      <w:r>
        <w:t xml:space="preserve"> </w:t>
      </w:r>
      <w:r>
        <w:t xml:space="preserve">module. This module represents the patient-side initiation of a consent transaction and corresponds directly to the construction of the proposed consent object.</w:t>
      </w:r>
    </w:p>
    <w:p>
      <w:pPr>
        <w:pStyle w:val="BodyText"/>
      </w:pPr>
      <w:r>
        <w:t xml:space="preserve">The subsystem requires the patient to specify the</w:t>
      </w:r>
      <w:r>
        <w:t xml:space="preserve"> </w:t>
      </w:r>
      <w:r>
        <w:rPr>
          <w:b/>
          <w:bCs/>
        </w:rPr>
        <w:t xml:space="preserve">Patient DID</w:t>
      </w:r>
      <w:r>
        <w:t xml:space="preserve">,</w:t>
      </w:r>
      <w:r>
        <w:t xml:space="preserve"> </w:t>
      </w:r>
      <w:r>
        <w:rPr>
          <w:b/>
          <w:bCs/>
        </w:rPr>
        <w:t xml:space="preserve">Authorised Doctor DID</w:t>
      </w:r>
      <w:r>
        <w:t xml:space="preserve">,</w:t>
      </w:r>
      <w:r>
        <w:t xml:space="preserve"> </w:t>
      </w:r>
      <w:r>
        <w:rPr>
          <w:b/>
          <w:bCs/>
        </w:rPr>
        <w:t xml:space="preserve">Data Access Scope</w:t>
      </w:r>
      <w:r>
        <w:t xml:space="preserve">,</w:t>
      </w:r>
      <w:r>
        <w:t xml:space="preserve"> </w:t>
      </w:r>
      <w:r>
        <w:rPr>
          <w:b/>
          <w:bCs/>
        </w:rPr>
        <w:t xml:space="preserve">Designated Guardian DIDs</w:t>
      </w:r>
      <w:r>
        <w:t xml:space="preserve">, and the</w:t>
      </w:r>
      <w:r>
        <w:t xml:space="preserve"> </w:t>
      </w:r>
      <w:r>
        <w:rPr>
          <w:b/>
          <w:bCs/>
        </w:rPr>
        <w:t xml:space="preserve">temporal validity of the consent</w:t>
      </w:r>
      <w:r>
        <w:t xml:space="preserve">. These fields collectively operationalise the proposed consent representation:</w:t>
      </w:r>
    </w:p>
    <w:p>
      <w:pPr>
        <w:pStyle w:val="BodyText"/>
      </w:pPr>
      <m:oMathPara>
        <m:oMathParaPr>
          <m:jc m:val="center"/>
        </m:oMathParaPr>
        <m:oMath>
          <m:r>
            <m:t>C</m:t>
          </m:r>
          <m:r>
            <m:rPr>
              <m:sty m:val="p"/>
            </m:rPr>
            <m:t>=</m:t>
          </m:r>
          <m:d>
            <m:dPr>
              <m:begChr m:val="("/>
              <m:sepChr m:val=""/>
              <m:endChr m:val=")"/>
              <m:grow/>
            </m:dPr>
            <m:e>
              <m:r>
                <m:t>I</m:t>
              </m:r>
              <m:r>
                <m:rPr>
                  <m:sty m:val="p"/>
                </m:rPr>
                <m:t>,</m:t>
              </m:r>
              <m:r>
                <m:t>A</m:t>
              </m:r>
              <m:r>
                <m:rPr>
                  <m:sty m:val="p"/>
                </m:rPr>
                <m:t>,</m:t>
              </m:r>
              <m:r>
                <m:t>P</m:t>
              </m:r>
              <m:r>
                <m:rPr>
                  <m:sty m:val="p"/>
                </m:rPr>
                <m:t>,</m:t>
              </m:r>
              <m:r>
                <m:t>T</m:t>
              </m:r>
              <m:r>
                <m:rPr>
                  <m:sty m:val="p"/>
                </m:rPr>
                <m:t>,</m:t>
              </m:r>
              <m:r>
                <m:t>L</m:t>
              </m:r>
              <m:r>
                <m:rPr>
                  <m:sty m:val="p"/>
                </m:rPr>
                <m:t>,</m:t>
              </m:r>
              <m:r>
                <m:t>E</m:t>
              </m:r>
            </m:e>
          </m:d>
        </m:oMath>
      </m:oMathPara>
    </w:p>
    <w:p>
      <w:pPr>
        <w:pStyle w:val="FirstParagraph"/>
      </w:pPr>
      <w: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p>
      <w:pPr>
        <w:pStyle w:val="CaptionedFigure"/>
      </w:pPr>
      <w:r>
        <w:drawing>
          <wp:inline>
            <wp:extent cx="5465445" cy="2746127"/>
            <wp:effectExtent b="0" l="0" r="0" t="0"/>
            <wp:docPr descr="Figure 7.1: HALAH patient subsystem – Create Smart Consent Contract" title="" id="138" name="Picture"/>
            <a:graphic>
              <a:graphicData uri="http://schemas.openxmlformats.org/drawingml/2006/picture">
                <pic:pic>
                  <pic:nvPicPr>
                    <pic:cNvPr descr="halah_media/media/image1.png" id="139" name="Picture"/>
                    <pic:cNvPicPr>
                      <a:picLocks noChangeArrowheads="1" noChangeAspect="1"/>
                    </pic:cNvPicPr>
                  </pic:nvPicPr>
                  <pic:blipFill>
                    <a:blip r:embed="rId137"/>
                    <a:stretch>
                      <a:fillRect/>
                    </a:stretch>
                  </pic:blipFill>
                  <pic:spPr bwMode="auto">
                    <a:xfrm>
                      <a:off x="0" y="0"/>
                      <a:ext cx="5465445" cy="2746127"/>
                    </a:xfrm>
                    <a:prstGeom prst="rect">
                      <a:avLst/>
                    </a:prstGeom>
                    <a:noFill/>
                    <a:ln w="9525">
                      <a:noFill/>
                      <a:headEnd/>
                      <a:tailEnd/>
                    </a:ln>
                  </pic:spPr>
                </pic:pic>
              </a:graphicData>
            </a:graphic>
          </wp:inline>
        </w:drawing>
      </w:r>
    </w:p>
    <w:p>
      <w:pPr>
        <w:pStyle w:val="ImageCaption"/>
      </w:pPr>
      <w:r>
        <w:t xml:space="preserve">Figure 7.1: HALAH patient subsystem – Create Smart Consent Contract</w:t>
      </w:r>
    </w:p>
    <w:p>
      <w:pPr>
        <w:pStyle w:val="BodyText"/>
      </w:pPr>
      <w:r>
        <w:t xml:space="preserve">As shown in the figure above, the</w:t>
      </w:r>
      <w:r>
        <w:t xml:space="preserve"> </w:t>
      </w:r>
      <w:r>
        <w:rPr>
          <w:b/>
          <w:bCs/>
        </w:rPr>
        <w:t xml:space="preserve">Patient DID</w:t>
      </w:r>
      <w:r>
        <w:t xml:space="preserve"> </w:t>
      </w:r>
      <w:r>
        <w:t xml:space="preserve">provides the identity pointer for the data subject, while the</w:t>
      </w:r>
      <w:r>
        <w:t xml:space="preserve"> </w:t>
      </w:r>
      <w:r>
        <w:rPr>
          <w:b/>
          <w:bCs/>
        </w:rPr>
        <w:t xml:space="preserve">Authorised Doctor DID</w:t>
      </w:r>
      <w:r>
        <w:t xml:space="preserve"> </w:t>
      </w:r>
      <w: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t xml:space="preserve"> </w:t>
      </w:r>
      <w:r>
        <w:rPr>
          <w:b/>
          <w:bCs/>
        </w:rPr>
        <w:t xml:space="preserve">subject-specific and actor-specific access control</w:t>
      </w:r>
      <w:r>
        <w:t xml:space="preserve">.</w:t>
      </w:r>
    </w:p>
    <w:p>
      <w:pPr>
        <w:pStyle w:val="BodyText"/>
      </w:pPr>
      <w:r>
        <w:t xml:space="preserve">The</w:t>
      </w:r>
      <w:r>
        <w:t xml:space="preserve"> </w:t>
      </w:r>
      <w:r>
        <w:rPr>
          <w:b/>
          <w:bCs/>
        </w:rPr>
        <w:t xml:space="preserve">Data Access Scope</w:t>
      </w:r>
      <w:r>
        <w:t xml:space="preserve"> </w:t>
      </w:r>
      <w:r>
        <w:t xml:space="preserve">is particularly important to the proposed framework. Instead of granting access to the complete EMR, the patient can select particular modules, such as medication or procedure information. This implements the principle of</w:t>
      </w:r>
      <w:r>
        <w:t xml:space="preserve"> </w:t>
      </w:r>
      <w:r>
        <w:rPr>
          <w:b/>
          <w:bCs/>
        </w:rPr>
        <w:t xml:space="preserve">purpose- and scope-limited consent</w:t>
      </w:r>
      <w:r>
        <w:t xml:space="preserve"> </w:t>
      </w:r>
      <w:r>
        <w:t xml:space="preserve">and corresponds to the</w:t>
      </w:r>
      <w:r>
        <w:t xml:space="preserve"> </w:t>
      </w:r>
      <m:oMath>
        <m:r>
          <m:t>P</m:t>
        </m:r>
      </m:oMath>
      <w:r>
        <w:t xml:space="preserve"> </w:t>
      </w:r>
      <w:r>
        <w:t xml:space="preserve">component of the consent object.</w:t>
      </w:r>
    </w:p>
    <w:p>
      <w:pPr>
        <w:pStyle w:val="BodyText"/>
      </w:pPr>
      <w:r>
        <w:t xml:space="preserve">The</w:t>
      </w:r>
      <w:r>
        <w:t xml:space="preserve"> </w:t>
      </w:r>
      <w:r>
        <w:rPr>
          <w:b/>
          <w:bCs/>
        </w:rPr>
        <w:t xml:space="preserve">Designated Guardian DIDs</w:t>
      </w:r>
      <w:r>
        <w:t xml:space="preserve"> </w:t>
      </w:r>
      <w: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BodyText"/>
      </w:pPr>
      <w:r>
        <w:t xml:space="preserve">Finally, the</w:t>
      </w:r>
      <w:r>
        <w:t xml:space="preserve"> </w:t>
      </w:r>
      <w:r>
        <w:rPr>
          <w:b/>
          <w:bCs/>
        </w:rPr>
        <w:t xml:space="preserve">Start Time</w:t>
      </w:r>
      <w:r>
        <w:t xml:space="preserve"> </w:t>
      </w:r>
      <w:r>
        <w:t xml:space="preserve">and</w:t>
      </w:r>
      <w:r>
        <w:t xml:space="preserve"> </w:t>
      </w:r>
      <w:r>
        <w:rPr>
          <w:b/>
          <w:bCs/>
        </w:rPr>
        <w:t xml:space="preserve">Expiry Time</w:t>
      </w:r>
      <w:r>
        <w:t xml:space="preserve"> </w:t>
      </w:r>
      <w: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BodyText"/>
      </w:pPr>
      <w:r>
        <w:t xml:space="preserve">From a system perspective, this module therefore corresponds primarily to</w:t>
      </w:r>
      <w:r>
        <w:t xml:space="preserve"> </w:t>
      </w:r>
      <w:r>
        <w:rPr>
          <w:b/>
          <w:bCs/>
        </w:rPr>
        <w:t xml:space="preserve">Consent Object Construction and Patient Initiation</w:t>
      </w:r>
      <w:r>
        <w:t xml:space="preserve">.</w:t>
      </w:r>
    </w:p>
    <w:bookmarkEnd w:id="140"/>
    <w:bookmarkStart w:id="144" w:name="guardian-cryptographic-approval"/>
    <w:p>
      <w:pPr>
        <w:pStyle w:val="Heading2"/>
      </w:pPr>
      <w:r>
        <w:t xml:space="preserve">7.3 Guardian Cryptographic Approval</w:t>
      </w:r>
    </w:p>
    <w:p>
      <w:pPr>
        <w:pStyle w:val="FirstParagraph"/>
      </w:pPr>
      <w:r>
        <w:t xml:space="preserve">The second part is the</w:t>
      </w:r>
      <w:r>
        <w:t xml:space="preserve"> </w:t>
      </w:r>
      <w:r>
        <w:rPr>
          <w:b/>
          <w:bCs/>
        </w:rPr>
        <w:t xml:space="preserve">Guardian Cryptographic Approval</w:t>
      </w:r>
      <w:r>
        <w:t xml:space="preserve">. As shown in the figure below, operationalises the multi-party authorisation component of the proposed framework.</w:t>
      </w:r>
    </w:p>
    <w:p>
      <w:pPr>
        <w:pStyle w:val="CaptionedFigure"/>
      </w:pPr>
      <w:r>
        <w:drawing>
          <wp:inline>
            <wp:extent cx="5465445" cy="2225799"/>
            <wp:effectExtent b="0" l="0" r="0" t="0"/>
            <wp:docPr descr="Figure 7.2: HALAH guardian subsystem – Guardian Cryptographic Approval" title="" id="142" name="Picture"/>
            <a:graphic>
              <a:graphicData uri="http://schemas.openxmlformats.org/drawingml/2006/picture">
                <pic:pic>
                  <pic:nvPicPr>
                    <pic:cNvPr descr="halah_media/media/image2.png" id="143" name="Picture"/>
                    <pic:cNvPicPr>
                      <a:picLocks noChangeArrowheads="1" noChangeAspect="1"/>
                    </pic:cNvPicPr>
                  </pic:nvPicPr>
                  <pic:blipFill>
                    <a:blip r:embed="rId141"/>
                    <a:stretch>
                      <a:fillRect/>
                    </a:stretch>
                  </pic:blipFill>
                  <pic:spPr bwMode="auto">
                    <a:xfrm>
                      <a:off x="0" y="0"/>
                      <a:ext cx="5465445" cy="2225799"/>
                    </a:xfrm>
                    <a:prstGeom prst="rect">
                      <a:avLst/>
                    </a:prstGeom>
                    <a:noFill/>
                    <a:ln w="9525">
                      <a:noFill/>
                      <a:headEnd/>
                      <a:tailEnd/>
                    </a:ln>
                  </pic:spPr>
                </pic:pic>
              </a:graphicData>
            </a:graphic>
          </wp:inline>
        </w:drawing>
      </w:r>
    </w:p>
    <w:p>
      <w:pPr>
        <w:pStyle w:val="ImageCaption"/>
      </w:pPr>
      <w:r>
        <w:t xml:space="preserve">Figure 7.2: HALAH guardian subsystem – Guardian Cryptographic Approval</w:t>
      </w:r>
    </w:p>
    <w:p>
      <w:pPr>
        <w:pStyle w:val="BodyText"/>
      </w:pPr>
      <w:r>
        <w:t xml:space="preserve">The guardian first enters the target</w:t>
      </w:r>
      <w:r>
        <w:t xml:space="preserve"> </w:t>
      </w:r>
      <w:r>
        <w:rPr>
          <w:b/>
          <w:bCs/>
        </w:rPr>
        <w:t xml:space="preserve">Consent ID</w:t>
      </w:r>
      <w:r>
        <w:t xml:space="preserve">, after which the system retrieves the corresponding active transaction and displays the associated patient DID. The guardian then selects and verifies their own Guardian DID identity.</w:t>
      </w:r>
    </w:p>
    <w:p>
      <w:pPr>
        <w:pStyle w:val="BodyText"/>
      </w:pPr>
      <w:r>
        <w:t xml:space="preserve">The subsystem subsequently reports:</w:t>
      </w:r>
    </w:p>
    <w:p>
      <w:pPr>
        <w:pStyle w:val="BodyText"/>
      </w:pPr>
      <w:r>
        <w:t xml:space="preserve">Identity verified. Multi-sig added: (2/2)</w:t>
      </w:r>
    </w:p>
    <w:p>
      <w:pPr>
        <w:pStyle w:val="BodyText"/>
      </w:pPr>
      <w:r>
        <w:t xml:space="preserve">This is an important implementation-level demonstration because the consent is not activated merely because the patient created it. Instead, the system requires the predefined guardian approval condition to be satisfied.</w:t>
      </w:r>
    </w:p>
    <w:p>
      <w:pPr>
        <w:pStyle w:val="BodyText"/>
      </w:pPr>
      <w:r>
        <w:t xml:space="preserve">The implementation therefore implements the logical authorisation rule:</w:t>
      </w:r>
    </w:p>
    <w:p>
      <w:pPr>
        <w:pStyle w:val="BodyText"/>
      </w:pPr>
      <m:oMathPara>
        <m:oMathParaPr>
          <m:jc m:val="center"/>
        </m:oMathParaPr>
        <m:oMath>
          <m:r>
            <m:t>D</m:t>
          </m:r>
          <m:r>
            <m:t>e</m:t>
          </m:r>
          <m:r>
            <m:t>c</m:t>
          </m:r>
          <m:r>
            <m:t>i</m:t>
          </m:r>
          <m:r>
            <m:t>s</m:t>
          </m:r>
          <m:r>
            <m:t>i</m:t>
          </m:r>
          <m:r>
            <m:t>o</m:t>
          </m:r>
          <m:r>
            <m:t>n</m:t>
          </m:r>
          <m:r>
            <m:rPr>
              <m:sty m:val="p"/>
            </m:rPr>
            <m:t>=</m:t>
          </m:r>
          <m:sSub>
            <m:e>
              <m:r>
                <m:t>V</m:t>
              </m:r>
            </m:e>
            <m:sub>
              <m:r>
                <m:t>I</m:t>
              </m:r>
            </m:sub>
          </m:sSub>
          <m:r>
            <m:rPr>
              <m:sty m:val="p"/>
            </m:rPr>
            <m:t>∧</m:t>
          </m:r>
          <m:sSub>
            <m:e>
              <m:r>
                <m:t>V</m:t>
              </m:r>
            </m:e>
            <m:sub>
              <m:r>
                <m:t>A</m:t>
              </m:r>
            </m:sub>
          </m:sSub>
          <m:r>
            <m:rPr>
              <m:sty m:val="p"/>
            </m:rPr>
            <m:t>∧</m:t>
          </m:r>
          <m:sSub>
            <m:e>
              <m:r>
                <m:t>V</m:t>
              </m:r>
            </m:e>
            <m:sub>
              <m:r>
                <m:t>P</m:t>
              </m:r>
            </m:sub>
          </m:sSub>
        </m:oMath>
      </m:oMathPara>
    </w:p>
    <w:p>
      <w:pPr>
        <w:pStyle w:val="FirstParagraph"/>
      </w:pPr>
      <w:r>
        <w:t xml:space="preserve">where identity verification, authorisation verification, and permission/scope verification must all be satisfied before access can be granted.</w:t>
      </w:r>
    </w:p>
    <w:p>
      <w:pPr>
        <w:pStyle w:val="BodyText"/>
      </w:pPr>
      <w:r>
        <w:t xml:space="preserve">For the demonstrated two-party guardian configuration, the approval process can also be represented as:</w:t>
      </w:r>
    </w:p>
    <w:p>
      <w:pPr>
        <w:pStyle w:val="BodyText"/>
      </w:pPr>
      <m:oMathPara>
        <m:oMathParaPr>
          <m:jc m:val="center"/>
        </m:oMathParaPr>
        <m:oMath>
          <m:nary>
            <m:naryPr>
              <m:chr m:val="∑"/>
              <m:limLoc m:val="undOvr"/>
              <m:subHide m:val="off"/>
              <m:supHide m:val="on"/>
            </m:naryPr>
            <m:sub>
              <m:r>
                <m:t>g</m:t>
              </m:r>
              <m:r>
                <m:rPr>
                  <m:sty m:val="p"/>
                </m:rPr>
                <m:t>∈</m:t>
              </m:r>
              <m:r>
                <m:t>G</m:t>
              </m:r>
            </m:sub>
            <m:sup>
              <m:r>
                <m:t>​</m:t>
              </m:r>
            </m:sup>
            <m:e>
              <m:r>
                <m:t>S</m:t>
              </m:r>
            </m:e>
          </m:nary>
          <m:r>
            <m:t>i</m:t>
          </m:r>
          <m:r>
            <m:t>g</m:t>
          </m:r>
          <m:r>
            <m:t>n</m:t>
          </m:r>
          <m:d>
            <m:dPr>
              <m:begChr m:val="("/>
              <m:sepChr m:val=""/>
              <m:endChr m:val=")"/>
              <m:grow/>
            </m:dPr>
            <m:e>
              <m:r>
                <m:t>g</m:t>
              </m:r>
              <m:r>
                <m:rPr>
                  <m:sty m:val="p"/>
                </m:rPr>
                <m:t>,</m:t>
              </m:r>
              <m:r>
                <m:t>C</m:t>
              </m:r>
            </m:e>
          </m:d>
          <m:r>
            <m:rPr>
              <m:sty m:val="p"/>
            </m:rPr>
            <m:t>≥</m:t>
          </m:r>
          <m:r>
            <m:t>2</m:t>
          </m:r>
        </m:oMath>
      </m:oMathPara>
    </w:p>
    <w:p>
      <w:pPr>
        <w:pStyle w:val="FirstParagraph"/>
      </w:pPr>
      <w:r>
        <w:t xml:space="preserve">where</w:t>
      </w:r>
      <w:r>
        <w:t xml:space="preserve"> </w:t>
      </w:r>
      <m:oMath>
        <m:r>
          <m:t>G</m:t>
        </m:r>
      </m:oMath>
      <w:r>
        <w:t xml:space="preserve"> </w:t>
      </w:r>
      <w:r>
        <w:t xml:space="preserve">represents the designated guardians and two valid signatures are required for activation. Once the required signatures have been obtained, the subsystem displays</w:t>
      </w:r>
      <w:r>
        <w:t xml:space="preserve"> </w:t>
      </w:r>
      <w:r>
        <w:rPr>
          <w:b/>
          <w:bCs/>
        </w:rPr>
        <w:t xml:space="preserve">SBT MINTED SUCCESS</w:t>
      </w:r>
      <w:r>
        <w:t xml:space="preserve"> </w:t>
      </w:r>
      <w:r>
        <w:t xml:space="preserve">together with the Soulbound Token identifier and the status as Consent Fully Activated. This provides a visible representation of the transition from a</w:t>
      </w:r>
      <w:r>
        <w:t xml:space="preserve"> </w:t>
      </w:r>
      <w:r>
        <w:rPr>
          <w:b/>
          <w:bCs/>
        </w:rPr>
        <w:t xml:space="preserve">pending consent transaction</w:t>
      </w:r>
      <w:r>
        <w:t xml:space="preserve"> </w:t>
      </w:r>
      <w:r>
        <w:t xml:space="preserve">to an</w:t>
      </w:r>
      <w:r>
        <w:t xml:space="preserve"> </w:t>
      </w:r>
      <w:r>
        <w:rPr>
          <w:b/>
          <w:bCs/>
        </w:rPr>
        <w:t xml:space="preserve">activated consent state</w:t>
      </w:r>
      <w:r>
        <w:t xml:space="preserve">. The SBT therefore functions in the implementation as a persistent cryptographic representation of the completed consent authorisation rather than as a transferable asset.</w:t>
      </w:r>
    </w:p>
    <w:p>
      <w:pPr>
        <w:pStyle w:val="BodyText"/>
      </w:pPr>
      <w:r>
        <w:t xml:space="preserve">The guardian subsystem consequently corresponds to</w:t>
      </w:r>
      <w:r>
        <w:t xml:space="preserve"> </w:t>
      </w:r>
      <w:r>
        <w:rPr>
          <w:b/>
          <w:bCs/>
        </w:rPr>
        <w:t xml:space="preserve">Multi-Party Approval, Cryptographic Verification and Consent Activation</w:t>
      </w:r>
      <w:r>
        <w:t xml:space="preserve"> </w:t>
      </w:r>
      <w:r>
        <w:t xml:space="preserve">in the proposed architecture.</w:t>
      </w:r>
    </w:p>
    <w:bookmarkEnd w:id="144"/>
    <w:bookmarkStart w:id="151" w:name="secure-patient-data-access-for-doctor"/>
    <w:p>
      <w:pPr>
        <w:pStyle w:val="Heading2"/>
      </w:pPr>
      <w:r>
        <w:t xml:space="preserve">7.4 Secure Patient Data Access for Doctor</w:t>
      </w:r>
    </w:p>
    <w:p>
      <w:pPr>
        <w:pStyle w:val="FirstParagraph"/>
      </w:pPr>
      <w:r>
        <w:t xml:space="preserve">The third module is the</w:t>
      </w:r>
      <w:r>
        <w:t xml:space="preserve"> </w:t>
      </w:r>
      <w:r>
        <w:rPr>
          <w:b/>
          <w:bCs/>
        </w:rPr>
        <w:t xml:space="preserve">Secure Patient Data Access</w:t>
      </w:r>
      <w:r>
        <w:t xml:space="preserve"> </w:t>
      </w:r>
      <w:r>
        <w:t xml:space="preserve">module and represents the healthcare-provider side of the authorisation process.</w:t>
      </w:r>
    </w:p>
    <w:p>
      <w:pPr>
        <w:pStyle w:val="BodyText"/>
      </w:pPr>
      <w:r>
        <w:t xml:space="preserve">The doctor enters an authorised Consent ID, after which the system retrieves and displays the associated consent information. The subsystem shows the patient DID, Consent ID, purpose, and current consent state:</w:t>
      </w:r>
    </w:p>
    <w:p>
      <w:pPr>
        <w:pStyle w:val="BodyText"/>
      </w:pPr>
      <m:oMathPara>
        <m:oMathParaPr>
          <m:jc m:val="center"/>
        </m:oMathParaPr>
        <m:oMath>
          <m:r>
            <m:t>S</m:t>
          </m:r>
          <m:r>
            <m:t>t</m:t>
          </m:r>
          <m:r>
            <m:t>a</m:t>
          </m:r>
          <m:r>
            <m:t>t</m:t>
          </m:r>
          <m:r>
            <m:t>e</m:t>
          </m:r>
          <m:r>
            <m:rPr>
              <m:sty m:val="p"/>
            </m:rPr>
            <m:t>=</m:t>
          </m:r>
          <m:r>
            <m:t>A</m:t>
          </m:r>
          <m:r>
            <m:t>C</m:t>
          </m:r>
          <m:r>
            <m:t>T</m:t>
          </m:r>
          <m:r>
            <m:t>I</m:t>
          </m:r>
          <m:r>
            <m:t>V</m:t>
          </m:r>
          <m:r>
            <m:t>E</m:t>
          </m:r>
        </m:oMath>
      </m:oMathPara>
    </w:p>
    <w:p>
      <w:pPr>
        <w:pStyle w:val="FirstParagraph"/>
      </w:pPr>
      <w:r>
        <w:t xml:space="preserve">This is important because the doctor does not directly access patient data based solely on possession of a Consent ID. The system first evaluates whether the underlying authorisation remains valid.</w:t>
      </w:r>
    </w:p>
    <w:p>
      <w:pPr>
        <w:pStyle w:val="CaptionedFigure"/>
      </w:pPr>
      <w:r>
        <w:drawing>
          <wp:inline>
            <wp:extent cx="5465445" cy="3388081"/>
            <wp:effectExtent b="0" l="0" r="0" t="0"/>
            <wp:docPr descr="Figure 7.3: HALAH doctor subsystem – consent information, state and authorised data scope" title="" id="146" name="Picture"/>
            <a:graphic>
              <a:graphicData uri="http://schemas.openxmlformats.org/drawingml/2006/picture">
                <pic:pic>
                  <pic:nvPicPr>
                    <pic:cNvPr descr="halah_media/media/image3.png" id="147" name="Picture"/>
                    <pic:cNvPicPr>
                      <a:picLocks noChangeArrowheads="1" noChangeAspect="1"/>
                    </pic:cNvPicPr>
                  </pic:nvPicPr>
                  <pic:blipFill>
                    <a:blip r:embed="rId145"/>
                    <a:stretch>
                      <a:fillRect/>
                    </a:stretch>
                  </pic:blipFill>
                  <pic:spPr bwMode="auto">
                    <a:xfrm>
                      <a:off x="0" y="0"/>
                      <a:ext cx="5465445" cy="3388081"/>
                    </a:xfrm>
                    <a:prstGeom prst="rect">
                      <a:avLst/>
                    </a:prstGeom>
                    <a:noFill/>
                    <a:ln w="9525">
                      <a:noFill/>
                      <a:headEnd/>
                      <a:tailEnd/>
                    </a:ln>
                  </pic:spPr>
                </pic:pic>
              </a:graphicData>
            </a:graphic>
          </wp:inline>
        </w:drawing>
      </w:r>
    </w:p>
    <w:p>
      <w:pPr>
        <w:pStyle w:val="ImageCaption"/>
      </w:pPr>
      <w:r>
        <w:t xml:space="preserve">Figure 7.3: HALAH doctor subsystem – consent information, state and authorised data scope</w:t>
      </w:r>
    </w:p>
    <w:p>
      <w:pPr>
        <w:pStyle w:val="BodyText"/>
      </w:pPr>
      <w:r>
        <w:t xml:space="preserve">The subsystem then presents the</w:t>
      </w:r>
      <w:r>
        <w:t xml:space="preserve"> </w:t>
      </w:r>
      <w:r>
        <w:rPr>
          <w:b/>
          <w:bCs/>
        </w:rPr>
        <w:t xml:space="preserve">Authorised Data Scope</w:t>
      </w:r>
      <w:r>
        <w:t xml:space="preserve">, showing that only the EMR modules specified in the original consent are available. In the demonstrated transaction, the authorised modules are:</w:t>
      </w:r>
    </w:p>
    <w:p>
      <w:pPr>
        <w:pStyle w:val="BodyText"/>
      </w:pPr>
      <m:oMathPara>
        <m:oMathParaPr>
          <m:jc m:val="center"/>
        </m:oMathParaPr>
        <m:oMath>
          <m:r>
            <m:t>S</m:t>
          </m:r>
          <m:r>
            <m:t>c</m:t>
          </m:r>
          <m:r>
            <m:t>o</m:t>
          </m:r>
          <m:r>
            <m:t>p</m:t>
          </m:r>
          <m:r>
            <m:t>e</m:t>
          </m:r>
          <m:r>
            <m:rPr>
              <m:sty m:val="p"/>
            </m:rPr>
            <m:t>=</m:t>
          </m:r>
          <m:d>
            <m:dPr>
              <m:begChr m:val="{"/>
              <m:sepChr m:val=""/>
              <m:endChr m:val="}"/>
              <m:grow/>
            </m:dPr>
            <m:e>
              <m:r>
                <m:rPr>
                  <m:nor/>
                </m:rPr>
                <m:t>Medication</m:t>
              </m:r>
              <m:r>
                <m:rPr>
                  <m:sty m:val="p"/>
                </m:rPr>
                <m:t>,</m:t>
              </m:r>
              <m:r>
                <m:rPr>
                  <m:nor/>
                </m:rPr>
                <m:t>Procedure</m:t>
              </m:r>
            </m:e>
          </m:d>
        </m:oMath>
      </m:oMathPara>
    </w:p>
    <w:p>
      <w:pPr>
        <w:pStyle w:val="FirstParagraph"/>
      </w:pPr>
      <w:r>
        <w:t xml:space="preserve">The doctor must subsequently select the modules to request. The system displays the requested modules and performs cryptographic verification before granting access.</w:t>
      </w:r>
    </w:p>
    <w:p>
      <w:pPr>
        <w:pStyle w:val="BodyText"/>
      </w:pPr>
      <w:r>
        <w:t xml:space="preserve">The message shows Cryptographic Verification Successful — Access Granted.</w:t>
      </w:r>
    </w:p>
    <w:p>
      <w:pPr>
        <w:pStyle w:val="BodyText"/>
      </w:pPr>
      <w:r>
        <w:t xml:space="preserve">demonstrates the transition from</w:t>
      </w:r>
      <w:r>
        <w:t xml:space="preserve"> </w:t>
      </w:r>
      <w:r>
        <w:rPr>
          <w:b/>
          <w:bCs/>
        </w:rPr>
        <w:t xml:space="preserve">consent verification</w:t>
      </w:r>
      <w:r>
        <w:t xml:space="preserve"> </w:t>
      </w:r>
      <w:r>
        <w:t xml:space="preserve">to</w:t>
      </w:r>
      <w:r>
        <w:t xml:space="preserve"> </w:t>
      </w:r>
      <w:r>
        <w:rPr>
          <w:b/>
          <w:bCs/>
        </w:rPr>
        <w:t xml:space="preserve">data-access authorisation</w:t>
      </w:r>
      <w:r>
        <w:t xml:space="preserve">.</w:t>
      </w:r>
    </w:p>
    <w:p>
      <w:pPr>
        <w:pStyle w:val="CaptionedFigure"/>
      </w:pPr>
      <w:r>
        <w:drawing>
          <wp:inline>
            <wp:extent cx="5465445" cy="3048937"/>
            <wp:effectExtent b="0" l="0" r="0" t="0"/>
            <wp:docPr descr="Figure 7.4: HALAH doctor subsystem – requested modules, access decision and authorised medical records" title="" id="149" name="Picture"/>
            <a:graphic>
              <a:graphicData uri="http://schemas.openxmlformats.org/drawingml/2006/picture">
                <pic:pic>
                  <pic:nvPicPr>
                    <pic:cNvPr descr="halah_media/media/image4.png" id="150" name="Picture"/>
                    <pic:cNvPicPr>
                      <a:picLocks noChangeArrowheads="1" noChangeAspect="1"/>
                    </pic:cNvPicPr>
                  </pic:nvPicPr>
                  <pic:blipFill>
                    <a:blip r:embed="rId148"/>
                    <a:stretch>
                      <a:fillRect/>
                    </a:stretch>
                  </pic:blipFill>
                  <pic:spPr bwMode="auto">
                    <a:xfrm>
                      <a:off x="0" y="0"/>
                      <a:ext cx="5465445" cy="3048937"/>
                    </a:xfrm>
                    <a:prstGeom prst="rect">
                      <a:avLst/>
                    </a:prstGeom>
                    <a:noFill/>
                    <a:ln w="9525">
                      <a:noFill/>
                      <a:headEnd/>
                      <a:tailEnd/>
                    </a:ln>
                  </pic:spPr>
                </pic:pic>
              </a:graphicData>
            </a:graphic>
          </wp:inline>
        </w:drawing>
      </w:r>
    </w:p>
    <w:p>
      <w:pPr>
        <w:pStyle w:val="ImageCaption"/>
      </w:pPr>
      <w:r>
        <w:t xml:space="preserve">Figure 7.4: HALAH doctor subsystem – requested modules, access decision and authorised medical records</w:t>
      </w:r>
    </w:p>
    <w:p>
      <w:pPr>
        <w:pStyle w:val="BodyText"/>
      </w:pPr>
      <w:r>
        <w:t xml:space="preserve">This distinction is central to the HALAH design. Consent and data access are not treated as identical events. Instead, it goes the flow as below</w:t>
      </w:r>
    </w:p>
    <w:p>
      <w:pPr>
        <w:pStyle w:val="BodyText"/>
      </w:pPr>
      <m:oMathPara>
        <m:oMathParaPr>
          <m:jc m:val="center"/>
        </m:oMathParaPr>
        <m:oMath>
          <m:r>
            <m:t>C</m:t>
          </m:r>
          <m:r>
            <m:t>o</m:t>
          </m:r>
          <m:r>
            <m:t>n</m:t>
          </m:r>
          <m:r>
            <m:t>s</m:t>
          </m:r>
          <m:r>
            <m:t>e</m:t>
          </m:r>
          <m:r>
            <m:t>n</m:t>
          </m:r>
          <m:r>
            <m:t>t</m:t>
          </m:r>
          <m:r>
            <m:rPr>
              <m:sty m:val="p"/>
            </m:rPr>
            <m:t>→</m:t>
          </m:r>
          <m:r>
            <m:t>V</m:t>
          </m:r>
          <m:r>
            <m:t>e</m:t>
          </m:r>
          <m:r>
            <m:t>r</m:t>
          </m:r>
          <m:r>
            <m:t>i</m:t>
          </m:r>
          <m:r>
            <m:t>f</m:t>
          </m:r>
          <m:r>
            <m:t>i</m:t>
          </m:r>
          <m:r>
            <m:t>c</m:t>
          </m:r>
          <m:r>
            <m:t>a</m:t>
          </m:r>
          <m:r>
            <m:t>t</m:t>
          </m:r>
          <m:r>
            <m:t>i</m:t>
          </m:r>
          <m:r>
            <m:t>o</m:t>
          </m:r>
          <m:r>
            <m:t>n</m:t>
          </m:r>
          <m:r>
            <m:rPr>
              <m:sty m:val="p"/>
            </m:rPr>
            <m:t>→</m:t>
          </m:r>
          <m:r>
            <m:t>A</m:t>
          </m:r>
          <m:r>
            <m:t>c</m:t>
          </m:r>
          <m:r>
            <m:t>c</m:t>
          </m:r>
          <m:r>
            <m:t>e</m:t>
          </m:r>
          <m:r>
            <m:t>s</m:t>
          </m:r>
          <m:r>
            <m:t>s</m:t>
          </m:r>
          <m:r>
            <m:t>D</m:t>
          </m:r>
          <m:r>
            <m:t>e</m:t>
          </m:r>
          <m:r>
            <m:t>c</m:t>
          </m:r>
          <m:r>
            <m:t>i</m:t>
          </m:r>
          <m:r>
            <m:t>s</m:t>
          </m:r>
          <m:r>
            <m:t>i</m:t>
          </m:r>
          <m:r>
            <m:t>o</m:t>
          </m:r>
          <m:r>
            <m:t>n</m:t>
          </m:r>
        </m:oMath>
      </m:oMathPara>
    </w:p>
    <w:p>
      <w:pPr>
        <w:pStyle w:val="FirstParagraph"/>
      </w:pPr>
      <w:r>
        <w:t xml:space="preserve">The doctor is therefore authorised only when the requested resources are consistent with the consent object and the consent remains active.</w:t>
      </w:r>
    </w:p>
    <w:p>
      <w:pPr>
        <w:pStyle w:val="BodyText"/>
      </w:pPr>
      <w:r>
        <w:t xml:space="preserve">The final</w:t>
      </w:r>
      <w:r>
        <w:t xml:space="preserve"> </w:t>
      </w:r>
      <w:r>
        <w:rPr>
          <w:b/>
          <w:bCs/>
        </w:rPr>
        <w:t xml:space="preserve">Authorised Medical Records</w:t>
      </w:r>
      <w:r>
        <w:t xml:space="preserve"> </w:t>
      </w:r>
      <w:r>
        <w:t xml:space="preserve">section presents the actual data modules available to the doctor. Because the subsystem separates MEDICATION and PROCEDURE modules, it provides a direct visual demonstration of</w:t>
      </w:r>
      <w:r>
        <w:t xml:space="preserve"> </w:t>
      </w:r>
      <w:r>
        <w:rPr>
          <w:b/>
          <w:bCs/>
        </w:rPr>
        <w:t xml:space="preserve">fine-grained EMR access control</w:t>
      </w:r>
      <w:r>
        <w:t xml:space="preserve">.</w:t>
      </w:r>
    </w:p>
    <w:p>
      <w:pPr>
        <w:pStyle w:val="BodyText"/>
      </w:pPr>
      <w:r>
        <w:t xml:space="preserve">Thus, the doctor subsystem corresponds to</w:t>
      </w:r>
      <w:r>
        <w:t xml:space="preserve"> </w:t>
      </w:r>
      <w:r>
        <w:rPr>
          <w:b/>
          <w:bCs/>
        </w:rPr>
        <w:t xml:space="preserve">Consent-State Validation, Scope Enforcement and Authorised Data Access</w:t>
      </w:r>
      <w:r>
        <w:t xml:space="preserve">.</w:t>
      </w:r>
    </w:p>
    <w:bookmarkEnd w:id="151"/>
    <w:bookmarkStart w:id="155" w:name="X57c96dacccf675fd0ab00cb69daa4402dc4878a"/>
    <w:p>
      <w:pPr>
        <w:pStyle w:val="Heading2"/>
      </w:pPr>
      <w:r>
        <w:t xml:space="preserve">7.5 Blockchain Audit &amp; Consent Lifecycle for Auditor</w:t>
      </w:r>
    </w:p>
    <w:p>
      <w:pPr>
        <w:pStyle w:val="FirstParagraph"/>
      </w:pPr>
      <w:r>
        <w:t xml:space="preserve">The fourth major module is the</w:t>
      </w:r>
      <w:r>
        <w:t xml:space="preserve"> </w:t>
      </w:r>
      <w:r>
        <w:rPr>
          <w:b/>
          <w:bCs/>
        </w:rPr>
        <w:t xml:space="preserve">Blockchain Audit &amp; Consent Lifecycle</w:t>
      </w:r>
      <w:r>
        <w:t xml:space="preserve"> </w:t>
      </w:r>
      <w:r>
        <w:t xml:space="preserve">module. This subsystem provides an independent view of the complete consent process and corresponds to the auditability and accountability component of the HALAH framework.</w:t>
      </w:r>
    </w:p>
    <w:p>
      <w:pPr>
        <w:pStyle w:val="CaptionedFigure"/>
      </w:pPr>
      <w:r>
        <w:drawing>
          <wp:inline>
            <wp:extent cx="5465445" cy="2905354"/>
            <wp:effectExtent b="0" l="0" r="0" t="0"/>
            <wp:docPr descr="Figure 7.5: HALAH auditor subsystem – Blockchain Audit &amp; Consent Lifecycle" title="" id="153" name="Picture"/>
            <a:graphic>
              <a:graphicData uri="http://schemas.openxmlformats.org/drawingml/2006/picture">
                <pic:pic>
                  <pic:nvPicPr>
                    <pic:cNvPr descr="halah_media/media/image5.png" id="154" name="Picture"/>
                    <pic:cNvPicPr>
                      <a:picLocks noChangeArrowheads="1" noChangeAspect="1"/>
                    </pic:cNvPicPr>
                  </pic:nvPicPr>
                  <pic:blipFill>
                    <a:blip r:embed="rId152"/>
                    <a:stretch>
                      <a:fillRect/>
                    </a:stretch>
                  </pic:blipFill>
                  <pic:spPr bwMode="auto">
                    <a:xfrm>
                      <a:off x="0" y="0"/>
                      <a:ext cx="5465445" cy="2905354"/>
                    </a:xfrm>
                    <a:prstGeom prst="rect">
                      <a:avLst/>
                    </a:prstGeom>
                    <a:noFill/>
                    <a:ln w="9525">
                      <a:noFill/>
                      <a:headEnd/>
                      <a:tailEnd/>
                    </a:ln>
                  </pic:spPr>
                </pic:pic>
              </a:graphicData>
            </a:graphic>
          </wp:inline>
        </w:drawing>
      </w:r>
    </w:p>
    <w:p>
      <w:pPr>
        <w:pStyle w:val="ImageCaption"/>
      </w:pPr>
      <w:r>
        <w:t xml:space="preserve">Figure 7.5: HALAH auditor subsystem – Blockchain Audit &amp; Consent Lifecycle</w:t>
      </w:r>
    </w:p>
    <w:p>
      <w:pPr>
        <w:pStyle w:val="BodyText"/>
      </w:pPr>
      <w:r>
        <w:t xml:space="preserve">As shown in the figure above, the system first provides aggregate indicators including:</w:t>
      </w:r>
    </w:p>
    <w:p>
      <w:pPr>
        <w:pStyle w:val="BodyText"/>
      </w:pPr>
      <m:oMathPara>
        <m:oMathParaPr>
          <m:jc m:val="center"/>
        </m:oMathParaPr>
        <m:oMath>
          <m:m>
            <m:mPr>
              <m:baseJc m:val="center"/>
              <m:plcHide m:val="on"/>
              <m:mcs>
                <m:mc>
                  <m:mcPr>
                    <m:count m:val="1"/>
                    <m:mcJc m:val="left"/>
                  </m:mcPr>
                </m:mc>
              </m:mcs>
            </m:mPr>
            <m:mr>
              <m:e>
                <m:r>
                  <m:rPr>
                    <m:nor/>
                  </m:rPr>
                  <m:t>Total Events</m:t>
                </m:r>
                <m:r>
                  <m:rPr>
                    <m:sty m:val="p"/>
                  </m:rPr>
                  <m:t>=</m:t>
                </m:r>
                <m:r>
                  <m:t>21</m:t>
                </m:r>
              </m:e>
            </m:mr>
            <m:mr>
              <m:e>
                <m:r>
                  <m:rPr>
                    <m:nor/>
                  </m:rPr>
                  <m:t>Consent Events</m:t>
                </m:r>
                <m:r>
                  <m:rPr>
                    <m:sty m:val="p"/>
                  </m:rPr>
                  <m:t>=</m:t>
                </m:r>
                <m:r>
                  <m:t>3</m:t>
                </m:r>
              </m:e>
            </m:mr>
            <m:mr>
              <m:e>
                <m:r>
                  <m:rPr>
                    <m:nor/>
                  </m:rPr>
                  <m:t>Access Requests</m:t>
                </m:r>
                <m:r>
                  <m:rPr>
                    <m:sty m:val="p"/>
                  </m:rPr>
                  <m:t>=</m:t>
                </m:r>
                <m:r>
                  <m:t>3</m:t>
                </m:r>
              </m:e>
            </m:mr>
          </m:m>
        </m:oMath>
      </m:oMathPara>
    </w:p>
    <w:p>
      <w:pPr>
        <w:pStyle w:val="FirstParagraph"/>
      </w:pPr>
      <w:r>
        <w:t xml:space="preserve">and:</w:t>
      </w:r>
    </w:p>
    <w:p>
      <w:pPr>
        <w:pStyle w:val="BodyText"/>
      </w:pPr>
      <m:oMathPara>
        <m:oMathParaPr>
          <m:jc m:val="center"/>
        </m:oMathParaPr>
        <m:oMath>
          <m:r>
            <m:rPr>
              <m:nor/>
            </m:rPr>
            <m:t>Blockchain Integrity</m:t>
          </m:r>
          <m:r>
            <m:rPr>
              <m:sty m:val="p"/>
            </m:rPr>
            <m:t>=</m:t>
          </m:r>
          <m:r>
            <m:rPr>
              <m:nor/>
            </m:rPr>
            <m:t>VERIFIED</m:t>
          </m:r>
        </m:oMath>
      </m:oMathPara>
    </w:p>
    <w:p>
      <w:pPr>
        <w:pStyle w:val="FirstParagraph"/>
      </w:pPr>
      <w:r>
        <w:t xml:space="preserve">These indicators give the auditor an immediate overview of the recorded system activity and the integrity status of the underlying ledger.</w:t>
      </w:r>
    </w:p>
    <w:p>
      <w:pPr>
        <w:pStyle w:val="BodyText"/>
      </w:pPr>
      <w:r>
        <w:t xml:space="preserve">More importantly, the</w:t>
      </w:r>
      <w:r>
        <w:t xml:space="preserve"> </w:t>
      </w:r>
      <w:r>
        <w:rPr>
          <w:b/>
          <w:bCs/>
        </w:rPr>
        <w:t xml:space="preserve">Consent Lifecycle</w:t>
      </w:r>
      <w:r>
        <w:t xml:space="preserve"> </w:t>
      </w:r>
      <w:r>
        <w:t xml:space="preserve">section reconstructs the sequence of events associated with a particular consent. The displayed records include:</w:t>
      </w:r>
      <w:r>
        <w:t xml:space="preserve"> </w:t>
      </w:r>
      <m:oMath>
        <m:r>
          <m:t>C</m:t>
        </m:r>
        <m:r>
          <m:t>R</m:t>
        </m:r>
        <m:r>
          <m:t>E</m:t>
        </m:r>
        <m:r>
          <m:t>A</m:t>
        </m:r>
        <m:r>
          <m:t>T</m:t>
        </m:r>
        <m:r>
          <m:t>E</m:t>
        </m:r>
        <m:r>
          <m:rPr>
            <m:nor/>
          </m:rPr>
          <m:t>_</m:t>
        </m:r>
        <m:r>
          <m:t>C</m:t>
        </m:r>
        <m:r>
          <m:t>O</m:t>
        </m:r>
        <m:r>
          <m:t>N</m:t>
        </m:r>
        <m:r>
          <m:t>S</m:t>
        </m:r>
        <m:r>
          <m:t>E</m:t>
        </m:r>
        <m:r>
          <m:t>N</m:t>
        </m:r>
        <m:r>
          <m:t>T</m:t>
        </m:r>
      </m:oMath>
    </w:p>
    <w:p>
      <w:pPr>
        <w:pStyle w:val="BodyText"/>
      </w:pPr>
      <w:r>
        <w:t xml:space="preserve">performed by the patient, followed by:</w:t>
      </w:r>
      <w:r>
        <w:t xml:space="preserve"> </w:t>
      </w:r>
      <m:oMath>
        <m:r>
          <m:t>S</m:t>
        </m:r>
        <m:r>
          <m:t>I</m:t>
        </m:r>
        <m:r>
          <m:t>G</m:t>
        </m:r>
        <m:r>
          <m:t>N</m:t>
        </m:r>
        <m:r>
          <m:rPr>
            <m:nor/>
          </m:rPr>
          <m:t>_</m:t>
        </m:r>
        <m:r>
          <m:t>C</m:t>
        </m:r>
        <m:r>
          <m:t>O</m:t>
        </m:r>
        <m:r>
          <m:t>N</m:t>
        </m:r>
        <m:r>
          <m:t>S</m:t>
        </m:r>
        <m:r>
          <m:t>E</m:t>
        </m:r>
        <m:r>
          <m:t>N</m:t>
        </m:r>
        <m:r>
          <m:t>T</m:t>
        </m:r>
      </m:oMath>
    </w:p>
    <w:p>
      <w:pPr>
        <w:pStyle w:val="BodyText"/>
      </w:pPr>
      <w:r>
        <w:t xml:space="preserve">performed by the guardians, followed by:</w:t>
      </w:r>
      <w:r>
        <w:t xml:space="preserve"> </w:t>
      </w:r>
      <m:oMath>
        <m:r>
          <m:t>M</m:t>
        </m:r>
        <m:r>
          <m:t>I</m:t>
        </m:r>
        <m:r>
          <m:t>N</m:t>
        </m:r>
        <m:r>
          <m:t>T</m:t>
        </m:r>
        <m:r>
          <m:rPr>
            <m:nor/>
          </m:rPr>
          <m:t>_</m:t>
        </m:r>
        <m:r>
          <m:t>S</m:t>
        </m:r>
        <m:r>
          <m:t>B</m:t>
        </m:r>
        <m:r>
          <m:t>T</m:t>
        </m:r>
      </m:oMath>
    </w:p>
    <w:p>
      <w:pPr>
        <w:pStyle w:val="BodyText"/>
      </w:pPr>
      <w:r>
        <w:t xml:space="preserve">performed by the smart contract.</w:t>
      </w:r>
    </w:p>
    <w:p>
      <w:pPr>
        <w:pStyle w:val="BodyText"/>
      </w:pPr>
      <w:r>
        <w:t xml:space="preserve">The subsequent system events:</w:t>
      </w:r>
      <w:r>
        <w:t xml:space="preserve"> </w:t>
      </w:r>
      <m:oMath>
        <m:r>
          <m:t>S</m:t>
        </m:r>
        <m:r>
          <m:t>T</m:t>
        </m:r>
        <m:r>
          <m:t>A</m:t>
        </m:r>
        <m:r>
          <m:t>T</m:t>
        </m:r>
        <m:r>
          <m:t>E</m:t>
        </m:r>
        <m:r>
          <m:rPr>
            <m:nor/>
          </m:rPr>
          <m:t>_</m:t>
        </m:r>
        <m:r>
          <m:t>C</m:t>
        </m:r>
        <m:r>
          <m:t>H</m:t>
        </m:r>
        <m:r>
          <m:t>E</m:t>
        </m:r>
        <m:r>
          <m:t>C</m:t>
        </m:r>
        <m:r>
          <m:t>K</m:t>
        </m:r>
      </m:oMath>
    </w:p>
    <w:p>
      <w:pPr>
        <w:pStyle w:val="BodyText"/>
      </w:pPr>
      <w:r>
        <w:t xml:space="preserve">demonstrate that the Consent Engine continuously evaluates the state of the authorisation. Finally, the doctor generates:</w:t>
      </w:r>
      <w:r>
        <w:t xml:space="preserve"> </w:t>
      </w:r>
      <m:oMath>
        <m:r>
          <m:t>D</m:t>
        </m:r>
        <m:r>
          <m:t>A</m:t>
        </m:r>
        <m:r>
          <m:t>T</m:t>
        </m:r>
        <m:r>
          <m:t>A</m:t>
        </m:r>
        <m:r>
          <m:rPr>
            <m:nor/>
          </m:rPr>
          <m:t>_</m:t>
        </m:r>
        <m:r>
          <m:t>A</m:t>
        </m:r>
        <m:r>
          <m:t>C</m:t>
        </m:r>
        <m:r>
          <m:t>C</m:t>
        </m:r>
        <m:r>
          <m:t>E</m:t>
        </m:r>
        <m:r>
          <m:t>S</m:t>
        </m:r>
        <m:r>
          <m:t>S</m:t>
        </m:r>
      </m:oMath>
    </w:p>
    <w:p>
      <w:pPr>
        <w:pStyle w:val="BodyText"/>
      </w:pPr>
      <w:r>
        <w:t xml:space="preserve">with the result:</w:t>
      </w:r>
      <w:r>
        <w:t xml:space="preserve"> </w:t>
      </w:r>
      <m:oMath>
        <m:r>
          <m:t>G</m:t>
        </m:r>
        <m:r>
          <m:t>R</m:t>
        </m:r>
        <m:r>
          <m:t>A</m:t>
        </m:r>
        <m:r>
          <m:t>N</m:t>
        </m:r>
        <m:r>
          <m:t>T</m:t>
        </m:r>
        <m:r>
          <m:t>E</m:t>
        </m:r>
        <m:r>
          <m:t>D</m:t>
        </m:r>
      </m:oMath>
    </w:p>
    <w:p>
      <w:pPr>
        <w:pStyle w:val="BodyText"/>
      </w:pPr>
      <w:r>
        <w:t xml:space="preserve">This produces an explicit chain of evidence as</w:t>
      </w:r>
    </w:p>
    <w:p>
      <w:pPr>
        <w:pStyle w:val="BodyText"/>
      </w:pPr>
      <m:oMathPara>
        <m:oMathParaPr>
          <m:jc m:val="center"/>
        </m:oMathParaPr>
        <m:oMath>
          <m:m>
            <m:mPr>
              <m:baseJc m:val="center"/>
              <m:plcHide m:val="on"/>
              <m:mcs>
                <m:mc>
                  <m:mcPr>
                    <m:count m:val="1"/>
                    <m:mcJc m:val="left"/>
                  </m:mcPr>
                </m:mc>
              </m:mcs>
            </m:mPr>
            <m:mr>
              <m:e>
                <m:r>
                  <m:t>P</m:t>
                </m:r>
                <m:r>
                  <m:t>a</m:t>
                </m:r>
                <m:r>
                  <m:t>t</m:t>
                </m:r>
                <m:r>
                  <m:t>i</m:t>
                </m:r>
                <m:r>
                  <m:t>e</m:t>
                </m:r>
                <m:r>
                  <m:t>n</m:t>
                </m:r>
                <m:r>
                  <m:t>t</m:t>
                </m:r>
                <m:r>
                  <m:rPr>
                    <m:sty m:val="p"/>
                  </m:rPr>
                  <m:t>→</m:t>
                </m:r>
                <m:r>
                  <m:t>G</m:t>
                </m:r>
                <m:r>
                  <m:t>u</m:t>
                </m:r>
                <m:r>
                  <m:t>a</m:t>
                </m:r>
                <m:r>
                  <m:t>r</m:t>
                </m:r>
                <m:r>
                  <m:t>d</m:t>
                </m:r>
                <m:r>
                  <m:t>i</m:t>
                </m:r>
                <m:r>
                  <m:t>a</m:t>
                </m:r>
                <m:sSub>
                  <m:e>
                    <m:r>
                      <m:t>n</m:t>
                    </m:r>
                  </m:e>
                  <m:sub>
                    <m:r>
                      <m:t>A</m:t>
                    </m:r>
                  </m:sub>
                </m:sSub>
                <m:r>
                  <m:rPr>
                    <m:sty m:val="p"/>
                  </m:rPr>
                  <m:t>→</m:t>
                </m:r>
                <m:r>
                  <m:t>G</m:t>
                </m:r>
                <m:r>
                  <m:t>u</m:t>
                </m:r>
                <m:r>
                  <m:t>a</m:t>
                </m:r>
                <m:r>
                  <m:t>r</m:t>
                </m:r>
                <m:r>
                  <m:t>d</m:t>
                </m:r>
                <m:r>
                  <m:t>i</m:t>
                </m:r>
                <m:r>
                  <m:t>a</m:t>
                </m:r>
                <m:sSub>
                  <m:e>
                    <m:r>
                      <m:t>n</m:t>
                    </m:r>
                  </m:e>
                  <m:sub>
                    <m:r>
                      <m:t>B</m:t>
                    </m:r>
                  </m:sub>
                </m:sSub>
              </m:e>
            </m:mr>
            <m:mr>
              <m:e>
                <m:r>
                  <m:rPr>
                    <m:sty m:val="p"/>
                  </m:rPr>
                  <m:t>→</m:t>
                </m:r>
                <m:r>
                  <m:t>S</m:t>
                </m:r>
                <m:r>
                  <m:t>m</m:t>
                </m:r>
                <m:r>
                  <m:t>a</m:t>
                </m:r>
                <m:r>
                  <m:t>r</m:t>
                </m:r>
                <m:r>
                  <m:t>t</m:t>
                </m:r>
                <m:r>
                  <m:t>C</m:t>
                </m:r>
                <m:r>
                  <m:t>o</m:t>
                </m:r>
                <m:r>
                  <m:t>n</m:t>
                </m:r>
                <m:r>
                  <m:t>t</m:t>
                </m:r>
                <m:r>
                  <m:t>r</m:t>
                </m:r>
                <m:r>
                  <m:t>a</m:t>
                </m:r>
                <m:r>
                  <m:t>c</m:t>
                </m:r>
                <m:r>
                  <m:t>t</m:t>
                </m:r>
                <m:r>
                  <m:rPr>
                    <m:sty m:val="p"/>
                  </m:rPr>
                  <m:t>→</m:t>
                </m:r>
                <m:r>
                  <m:t>C</m:t>
                </m:r>
                <m:r>
                  <m:t>o</m:t>
                </m:r>
                <m:r>
                  <m:t>n</m:t>
                </m:r>
                <m:r>
                  <m:t>s</m:t>
                </m:r>
                <m:r>
                  <m:t>e</m:t>
                </m:r>
                <m:r>
                  <m:t>n</m:t>
                </m:r>
                <m:r>
                  <m:t>t</m:t>
                </m:r>
                <m:r>
                  <m:t>E</m:t>
                </m:r>
                <m:r>
                  <m:t>n</m:t>
                </m:r>
                <m:r>
                  <m:t>g</m:t>
                </m:r>
                <m:r>
                  <m:t>i</m:t>
                </m:r>
                <m:r>
                  <m:t>n</m:t>
                </m:r>
                <m:r>
                  <m:t>e</m:t>
                </m:r>
                <m:r>
                  <m:rPr>
                    <m:sty m:val="p"/>
                  </m:rPr>
                  <m:t>→</m:t>
                </m:r>
                <m:r>
                  <m:t>D</m:t>
                </m:r>
                <m:r>
                  <m:t>o</m:t>
                </m:r>
                <m:r>
                  <m:t>c</m:t>
                </m:r>
                <m:r>
                  <m:t>t</m:t>
                </m:r>
                <m:r>
                  <m:t>o</m:t>
                </m:r>
                <m:r>
                  <m:t>r</m:t>
                </m:r>
              </m:e>
            </m:mr>
          </m:m>
        </m:oMath>
      </m:oMathPara>
    </w:p>
    <w:p>
      <w:pPr>
        <w:pStyle w:val="FirstParagraph"/>
      </w:pPr>
      <w:r>
        <w:t xml:space="preserve">The audit subsystem therefore allows an auditor to reconstruct not only</w:t>
      </w:r>
      <w:r>
        <w:t xml:space="preserve"> </w:t>
      </w:r>
      <w:r>
        <w:rPr>
          <w:b/>
          <w:bCs/>
        </w:rPr>
        <w:t xml:space="preserve">who accessed the data</w:t>
      </w:r>
      <w:r>
        <w:t xml:space="preserve">, but also</w:t>
      </w:r>
      <w:r>
        <w:t xml:space="preserve"> </w:t>
      </w:r>
      <w:r>
        <w:rPr>
          <w:b/>
          <w:bCs/>
        </w:rPr>
        <w:t xml:space="preserve">why that access was permitted</w:t>
      </w:r>
      <w:r>
        <w:t xml:space="preserve">, because the access event can be associated with the preceding consent creation, guardian approvals, consent activation, and state checks.</w:t>
      </w:r>
    </w:p>
    <w:p>
      <w:pPr>
        <w:pStyle w:val="BodyText"/>
      </w:pPr>
      <w:r>
        <w:t xml:space="preserve">This corresponds to the proposed requirement for</w:t>
      </w:r>
      <w:r>
        <w:t xml:space="preserve"> </w:t>
      </w:r>
      <w:r>
        <w:rPr>
          <w:b/>
          <w:bCs/>
        </w:rPr>
        <w:t xml:space="preserve">traceability, accountability and non-repudiable consent evidence</w:t>
      </w:r>
      <w:r>
        <w:t xml:space="preserve">.</w:t>
      </w:r>
    </w:p>
    <w:bookmarkEnd w:id="155"/>
    <w:bookmarkStart w:id="156" w:name="detailed-audit-records"/>
    <w:p>
      <w:pPr>
        <w:pStyle w:val="Heading2"/>
      </w:pPr>
      <w:r>
        <w:t xml:space="preserve">7.6 Detailed Audit Records</w:t>
      </w:r>
    </w:p>
    <w:p>
      <w:pPr>
        <w:pStyle w:val="FirstParagraph"/>
      </w:pPr>
      <w:r>
        <w:t xml:space="preserve">The</w:t>
      </w:r>
      <w:r>
        <w:t xml:space="preserve"> </w:t>
      </w:r>
      <w:r>
        <w:rPr>
          <w:b/>
          <w:bCs/>
        </w:rPr>
        <w:t xml:space="preserve">Detailed Audit Records</w:t>
      </w:r>
      <w:r>
        <w:t xml:space="preserve"> </w:t>
      </w:r>
      <w:r>
        <w:t xml:space="preserve">component provides a lower-level view of the events represented in the lifecycle subsystem.</w:t>
      </w:r>
    </w:p>
    <w:p>
      <w:pPr>
        <w:pStyle w:val="BodyText"/>
      </w:pPr>
      <w: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BodyText"/>
      </w:pPr>
      <w: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BodyText"/>
      </w:pPr>
      <w:r>
        <w:t xml:space="preserve">The subsystem therefore implements the distinction between</w:t>
      </w:r>
      <w:r>
        <w:t xml:space="preserve"> </w:t>
      </w:r>
      <w:r>
        <w:rPr>
          <w:b/>
          <w:bCs/>
        </w:rPr>
        <w:t xml:space="preserve">operational access information</w:t>
      </w:r>
      <w:r>
        <w:t xml:space="preserve"> </w:t>
      </w:r>
      <w:r>
        <w:t xml:space="preserve">and</w:t>
      </w:r>
      <w:r>
        <w:t xml:space="preserve"> </w:t>
      </w:r>
      <w:r>
        <w:rPr>
          <w:b/>
          <w:bCs/>
        </w:rPr>
        <w:t xml:space="preserve">forensic/audit information</w:t>
      </w:r>
      <w:r>
        <w:t xml:space="preserve">.</w:t>
      </w:r>
    </w:p>
    <w:p>
      <w:pPr>
        <w:pStyle w:val="BodyText"/>
      </w:pPr>
      <w:r>
        <w:rPr>
          <w:b/>
          <w:bCs/>
        </w:rPr>
        <w:t xml:space="preserve">CA 3 Discussion</w:t>
      </w:r>
    </w:p>
    <w:bookmarkEnd w:id="156"/>
    <w:bookmarkStart w:id="157" w:name="complete-blockchain-audit-ledger"/>
    <w:p>
      <w:pPr>
        <w:pStyle w:val="Heading2"/>
      </w:pPr>
      <w:r>
        <w:t xml:space="preserve">7.7 Complete Blockchain Audit Ledger</w:t>
      </w:r>
    </w:p>
    <w:p>
      <w:pPr>
        <w:pStyle w:val="FirstParagraph"/>
      </w:pPr>
      <w:r>
        <w:t xml:space="preserve">The</w:t>
      </w:r>
      <w:r>
        <w:t xml:space="preserve"> </w:t>
      </w:r>
      <w:r>
        <w:rPr>
          <w:b/>
          <w:bCs/>
        </w:rPr>
        <w:t xml:space="preserve">Complete Blockchain Audit Ledger</w:t>
      </w:r>
      <w:r>
        <w:t xml:space="preserve"> </w:t>
      </w:r>
      <w:r>
        <w:t xml:space="preserve">provides the most comprehensive representation of the recorded consent history.</w:t>
      </w:r>
    </w:p>
    <w:p>
      <w:pPr>
        <w:pStyle w:val="BodyText"/>
      </w:pPr>
      <w: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BodyText"/>
      </w:pPr>
      <w:r>
        <w:t xml:space="preserve">Consequently, the ledger provides the evidentiary foundation for evaluating several properties of the proposed framework:</w:t>
      </w:r>
    </w:p>
    <w:p>
      <w:pPr>
        <w:pStyle w:val="BodyText"/>
      </w:pPr>
      <m:oMathPara>
        <m:oMathParaPr>
          <m:jc m:val="center"/>
        </m:oMathParaPr>
        <m:oMath>
          <m:r>
            <m:rPr>
              <m:nor/>
            </m:rPr>
            <m:t>Accountability</m:t>
          </m:r>
          <m:r>
            <m:rPr>
              <m:sty m:val="p"/>
            </m:rPr>
            <m:t>+</m:t>
          </m:r>
          <m:r>
            <m:rPr>
              <m:nor/>
            </m:rPr>
            <m:t>Traceability</m:t>
          </m:r>
          <m:r>
            <m:rPr>
              <m:sty m:val="p"/>
            </m:rPr>
            <m:t>+</m:t>
          </m:r>
          <m:r>
            <m:rPr>
              <m:nor/>
            </m:rPr>
            <m:t>Integrity</m:t>
          </m:r>
          <m:r>
            <m:rPr>
              <m:sty m:val="p"/>
            </m:rPr>
            <m:t>+</m:t>
          </m:r>
          <m:r>
            <m:rPr>
              <m:nor/>
            </m:rPr>
            <m:t>Non-repudiation</m:t>
          </m:r>
        </m:oMath>
      </m:oMathPara>
    </w:p>
    <w:p>
      <w:pPr>
        <w:pStyle w:val="FirstParagraph"/>
      </w:pPr>
      <w:r>
        <w:t xml:space="preserve">The complete ledger also provides a mechanism for independently examining whether the observed access event is consistent with the original consent conditions.</w:t>
      </w:r>
    </w:p>
    <w:p>
      <w:pPr>
        <w:pStyle w:val="BodyText"/>
      </w:pPr>
      <w: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7"/>
    <w:bookmarkStart w:id="158" w:name="Xae142eb24e81642c0aa2124fc4bee8c550545ec"/>
    <w:p>
      <w:pPr>
        <w:pStyle w:val="Heading2"/>
      </w:pPr>
      <w:r>
        <w:t xml:space="preserve">7.8 Correspondence Between Subsystems and the HALAH Framework</w:t>
      </w:r>
    </w:p>
    <w:p>
      <w:pPr>
        <w:pStyle w:val="FirstParagraph"/>
      </w:pPr>
      <w:r>
        <w:t xml:space="preserve">The four subsystems collectively implement the principal stages of the proposed framework:</w:t>
      </w:r>
    </w:p>
    <w:p>
      <w:pPr>
        <w:pStyle w:val="TableCaption"/>
      </w:pPr>
      <w:r>
        <w:t xml:space="preserve">Table 7.1: Correspondence Between Subsystems and the HALAH Framework</w:t>
      </w:r>
    </w:p>
    <w:tbl>
      <w:tblPr>
        <w:tblStyle w:val="Table"/>
        <w:tblW w:type="pct" w:w="5000"/>
        <w:tblLayout w:type="fixed"/>
        <w:tblLook w:firstRow="1" w:lastRow="0" w:firstColumn="0" w:lastColumn="0" w:noHBand="0" w:noVBand="0" w:val="0020"/>
        <w:tblCaption w:val="Table 7.1: Correspondence Between Subsystems and the HALAH Framework"/>
      </w:tblPr>
      <w:tblGrid>
        <w:gridCol w:w="1947"/>
        <w:gridCol w:w="2661"/>
        <w:gridCol w:w="331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HALAH Framework Component</w:t>
            </w:r>
          </w:p>
        </w:tc>
        <w:tc>
          <w:tcPr>
            <w:tcBorders>
              <w:bottom w:val="single" w:sz="8" w:space="0" w:color="000000"/>
            </w:tcBorders>
            <w:shd w:val="clear" w:color="auto" w:fill="E7E6E6"/>
            <w:vAlign w:val="center"/>
          </w:tcPr>
          <w:p>
            <w:pPr>
              <w:pStyle w:val="Compact"/>
              <w:jc w:val="left"/>
            </w:pPr>
            <w:r>
              <w:rPr>
                <w:b/>
                <w:bCs/>
              </w:rPr>
              <w:t xml:space="preserve">Implementation Subsystem</w:t>
            </w:r>
          </w:p>
        </w:tc>
        <w:tc>
          <w:tcPr>
            <w:tcBorders>
              <w:bottom w:val="single" w:sz="8" w:space="0" w:color="000000"/>
            </w:tcBorders>
            <w:shd w:val="clear" w:color="auto" w:fill="E7E6E6"/>
            <w:vAlign w:val="center"/>
          </w:tcPr>
          <w:p>
            <w:pPr>
              <w:pStyle w:val="Compact"/>
              <w:jc w:val="left"/>
            </w:pPr>
            <w:r>
              <w:rPr>
                <w:b/>
                <w:bCs/>
              </w:rPr>
              <w:t xml:space="preserve">Main Function</w:t>
            </w:r>
          </w:p>
        </w:tc>
      </w:tr>
      <w:tr>
        <w:trPr>
          <w:cantSplit/>
        </w:trPr>
        <w:tc>
          <w:tcPr/>
          <w:p>
            <w:pPr>
              <w:pStyle w:val="Compact"/>
              <w:jc w:val="left"/>
            </w:pPr>
            <w:r>
              <w:t xml:space="preserve">Consent Object Construction</w:t>
            </w:r>
          </w:p>
        </w:tc>
        <w:tc>
          <w:tcPr/>
          <w:p>
            <w:pPr>
              <w:pStyle w:val="Compact"/>
              <w:jc w:val="left"/>
            </w:pPr>
            <w:r>
              <w:rPr>
                <w:b/>
                <w:bCs/>
              </w:rPr>
              <w:t xml:space="preserve">Create Smart Consent Contract</w:t>
            </w:r>
          </w:p>
        </w:tc>
        <w:tc>
          <w:tcPr/>
          <w:p>
            <w:pPr>
              <w:pStyle w:val="Compact"/>
              <w:jc w:val="left"/>
            </w:pPr>
            <w:r>
              <w:t xml:space="preserve">Defines patient, authorised doctor, data scope, guardians and temporal validity</w:t>
            </w:r>
          </w:p>
        </w:tc>
      </w:tr>
      <w:tr>
        <w:trPr>
          <w:cantSplit/>
        </w:trPr>
        <w:tc>
          <w:tcPr/>
          <w:p>
            <w:pPr>
              <w:pStyle w:val="Compact"/>
              <w:jc w:val="left"/>
            </w:pPr>
            <w:r>
              <w:t xml:space="preserve">Identity &amp; Authorisation</w:t>
            </w:r>
          </w:p>
        </w:tc>
        <w:tc>
          <w:tcPr/>
          <w:p>
            <w:pPr>
              <w:pStyle w:val="Compact"/>
              <w:jc w:val="left"/>
            </w:pPr>
            <w:r>
              <w:rPr>
                <w:b/>
                <w:bCs/>
              </w:rPr>
              <w:t xml:space="preserve">Guardian Cryptographic Approval</w:t>
            </w:r>
          </w:p>
        </w:tc>
        <w:tc>
          <w:tcPr/>
          <w:p>
            <w:pPr>
              <w:pStyle w:val="Compact"/>
              <w:jc w:val="left"/>
            </w:pPr>
            <w:r>
              <w:t xml:space="preserve">Verifies guardian identities and records required signatures</w:t>
            </w:r>
          </w:p>
        </w:tc>
      </w:tr>
      <w:tr>
        <w:trPr>
          <w:cantSplit/>
        </w:trPr>
        <w:tc>
          <w:tcPr/>
          <w:p>
            <w:pPr>
              <w:pStyle w:val="Compact"/>
              <w:jc w:val="left"/>
            </w:pPr>
            <w:r>
              <w:t xml:space="preserve">Multi-party Consent</w:t>
            </w:r>
          </w:p>
        </w:tc>
        <w:tc>
          <w:tcPr/>
          <w:p>
            <w:pPr>
              <w:pStyle w:val="Compact"/>
              <w:jc w:val="left"/>
            </w:pPr>
            <w:r>
              <w:rPr>
                <w:b/>
                <w:bCs/>
              </w:rPr>
              <w:t xml:space="preserve">Guardian Cryptographic Approval</w:t>
            </w:r>
          </w:p>
        </w:tc>
        <w:tc>
          <w:tcPr/>
          <w:p>
            <w:pPr>
              <w:pStyle w:val="Compact"/>
              <w:jc w:val="left"/>
            </w:pPr>
            <w:r>
              <w:t xml:space="preserve">Implements the 2-of-2 approval condition</w:t>
            </w:r>
          </w:p>
        </w:tc>
      </w:tr>
      <w:tr>
        <w:trPr>
          <w:cantSplit/>
        </w:trPr>
        <w:tc>
          <w:tcPr/>
          <w:p>
            <w:pPr>
              <w:pStyle w:val="Compact"/>
              <w:jc w:val="left"/>
            </w:pPr>
            <w:r>
              <w:t xml:space="preserve">Consent Activation</w:t>
            </w:r>
          </w:p>
        </w:tc>
        <w:tc>
          <w:tcPr/>
          <w:p>
            <w:pPr>
              <w:pStyle w:val="Compact"/>
              <w:jc w:val="left"/>
            </w:pPr>
            <w:r>
              <w:rPr>
                <w:b/>
                <w:bCs/>
              </w:rPr>
              <w:t xml:space="preserve">Guardian Cryptographic Approval</w:t>
            </w:r>
          </w:p>
        </w:tc>
        <w:tc>
          <w:tcPr/>
          <w:p>
            <w:pPr>
              <w:pStyle w:val="Compact"/>
              <w:jc w:val="left"/>
            </w:pPr>
            <w:r>
              <w:t xml:space="preserve">Generates the SBT and changes consent to fully activated</w:t>
            </w:r>
          </w:p>
        </w:tc>
      </w:tr>
      <w:tr>
        <w:trPr>
          <w:cantSplit/>
        </w:trPr>
        <w:tc>
          <w:tcPr/>
          <w:p>
            <w:pPr>
              <w:pStyle w:val="Compact"/>
              <w:jc w:val="left"/>
            </w:pPr>
            <w:r>
              <w:t xml:space="preserve">Consent-State Management</w:t>
            </w:r>
          </w:p>
        </w:tc>
        <w:tc>
          <w:tcPr/>
          <w:p>
            <w:pPr>
              <w:pStyle w:val="Compact"/>
              <w:jc w:val="left"/>
            </w:pPr>
            <w:r>
              <w:rPr>
                <w:b/>
                <w:bCs/>
              </w:rPr>
              <w:t xml:space="preserve">Secure Patient Data Access</w:t>
            </w:r>
          </w:p>
        </w:tc>
        <w:tc>
          <w:tcPr/>
          <w:p>
            <w:pPr>
              <w:pStyle w:val="Compact"/>
              <w:jc w:val="left"/>
            </w:pPr>
            <w:r>
              <w:t xml:space="preserve">Checks whether the consent is ACTIVE</w:t>
            </w:r>
          </w:p>
        </w:tc>
      </w:tr>
      <w:tr>
        <w:trPr>
          <w:cantSplit/>
        </w:trPr>
        <w:tc>
          <w:tcPr/>
          <w:p>
            <w:pPr>
              <w:pStyle w:val="Compact"/>
              <w:jc w:val="left"/>
            </w:pPr>
            <w:r>
              <w:t xml:space="preserve">Scope Enforcement</w:t>
            </w:r>
          </w:p>
        </w:tc>
        <w:tc>
          <w:tcPr/>
          <w:p>
            <w:pPr>
              <w:pStyle w:val="Compact"/>
              <w:jc w:val="left"/>
            </w:pPr>
            <w:r>
              <w:rPr>
                <w:b/>
                <w:bCs/>
              </w:rPr>
              <w:t xml:space="preserve">Secure Patient Data Access</w:t>
            </w:r>
          </w:p>
        </w:tc>
        <w:tc>
          <w:tcPr/>
          <w:p>
            <w:pPr>
              <w:pStyle w:val="Compact"/>
              <w:jc w:val="left"/>
            </w:pPr>
            <w:r>
              <w:t xml:space="preserve">Restricts access to authorised EMR modules</w:t>
            </w:r>
          </w:p>
        </w:tc>
      </w:tr>
      <w:tr>
        <w:trPr>
          <w:cantSplit/>
        </w:trPr>
        <w:tc>
          <w:tcPr/>
          <w:p>
            <w:pPr>
              <w:pStyle w:val="Compact"/>
              <w:jc w:val="left"/>
            </w:pPr>
            <w:r>
              <w:t xml:space="preserve">Cryptographic Access Control</w:t>
            </w:r>
          </w:p>
        </w:tc>
        <w:tc>
          <w:tcPr/>
          <w:p>
            <w:pPr>
              <w:pStyle w:val="Compact"/>
              <w:jc w:val="left"/>
            </w:pPr>
            <w:r>
              <w:rPr>
                <w:b/>
                <w:bCs/>
              </w:rPr>
              <w:t xml:space="preserve">Secure Patient Data Access</w:t>
            </w:r>
          </w:p>
        </w:tc>
        <w:tc>
          <w:tcPr/>
          <w:p>
            <w:pPr>
              <w:pStyle w:val="Compact"/>
              <w:jc w:val="left"/>
            </w:pPr>
            <w:r>
              <w:t xml:space="preserve">Verifies the access request before granting data</w:t>
            </w:r>
          </w:p>
        </w:tc>
      </w:tr>
      <w:tr>
        <w:trPr>
          <w:cantSplit/>
        </w:trPr>
        <w:tc>
          <w:tcPr/>
          <w:p>
            <w:pPr>
              <w:pStyle w:val="Compact"/>
              <w:jc w:val="left"/>
            </w:pPr>
            <w:r>
              <w:t xml:space="preserve">Healthcare Data Access</w:t>
            </w:r>
          </w:p>
        </w:tc>
        <w:tc>
          <w:tcPr/>
          <w:p>
            <w:pPr>
              <w:pStyle w:val="Compact"/>
              <w:jc w:val="left"/>
            </w:pPr>
            <w:r>
              <w:rPr>
                <w:b/>
                <w:bCs/>
              </w:rPr>
              <w:t xml:space="preserve">Secure Patient Data Access</w:t>
            </w:r>
          </w:p>
        </w:tc>
        <w:tc>
          <w:tcPr/>
          <w:p>
            <w:pPr>
              <w:pStyle w:val="Compact"/>
              <w:jc w:val="left"/>
            </w:pPr>
            <w:r>
              <w:t xml:space="preserve">Provides authorised Medication and Procedure records</w:t>
            </w:r>
          </w:p>
        </w:tc>
      </w:tr>
      <w:tr>
        <w:trPr>
          <w:cantSplit/>
        </w:trPr>
        <w:tc>
          <w:tcPr/>
          <w:p>
            <w:pPr>
              <w:pStyle w:val="Compact"/>
              <w:jc w:val="left"/>
            </w:pPr>
            <w:r>
              <w:t xml:space="preserve">Lifecycle Traceability</w:t>
            </w:r>
          </w:p>
        </w:tc>
        <w:tc>
          <w:tcPr/>
          <w:p>
            <w:pPr>
              <w:pStyle w:val="Compact"/>
              <w:jc w:val="left"/>
            </w:pPr>
            <w:r>
              <w:rPr>
                <w:b/>
                <w:bCs/>
              </w:rPr>
              <w:t xml:space="preserve">Blockchain Audit &amp; Consent Lifecycle</w:t>
            </w:r>
          </w:p>
        </w:tc>
        <w:tc>
          <w:tcPr/>
          <w:p>
            <w:pPr>
              <w:pStyle w:val="Compact"/>
              <w:jc w:val="left"/>
            </w:pPr>
            <w:r>
              <w:t xml:space="preserve">Reconstructs the chronological consent process</w:t>
            </w:r>
          </w:p>
        </w:tc>
      </w:tr>
      <w:tr>
        <w:trPr>
          <w:cantSplit/>
        </w:trPr>
        <w:tc>
          <w:tcPr/>
          <w:p>
            <w:pPr>
              <w:pStyle w:val="Compact"/>
              <w:jc w:val="left"/>
            </w:pPr>
            <w:r>
              <w:t xml:space="preserve">Accountability</w:t>
            </w:r>
          </w:p>
        </w:tc>
        <w:tc>
          <w:tcPr/>
          <w:p>
            <w:pPr>
              <w:pStyle w:val="Compact"/>
              <w:jc w:val="left"/>
            </w:pPr>
            <w:r>
              <w:rPr>
                <w:b/>
                <w:bCs/>
              </w:rPr>
              <w:t xml:space="preserve">Detailed Audit Records</w:t>
            </w:r>
          </w:p>
        </w:tc>
        <w:tc>
          <w:tcPr/>
          <w:p>
            <w:pPr>
              <w:pStyle w:val="Compact"/>
              <w:jc w:val="left"/>
            </w:pPr>
            <w:r>
              <w:t xml:space="preserve">Provides event-level evidence</w:t>
            </w:r>
          </w:p>
        </w:tc>
      </w:tr>
      <w:tr>
        <w:trPr>
          <w:cantSplit/>
        </w:trPr>
        <w:tc>
          <w:tcPr/>
          <w:p>
            <w:pPr>
              <w:pStyle w:val="Compact"/>
              <w:jc w:val="left"/>
            </w:pPr>
            <w:r>
              <w:t xml:space="preserve">Ledger Integrity</w:t>
            </w:r>
          </w:p>
        </w:tc>
        <w:tc>
          <w:tcPr/>
          <w:p>
            <w:pPr>
              <w:pStyle w:val="Compact"/>
              <w:jc w:val="left"/>
            </w:pPr>
            <w:r>
              <w:rPr>
                <w:b/>
                <w:bCs/>
              </w:rPr>
              <w:t xml:space="preserve">Complete Blockchain Audit Ledger</w:t>
            </w:r>
          </w:p>
        </w:tc>
        <w:tc>
          <w:tcPr/>
          <w:p>
            <w:pPr>
              <w:pStyle w:val="Compact"/>
              <w:jc w:val="left"/>
            </w:pPr>
            <w:r>
              <w:t xml:space="preserve">Provides the complete recorded transaction history</w:t>
            </w:r>
          </w:p>
        </w:tc>
      </w:tr>
    </w:tbl>
    <w:p>
      <w:pPr>
        <w:pStyle w:val="BodyText"/>
      </w:pPr>
      <w:r>
        <w:t xml:space="preserve">This mapping demonstrates that the implementation is not merely a collection of independent user-subsystem modules. Rather, the modules correspond to successive stages of the proposed authorisation protocol.</w:t>
      </w:r>
    </w:p>
    <w:bookmarkEnd w:id="158"/>
    <w:bookmarkStart w:id="159" w:name="overall-system-demonstration"/>
    <w:p>
      <w:pPr>
        <w:pStyle w:val="Heading2"/>
      </w:pPr>
      <w:r>
        <w:t xml:space="preserve">7.9 Overall System Demonstration</w:t>
      </w:r>
    </w:p>
    <w:p>
      <w:pPr>
        <w:pStyle w:val="FirstParagraph"/>
      </w:pPr>
      <w: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BodyText"/>
      </w:pPr>
      <w:r>
        <w:t xml:space="preserve">where</w:t>
      </w:r>
      <w:r>
        <w:t xml:space="preserve"> </w:t>
      </w:r>
      <m:oMath>
        <m:r>
          <m:t>C</m:t>
        </m:r>
      </m:oMath>
      <w:r>
        <w:t xml:space="preserve"> </w:t>
      </w:r>
      <w:r>
        <w:t xml:space="preserve">denotes consent creation,</w:t>
      </w:r>
      <w:r>
        <w:t xml:space="preserve"> </w:t>
      </w:r>
      <m:oMath>
        <m:r>
          <m:t>M</m:t>
        </m:r>
        <m:r>
          <m:t>S</m:t>
        </m:r>
      </m:oMath>
      <w:r>
        <w:t xml:space="preserve"> </w:t>
      </w:r>
      <w:r>
        <w:t xml:space="preserve">multi-signature approval,</w:t>
      </w:r>
      <w:r>
        <w:t xml:space="preserve"> </w:t>
      </w:r>
      <m:oMath>
        <m:r>
          <m:t>S</m:t>
        </m:r>
        <m:r>
          <m:t>B</m:t>
        </m:r>
        <m:r>
          <m:t>T</m:t>
        </m:r>
      </m:oMath>
      <w:r>
        <w:t xml:space="preserve"> </w:t>
      </w:r>
      <w:r>
        <w:t xml:space="preserve">consent activation,</w:t>
      </w:r>
      <w:r>
        <w:t xml:space="preserve"> </w:t>
      </w:r>
      <m:oMath>
        <m:r>
          <m:t>S</m:t>
        </m:r>
        <m:r>
          <m:t>t</m:t>
        </m:r>
        <m:r>
          <m:t>a</m:t>
        </m:r>
        <m:r>
          <m:t>t</m:t>
        </m:r>
        <m:r>
          <m:t>e</m:t>
        </m:r>
        <m:r>
          <m:t>C</m:t>
        </m:r>
        <m:r>
          <m:t>h</m:t>
        </m:r>
        <m:r>
          <m:t>e</m:t>
        </m:r>
        <m:r>
          <m:t>c</m:t>
        </m:r>
        <m:r>
          <m:t>k</m:t>
        </m:r>
      </m:oMath>
      <w:r>
        <w:t xml:space="preserve"> </w:t>
      </w:r>
      <w:r>
        <w:t xml:space="preserve">lifecycle validation,</w:t>
      </w:r>
      <w:r>
        <w:t xml:space="preserve"> </w:t>
      </w:r>
      <m:oMath>
        <m:r>
          <m:t>A</m:t>
        </m:r>
        <m:r>
          <m:t>c</m:t>
        </m:r>
        <m:r>
          <m:t>c</m:t>
        </m:r>
        <m:r>
          <m:t>e</m:t>
        </m:r>
        <m:r>
          <m:t>s</m:t>
        </m:r>
        <m:r>
          <m:t>s</m:t>
        </m:r>
        <m:r>
          <m:t>D</m:t>
        </m:r>
        <m:r>
          <m:t>e</m:t>
        </m:r>
        <m:r>
          <m:t>c</m:t>
        </m:r>
        <m:r>
          <m:t>i</m:t>
        </m:r>
        <m:r>
          <m:t>s</m:t>
        </m:r>
        <m:r>
          <m:t>i</m:t>
        </m:r>
        <m:r>
          <m:t>o</m:t>
        </m:r>
        <m:r>
          <m:t>n</m:t>
        </m:r>
      </m:oMath>
      <w:r>
        <w:t xml:space="preserve"> </w:t>
      </w:r>
      <w:r>
        <w:t xml:space="preserve">authorisation enforcement,</w:t>
      </w:r>
      <w:r>
        <w:t xml:space="preserve"> </w:t>
      </w:r>
      <m:oMath>
        <m:r>
          <m:t>E</m:t>
        </m:r>
        <m:r>
          <m:t>M</m:t>
        </m:r>
        <m:r>
          <m:t>R</m:t>
        </m:r>
      </m:oMath>
      <w:r>
        <w:t xml:space="preserve"> </w:t>
      </w:r>
      <w:r>
        <w:t xml:space="preserve">authorised medical-record access, and</w:t>
      </w:r>
      <w:r>
        <w:t xml:space="preserve"> </w:t>
      </w:r>
      <m:oMath>
        <m:r>
          <m:t>A</m:t>
        </m:r>
        <m:r>
          <m:t>u</m:t>
        </m:r>
        <m:r>
          <m:t>d</m:t>
        </m:r>
        <m:r>
          <m:t>i</m:t>
        </m:r>
        <m:r>
          <m:t>t</m:t>
        </m:r>
      </m:oMath>
      <w:r>
        <w:t xml:space="preserve"> </w:t>
      </w:r>
      <w:r>
        <w:t xml:space="preserve">immutable lifecycle recording.</w:t>
      </w:r>
    </w:p>
    <w:p>
      <w:pPr>
        <w:pStyle w:val="BodyText"/>
      </w:pPr>
      <w:r>
        <w:t xml:space="preserve">From a research-implementation perspective, the most significant feature of the presented subsystems is therefore the</w:t>
      </w:r>
      <w:r>
        <w:t xml:space="preserve"> </w:t>
      </w:r>
      <w:r>
        <w:rPr>
          <w:b/>
          <w:bCs/>
        </w:rPr>
        <w:t xml:space="preserve">continuity between consent specification, multi-party authorisation, access enforcement and audit evidence</w:t>
      </w:r>
      <w:r>
        <w:t xml:space="preserve">. The user subsystems provide a visible representation of this continuity, allowing the proposed HALAH model to be demonstrated as an operational authorisation workflow rather than only as a conceptual framework.</w:t>
      </w:r>
    </w:p>
    <w:bookmarkEnd w:id="159"/>
    <w:bookmarkStart w:id="163" w:name="X88b3d53607b792a9f4430f1be3c348b9a46cb27"/>
    <w:p>
      <w:pPr>
        <w:pStyle w:val="Heading2"/>
      </w:pPr>
      <w:r>
        <w:t xml:space="preserve">7.10 Implementation Mapping to the Source Code</w:t>
      </w:r>
    </w:p>
    <w:p>
      <w:pPr>
        <w:pStyle w:val="FirstParagraph"/>
      </w:pPr>
      <w:r>
        <w:t xml:space="preserve">Table 7.2 shows how the MVC layers of Chapter 5 are realised in the HALAH prototype (repository commit 0a960ca, 22 September 2026), so that the architectural claims can be checked directly against the source code.</w:t>
      </w:r>
    </w:p>
    <w:p>
      <w:pPr>
        <w:pStyle w:val="TableCaption"/>
      </w:pPr>
      <w:r>
        <w:t xml:space="preserve">Table 7.2: MVC layers and their HALAH implementation</w:t>
      </w:r>
    </w:p>
    <w:tbl>
      <w:tblPr>
        <w:tblStyle w:val="Table"/>
        <w:tblW w:type="pct" w:w="5000"/>
        <w:tblLayout w:type="fixed"/>
        <w:tblLook w:firstRow="1" w:lastRow="0" w:firstColumn="0" w:lastColumn="0" w:noHBand="0" w:noVBand="0" w:val="0020"/>
        <w:tblCaption w:val="Table 7.2: MVC layers and their HALAH implementation"/>
      </w:tblPr>
      <w:tblGrid>
        <w:gridCol w:w="1243"/>
        <w:gridCol w:w="3338"/>
        <w:gridCol w:w="333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Layer</w:t>
            </w:r>
          </w:p>
        </w:tc>
        <w:tc>
          <w:tcPr>
            <w:tcBorders>
              <w:bottom w:val="single" w:sz="8" w:space="0" w:color="000000"/>
            </w:tcBorders>
            <w:shd w:val="clear" w:color="auto" w:fill="E7E6E6"/>
            <w:vAlign w:val="center"/>
          </w:tcPr>
          <w:p>
            <w:pPr>
              <w:pStyle w:val="Compact"/>
              <w:jc w:val="left"/>
            </w:pPr>
            <w:r>
              <w:rPr>
                <w:b/>
                <w:bCs/>
              </w:rPr>
              <w:t xml:space="preserve">HALAH module(s)</w:t>
            </w:r>
          </w:p>
        </w:tc>
        <w:tc>
          <w:tcPr>
            <w:tcBorders>
              <w:bottom w:val="single" w:sz="8" w:space="0" w:color="000000"/>
            </w:tcBorders>
            <w:shd w:val="clear" w:color="auto" w:fill="E7E6E6"/>
            <w:vAlign w:val="center"/>
          </w:tcPr>
          <w:p>
            <w:pPr>
              <w:pStyle w:val="Compact"/>
              <w:jc w:val="left"/>
            </w:pPr>
            <w:r>
              <w:rPr>
                <w:b/>
                <w:bCs/>
              </w:rPr>
              <w:t xml:space="preserve">Responsibility</w:t>
            </w:r>
          </w:p>
        </w:tc>
      </w:tr>
      <w:tr>
        <w:trPr>
          <w:cantSplit/>
        </w:trPr>
        <w:tc>
          <w:tcPr/>
          <w:p>
            <w:pPr>
              <w:pStyle w:val="Compact"/>
              <w:jc w:val="left"/>
            </w:pPr>
            <w:r>
              <w:t xml:space="preserve">View</w:t>
            </w:r>
          </w:p>
        </w:tc>
        <w:tc>
          <w:tcPr/>
          <w:p>
            <w:pPr>
              <w:pStyle w:val="Compact"/>
              <w:jc w:val="left"/>
            </w:pPr>
            <w:r>
              <w:t xml:space="preserve">app.py (Patient, Guardian, Doctor and Auditor pages); halah_theme.py</w:t>
            </w:r>
          </w:p>
        </w:tc>
        <w:tc>
          <w:tcPr/>
          <w:p>
            <w:pPr>
              <w:pStyle w:val="Compact"/>
              <w:jc w:val="left"/>
            </w:pPr>
            <w:r>
              <w:t xml:space="preserve">Role-specific interaction; submits requests only</w:t>
            </w:r>
          </w:p>
        </w:tc>
      </w:tr>
      <w:tr>
        <w:trPr>
          <w:cantSplit/>
        </w:trPr>
        <w:tc>
          <w:tcPr/>
          <w:p>
            <w:pPr>
              <w:pStyle w:val="Compact"/>
              <w:jc w:val="left"/>
            </w:pPr>
            <w:r>
              <w:t xml:space="preserve">Controller</w:t>
            </w:r>
          </w:p>
        </w:tc>
        <w:tc>
          <w:tcPr/>
          <w:p>
            <w:pPr>
              <w:pStyle w:val="Compact"/>
              <w:jc w:val="left"/>
            </w:pPr>
            <w:r>
              <w:t xml:space="preserve">services/consent_service.py</w:t>
            </w:r>
          </w:p>
        </w:tc>
        <w:tc>
          <w:tcPr/>
          <w:p>
            <w:pPr>
              <w:pStyle w:val="Compact"/>
              <w:jc w:val="left"/>
            </w:pPr>
            <w:r>
              <w:t xml:space="preserve">Consent creation (Algorithm 1)</w:t>
            </w:r>
          </w:p>
        </w:tc>
      </w:tr>
      <w:tr>
        <w:trPr>
          <w:cantSplit/>
        </w:trPr>
        <w:tc>
          <w:tcPr/>
          <w:p>
            <w:pPr>
              <w:pStyle w:val="Compact"/>
              <w:jc w:val="left"/>
            </w:pPr>
            <w:r>
              <w:t xml:space="preserve">Controller</w:t>
            </w:r>
          </w:p>
        </w:tc>
        <w:tc>
          <w:tcPr/>
          <w:p>
            <w:pPr>
              <w:pStyle w:val="Compact"/>
              <w:jc w:val="left"/>
            </w:pPr>
            <w:r>
              <w:t xml:space="preserve">services/identity_service.py</w:t>
            </w:r>
          </w:p>
        </w:tc>
        <w:tc>
          <w:tcPr/>
          <w:p>
            <w:pPr>
              <w:pStyle w:val="Compact"/>
              <w:jc w:val="left"/>
            </w:pPr>
            <w:r>
              <w:t xml:space="preserve">DID check; EIP-712 approval signing and verification (Algorithm 2,</w:t>
            </w:r>
            <w:r>
              <w:t xml:space="preserve"> </w:t>
            </w:r>
            <m:oMath>
              <m:sSub>
                <m:e>
                  <m:r>
                    <m:t>V</m:t>
                  </m:r>
                </m:e>
                <m:sub>
                  <m:r>
                    <m:t>I</m:t>
                  </m:r>
                </m:sub>
              </m:sSub>
            </m:oMath>
            <w:r>
              <w:t xml:space="preserve">)</w:t>
            </w:r>
          </w:p>
        </w:tc>
      </w:tr>
      <w:tr>
        <w:trPr>
          <w:cantSplit/>
        </w:trPr>
        <w:tc>
          <w:tcPr/>
          <w:p>
            <w:pPr>
              <w:pStyle w:val="Compact"/>
              <w:jc w:val="left"/>
            </w:pPr>
            <w:r>
              <w:t xml:space="preserve">Controller</w:t>
            </w:r>
          </w:p>
        </w:tc>
        <w:tc>
          <w:tcPr/>
          <w:p>
            <w:pPr>
              <w:pStyle w:val="Compact"/>
              <w:jc w:val="left"/>
            </w:pPr>
            <w:r>
              <w:t xml:space="preserve">services/state_service.py</w:t>
            </w:r>
          </w:p>
        </w:tc>
        <w:tc>
          <w:tcPr/>
          <w:p>
            <w:pPr>
              <w:pStyle w:val="Compact"/>
              <w:jc w:val="left"/>
            </w:pPr>
            <w:r>
              <w:t xml:space="preserve">Consent state: PENDING_SIGNATURE, PENDING_TOKEN, NOT_STARTED, EXPIRED, REVOKED, ACTIVE (</w:t>
            </w:r>
            <m:oMath>
              <m:sSub>
                <m:e>
                  <m:r>
                    <m:t>V</m:t>
                  </m:r>
                </m:e>
                <m:sub>
                  <m:r>
                    <m:t>A</m:t>
                  </m:r>
                </m:sub>
              </m:sSub>
            </m:oMath>
            <w:r>
              <w:t xml:space="preserve">,</w:t>
            </w:r>
            <w:r>
              <w:t xml:space="preserve"> </w:t>
            </w:r>
            <m:oMath>
              <m:sSub>
                <m:e>
                  <m:r>
                    <m:t>V</m:t>
                  </m:r>
                </m:e>
                <m:sub>
                  <m:r>
                    <m:t>T</m:t>
                  </m:r>
                </m:sub>
              </m:sSub>
            </m:oMath>
            <w:r>
              <w:t xml:space="preserve">)</w:t>
            </w:r>
          </w:p>
        </w:tc>
      </w:tr>
      <w:tr>
        <w:trPr>
          <w:cantSplit/>
        </w:trPr>
        <w:tc>
          <w:tcPr/>
          <w:p>
            <w:pPr>
              <w:pStyle w:val="Compact"/>
              <w:jc w:val="left"/>
            </w:pPr>
            <w:r>
              <w:t xml:space="preserve">Controller</w:t>
            </w:r>
          </w:p>
        </w:tc>
        <w:tc>
          <w:tcPr/>
          <w:p>
            <w:pPr>
              <w:pStyle w:val="Compact"/>
              <w:jc w:val="left"/>
            </w:pPr>
            <w:r>
              <w:t xml:space="preserve">services/access_service.py</w:t>
            </w:r>
          </w:p>
        </w:tc>
        <w:tc>
          <w:tcPr/>
          <w:p>
            <w:pPr>
              <w:pStyle w:val="Compact"/>
              <w:jc w:val="left"/>
            </w:pPr>
            <w:r>
              <w:t xml:space="preserve">Scope check, release gate and decision matrix (Algorithm 4,</w:t>
            </w:r>
            <w:r>
              <w:t xml:space="preserve"> </w:t>
            </w:r>
            <m:oMath>
              <m:sSub>
                <m:e>
                  <m:r>
                    <m:t>V</m:t>
                  </m:r>
                </m:e>
                <m:sub>
                  <m:r>
                    <m:t>P</m:t>
                  </m:r>
                </m:sub>
              </m:sSub>
            </m:oMath>
            <w:r>
              <w:t xml:space="preserve">)</w:t>
            </w:r>
          </w:p>
        </w:tc>
      </w:tr>
      <w:tr>
        <w:trPr>
          <w:cantSplit/>
        </w:trPr>
        <w:tc>
          <w:tcPr/>
          <w:p>
            <w:pPr>
              <w:pStyle w:val="Compact"/>
              <w:jc w:val="left"/>
            </w:pPr>
            <w:r>
              <w:t xml:space="preserve">Controller</w:t>
            </w:r>
          </w:p>
        </w:tc>
        <w:tc>
          <w:tcPr/>
          <w:p>
            <w:pPr>
              <w:pStyle w:val="Compact"/>
              <w:jc w:val="left"/>
            </w:pPr>
            <w:r>
              <w:t xml:space="preserve">services/blockchain_service.py; services/anchor_service.py</w:t>
            </w:r>
          </w:p>
        </w:tc>
        <w:tc>
          <w:tcPr/>
          <w:p>
            <w:pPr>
              <w:pStyle w:val="Compact"/>
              <w:jc w:val="left"/>
            </w:pPr>
            <w:r>
              <w:t xml:space="preserve">SBT minting, revocation and on-chain anchoring (evidence</w:t>
            </w:r>
            <w:r>
              <w:t xml:space="preserve"> </w:t>
            </w:r>
            <m:oMath>
              <m:r>
                <m:t>E</m:t>
              </m:r>
            </m:oMath>
            <w:r>
              <w:t xml:space="preserve">)</w:t>
            </w:r>
          </w:p>
        </w:tc>
      </w:tr>
      <w:tr>
        <w:trPr>
          <w:cantSplit/>
        </w:trPr>
        <w:tc>
          <w:tcPr/>
          <w:p>
            <w:pPr>
              <w:pStyle w:val="Compact"/>
              <w:jc w:val="left"/>
            </w:pPr>
            <w:r>
              <w:t xml:space="preserve">Model</w:t>
            </w:r>
          </w:p>
        </w:tc>
        <w:tc>
          <w:tcPr/>
          <w:p>
            <w:pPr>
              <w:pStyle w:val="Compact"/>
              <w:jc w:val="left"/>
            </w:pPr>
            <w:r>
              <w:t xml:space="preserve">models/consent.py; models/access.py</w:t>
            </w:r>
          </w:p>
        </w:tc>
        <w:tc>
          <w:tcPr/>
          <w:p>
            <w:pPr>
              <w:pStyle w:val="Compact"/>
              <w:jc w:val="left"/>
            </w:pPr>
            <w:r>
              <w:t xml:space="preserve">Consent object</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and access request</w:t>
            </w:r>
            <w:r>
              <w:t xml:space="preserve"> </w:t>
            </w:r>
            <m:oMath>
              <m:r>
                <m:t>R</m:t>
              </m:r>
            </m:oMath>
          </w:p>
        </w:tc>
      </w:tr>
      <w:tr>
        <w:trPr>
          <w:cantSplit/>
        </w:trPr>
        <w:tc>
          <w:tcPr/>
          <w:p>
            <w:pPr>
              <w:pStyle w:val="Compact"/>
              <w:jc w:val="left"/>
            </w:pPr>
            <w:r>
              <w:t xml:space="preserve">Model</w:t>
            </w:r>
          </w:p>
        </w:tc>
        <w:tc>
          <w:tcPr/>
          <w:p>
            <w:pPr>
              <w:pStyle w:val="Compact"/>
              <w:jc w:val="left"/>
            </w:pPr>
            <w:r>
              <w:t xml:space="preserve">database/ (SQLite persistence, audit log, DID mapping)</w:t>
            </w:r>
          </w:p>
        </w:tc>
        <w:tc>
          <w:tcPr/>
          <w:p>
            <w:pPr>
              <w:pStyle w:val="Compact"/>
              <w:jc w:val="left"/>
            </w:pPr>
            <w:r>
              <w:t xml:space="preserve">Persistent consent, approval and audit state</w:t>
            </w:r>
          </w:p>
        </w:tc>
      </w:tr>
      <w:tr>
        <w:trPr>
          <w:cantSplit/>
        </w:trPr>
        <w:tc>
          <w:tcPr/>
          <w:p>
            <w:pPr>
              <w:pStyle w:val="Compact"/>
              <w:jc w:val="left"/>
            </w:pPr>
            <w:r>
              <w:t xml:space="preserve">Protected resource</w:t>
            </w:r>
          </w:p>
        </w:tc>
        <w:tc>
          <w:tcPr/>
          <w:p>
            <w:pPr>
              <w:pStyle w:val="Compact"/>
              <w:jc w:val="left"/>
            </w:pPr>
            <w:r>
              <w:t xml:space="preserve">data/synthea/*.csv via database/repository.py</w:t>
            </w:r>
          </w:p>
        </w:tc>
        <w:tc>
          <w:tcPr/>
          <w:p>
            <w:pPr>
              <w:pStyle w:val="Compact"/>
              <w:jc w:val="left"/>
            </w:pPr>
            <w:r>
              <w:t xml:space="preserve">Synthetic EMR modules [41], released only after authorisation</w:t>
            </w:r>
          </w:p>
        </w:tc>
      </w:tr>
      <w:tr>
        <w:trPr>
          <w:cantSplit/>
        </w:trPr>
        <w:tc>
          <w:tcPr/>
          <w:p>
            <w:pPr>
              <w:pStyle w:val="Compact"/>
              <w:jc w:val="left"/>
            </w:pPr>
            <w:r>
              <w:t xml:space="preserve">Smart contract</w:t>
            </w:r>
          </w:p>
        </w:tc>
        <w:tc>
          <w:tcPr/>
          <w:p>
            <w:pPr>
              <w:pStyle w:val="Compact"/>
              <w:jc w:val="left"/>
            </w:pPr>
            <w:r>
              <w:t xml:space="preserve">contracts/ConsentSBTv3.sol</w:t>
            </w:r>
          </w:p>
        </w:tc>
        <w:tc>
          <w:tcPr/>
          <w:p>
            <w:pPr>
              <w:pStyle w:val="Compact"/>
              <w:jc w:val="left"/>
            </w:pPr>
            <w:r>
              <w:t xml:space="preserve">Soulbound consent token; on-chain validity; ERC-5484 burn [43]</w:t>
            </w:r>
          </w:p>
        </w:tc>
      </w:tr>
    </w:tbl>
    <w:p>
      <w:pPr>
        <w:pStyle w:val="BodyText"/>
      </w:pPr>
      <w:r>
        <w:t xml:space="preserve">Figure 7.6 traces one consent through the four subsystems of the prototype and shows where each check is enforced and which events are written to the audit log.</w:t>
      </w:r>
    </w:p>
    <w:p>
      <w:pPr>
        <w:pStyle w:val="CaptionedFigure"/>
      </w:pPr>
      <w:r>
        <w:drawing>
          <wp:inline>
            <wp:extent cx="3922776" cy="7689606"/>
            <wp:effectExtent b="0" l="0" r="0" t="0"/>
            <wp:docPr descr="Figure 7.6: HALAH prototype workflow from consent creation to audited access decision" title="" id="161" name="Picture"/>
            <a:graphic>
              <a:graphicData uri="http://schemas.openxmlformats.org/drawingml/2006/picture">
                <pic:pic>
                  <pic:nvPicPr>
                    <pic:cNvPr descr="media_col/fig_halah.png" id="162" name="Picture"/>
                    <pic:cNvPicPr>
                      <a:picLocks noChangeArrowheads="1" noChangeAspect="1"/>
                    </pic:cNvPicPr>
                  </pic:nvPicPr>
                  <pic:blipFill>
                    <a:blip r:embed="rId160"/>
                    <a:stretch>
                      <a:fillRect/>
                    </a:stretch>
                  </pic:blipFill>
                  <pic:spPr bwMode="auto">
                    <a:xfrm>
                      <a:off x="0" y="0"/>
                      <a:ext cx="3922776" cy="7689606"/>
                    </a:xfrm>
                    <a:prstGeom prst="rect">
                      <a:avLst/>
                    </a:prstGeom>
                    <a:noFill/>
                    <a:ln w="9525">
                      <a:noFill/>
                      <a:headEnd/>
                      <a:tailEnd/>
                    </a:ln>
                  </pic:spPr>
                </pic:pic>
              </a:graphicData>
            </a:graphic>
          </wp:inline>
        </w:drawing>
      </w:r>
    </w:p>
    <w:p>
      <w:pPr>
        <w:pStyle w:val="ImageCaption"/>
      </w:pPr>
      <w:r>
        <w:t xml:space="preserve">Figure 7.6: HALAH prototype workflow from consent creation to audited access decision</w:t>
      </w:r>
    </w:p>
    <w:bookmarkEnd w:id="163"/>
    <w:bookmarkStart w:id="164" w:name="automated-test-evidence"/>
    <w:p>
      <w:pPr>
        <w:pStyle w:val="Heading2"/>
      </w:pPr>
      <w:r>
        <w:t xml:space="preserve">7.11 Automated Test Evidence</w:t>
      </w:r>
    </w:p>
    <w:p>
      <w:pPr>
        <w:pStyle w:val="FirstParagraph"/>
      </w:pPr>
      <w:r>
        <w:t xml:space="preserve">Table 7.3 summarises the automated tests of the prototype (pytest 9.1.1, Python 3.11, run on 28 September 2026): 16 tests passed, 2 were skipped and none failed.</w:t>
      </w:r>
    </w:p>
    <w:p>
      <w:pPr>
        <w:pStyle w:val="TableCaption"/>
      </w:pPr>
      <w:r>
        <w:t xml:space="preserve">Table 7.3: Automated test results of the HALAH prototype</w:t>
      </w:r>
    </w:p>
    <w:tbl>
      <w:tblPr>
        <w:tblStyle w:val="Table"/>
        <w:tblW w:type="pct" w:w="5000"/>
        <w:tblLayout w:type="fixed"/>
        <w:tblLook w:firstRow="1" w:lastRow="0" w:firstColumn="0" w:lastColumn="0" w:noHBand="0" w:noVBand="0" w:val="0020"/>
        <w:tblCaption w:val="Table 7.3: Automated test results of the HALAH prototype"/>
      </w:tblPr>
      <w:tblGrid>
        <w:gridCol w:w="674"/>
        <w:gridCol w:w="2022"/>
        <w:gridCol w:w="2864"/>
        <w:gridCol w:w="786"/>
        <w:gridCol w:w="157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ID</w:t>
            </w:r>
          </w:p>
        </w:tc>
        <w:tc>
          <w:tcPr>
            <w:tcBorders>
              <w:bottom w:val="single" w:sz="8" w:space="0" w:color="000000"/>
            </w:tcBorders>
            <w:shd w:val="clear" w:color="auto" w:fill="E7E6E6"/>
            <w:vAlign w:val="center"/>
          </w:tcPr>
          <w:p>
            <w:pPr>
              <w:pStyle w:val="Compact"/>
              <w:jc w:val="left"/>
            </w:pPr>
            <w:r>
              <w:rPr>
                <w:b/>
                <w:bCs/>
              </w:rPr>
              <w:t xml:space="preserve">Scenario</w:t>
            </w:r>
          </w:p>
        </w:tc>
        <w:tc>
          <w:tcPr>
            <w:tcBorders>
              <w:bottom w:val="single" w:sz="8" w:space="0" w:color="000000"/>
            </w:tcBorders>
            <w:shd w:val="clear" w:color="auto" w:fill="E7E6E6"/>
            <w:vAlign w:val="center"/>
          </w:tcPr>
          <w:p>
            <w:pPr>
              <w:pStyle w:val="Compact"/>
              <w:jc w:val="left"/>
            </w:pPr>
            <w:r>
              <w:rPr>
                <w:b/>
                <w:bCs/>
              </w:rPr>
              <w:t xml:space="preserve">Condition tested → expected outcome</w:t>
            </w:r>
          </w:p>
        </w:tc>
        <w:tc>
          <w:tcPr>
            <w:tcBorders>
              <w:bottom w:val="single" w:sz="8" w:space="0" w:color="000000"/>
            </w:tcBorders>
            <w:shd w:val="clear" w:color="auto" w:fill="E7E6E6"/>
            <w:vAlign w:val="center"/>
          </w:tcPr>
          <w:p>
            <w:pPr>
              <w:pStyle w:val="Compact"/>
              <w:jc w:val="left"/>
            </w:pPr>
            <w:r>
              <w:rPr>
                <w:b/>
                <w:bCs/>
              </w:rPr>
              <w:t xml:space="preserve">Predicate</w:t>
            </w:r>
          </w:p>
        </w:tc>
        <w:tc>
          <w:tcPr>
            <w:tcBorders>
              <w:bottom w:val="single" w:sz="8" w:space="0" w:color="000000"/>
            </w:tcBorders>
            <w:shd w:val="clear" w:color="auto" w:fill="E7E6E6"/>
            <w:vAlign w:val="center"/>
          </w:tcPr>
          <w:p>
            <w:pPr>
              <w:pStyle w:val="Compact"/>
              <w:jc w:val="left"/>
            </w:pPr>
            <w:r>
              <w:rPr>
                <w:b/>
                <w:bCs/>
              </w:rPr>
              <w:t xml:space="preserve">Observed</w:t>
            </w:r>
          </w:p>
        </w:tc>
      </w:tr>
      <w:tr>
        <w:trPr>
          <w:cantSplit/>
        </w:trPr>
        <w:tc>
          <w:tcPr/>
          <w:p>
            <w:pPr>
              <w:pStyle w:val="Compact"/>
              <w:jc w:val="left"/>
            </w:pPr>
            <w:r>
              <w:t xml:space="preserve">T1</w:t>
            </w:r>
          </w:p>
        </w:tc>
        <w:tc>
          <w:tcPr/>
          <w:p>
            <w:pPr>
              <w:pStyle w:val="Compact"/>
              <w:jc w:val="left"/>
            </w:pPr>
            <w:r>
              <w:t xml:space="preserve">EIP-712 guardian approval</w:t>
            </w:r>
          </w:p>
        </w:tc>
        <w:tc>
          <w:tcPr/>
          <w:p>
            <w:pPr>
              <w:pStyle w:val="Compact"/>
              <w:jc w:val="left"/>
            </w:pPr>
            <w:r>
              <w:t xml:space="preserve">Valid signature accepted; wrong guardian, wrong consent ID and missing signature rejected</w:t>
            </w:r>
          </w:p>
        </w:tc>
        <w:tc>
          <w:tcPr/>
          <w:p>
            <w:pPr>
              <w:pStyle w:val="Compact"/>
              <w:jc w:val="left"/>
            </w:pPr>
            <m:oMath>
              <m:sSub>
                <m:e>
                  <m:r>
                    <m:t>V</m:t>
                  </m:r>
                </m:e>
                <m:sub>
                  <m:r>
                    <m:t>I</m:t>
                  </m:r>
                </m:sub>
              </m:sSub>
            </m:oMath>
          </w:p>
        </w:tc>
        <w:tc>
          <w:tcPr/>
          <w:p>
            <w:pPr>
              <w:pStyle w:val="Compact"/>
              <w:jc w:val="left"/>
            </w:pPr>
            <w:r>
              <w:t xml:space="preserve">Pass</w:t>
            </w:r>
          </w:p>
        </w:tc>
      </w:tr>
      <w:tr>
        <w:trPr>
          <w:cantSplit/>
        </w:trPr>
        <w:tc>
          <w:tcPr/>
          <w:p>
            <w:pPr>
              <w:pStyle w:val="Compact"/>
              <w:jc w:val="left"/>
            </w:pPr>
            <w:r>
              <w:t xml:space="preserve">T2</w:t>
            </w:r>
          </w:p>
        </w:tc>
        <w:tc>
          <w:tcPr/>
          <w:p>
            <w:pPr>
              <w:pStyle w:val="Compact"/>
              <w:jc w:val="left"/>
            </w:pPr>
            <w:r>
              <w:t xml:space="preserve">Decision matrix</w:t>
            </w:r>
          </w:p>
        </w:tc>
        <w:tc>
          <w:tcPr/>
          <w:p>
            <w:pPr>
              <w:pStyle w:val="Compact"/>
              <w:jc w:val="left"/>
            </w:pPr>
            <w:r>
              <w:t xml:space="preserve">All conditions true → ALLOW; wrong jurisdiction, expired consent, revoked consent, purpose</w:t>
            </w:r>
            <w:r>
              <w:t xml:space="preserve"> </w:t>
            </w:r>
            <w:r>
              <w:t xml:space="preserve">‘Marketing’</w:t>
            </w:r>
            <w:r>
              <w:t xml:space="preserve"> </w:t>
            </w:r>
            <w:r>
              <w:t xml:space="preserve">and forged signature each make the corresponding predicate fail</w:t>
            </w:r>
          </w:p>
        </w:tc>
        <w:tc>
          <w:tcPr/>
          <w:p>
            <w:pPr>
              <w:pStyle w:val="Compact"/>
              <w:jc w:val="left"/>
            </w:pPr>
            <m:oMath>
              <m:sSub>
                <m:e>
                  <m:r>
                    <m:t>V</m:t>
                  </m:r>
                </m:e>
                <m:sub>
                  <m:r>
                    <m:t>I</m:t>
                  </m:r>
                </m:sub>
              </m:sSub>
            </m:oMath>
            <w:r>
              <w:t xml:space="preserve">–</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T3</w:t>
            </w:r>
          </w:p>
        </w:tc>
        <w:tc>
          <w:tcPr/>
          <w:p>
            <w:pPr>
              <w:pStyle w:val="Compact"/>
              <w:jc w:val="left"/>
            </w:pPr>
            <w:r>
              <w:t xml:space="preserve">End-to-end lifecycle (chain mocked)</w:t>
            </w:r>
          </w:p>
        </w:tc>
        <w:tc>
          <w:tcPr/>
          <w:p>
            <w:pPr>
              <w:pStyle w:val="Compact"/>
              <w:jc w:val="left"/>
            </w:pPr>
            <w:r>
              <w:t xml:space="preserve">Create → PENDING_SIGNATURE; two signatures and mint → ACTIVE; revoke → REVOKED</w:t>
            </w:r>
          </w:p>
        </w:tc>
        <w:tc>
          <w:tcPr/>
          <w:p>
            <w:pPr>
              <w:pStyle w:val="Compact"/>
              <w:jc w:val="left"/>
            </w:pPr>
            <m:oMath>
              <m:sSub>
                <m:e>
                  <m:r>
                    <m:t>V</m:t>
                  </m:r>
                </m:e>
                <m:sub>
                  <m:r>
                    <m:t>A</m:t>
                  </m:r>
                </m:sub>
              </m:sSub>
            </m:oMath>
            <w:r>
              <w:t xml:space="preserve">,</w:t>
            </w:r>
            <w:r>
              <w:t xml:space="preserve"> </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T4</w:t>
            </w:r>
          </w:p>
        </w:tc>
        <w:tc>
          <w:tcPr/>
          <w:p>
            <w:pPr>
              <w:pStyle w:val="Compact"/>
              <w:jc w:val="left"/>
            </w:pPr>
            <w:r>
              <w:t xml:space="preserve">Revocation state</w:t>
            </w:r>
          </w:p>
        </w:tc>
        <w:tc>
          <w:tcPr/>
          <w:p>
            <w:pPr>
              <w:pStyle w:val="Compact"/>
              <w:jc w:val="left"/>
            </w:pPr>
            <w:r>
              <w:t xml:space="preserve">An ACTIVE consent becomes REVOKED when revoked</w:t>
            </w:r>
          </w:p>
        </w:tc>
        <w:tc>
          <w:tcPr/>
          <w:p>
            <w:pPr>
              <w:pStyle w:val="Compact"/>
              <w:jc w:val="left"/>
            </w:pP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T5</w:t>
            </w:r>
          </w:p>
        </w:tc>
        <w:tc>
          <w:tcPr/>
          <w:p>
            <w:pPr>
              <w:pStyle w:val="Compact"/>
              <w:jc w:val="left"/>
            </w:pPr>
            <w:r>
              <w:t xml:space="preserve">v3 contract routing</w:t>
            </w:r>
          </w:p>
        </w:tc>
        <w:tc>
          <w:tcPr/>
          <w:p>
            <w:pPr>
              <w:pStyle w:val="Compact"/>
              <w:jc w:val="left"/>
            </w:pPr>
            <w:r>
              <w:t xml:space="preserve">The v3 mint carries jurisdiction</w:t>
            </w:r>
            <w:r>
              <w:t xml:space="preserve"> </w:t>
            </w:r>
            <w:r>
              <w:t xml:space="preserve">‘AU’</w:t>
            </w:r>
            <w:r>
              <w:t xml:space="preserve"> </w:t>
            </w:r>
            <w:r>
              <w:t xml:space="preserve">and notBefore &lt; expiry</w:t>
            </w:r>
          </w:p>
        </w:tc>
        <w:tc>
          <w:tcPr/>
          <w:p>
            <w:pPr>
              <w:pStyle w:val="Compact"/>
              <w:jc w:val="left"/>
            </w:pPr>
            <m:oMath>
              <m:sSub>
                <m:e>
                  <m:r>
                    <m:t>V</m:t>
                  </m:r>
                </m:e>
                <m:sub>
                  <m:r>
                    <m:t>T</m:t>
                  </m:r>
                </m:sub>
              </m:sSub>
            </m:oMath>
          </w:p>
        </w:tc>
        <w:tc>
          <w:tcPr/>
          <w:p>
            <w:pPr>
              <w:pStyle w:val="Compact"/>
              <w:jc w:val="left"/>
            </w:pPr>
            <w:r>
              <w:t xml:space="preserve">Pass</w:t>
            </w:r>
          </w:p>
        </w:tc>
      </w:tr>
      <w:tr>
        <w:trPr>
          <w:cantSplit/>
        </w:trPr>
        <w:tc>
          <w:tcPr/>
          <w:p>
            <w:pPr>
              <w:pStyle w:val="Compact"/>
              <w:jc w:val="left"/>
            </w:pPr>
            <w:r>
              <w:t xml:space="preserve">T6</w:t>
            </w:r>
          </w:p>
        </w:tc>
        <w:tc>
          <w:tcPr/>
          <w:p>
            <w:pPr>
              <w:pStyle w:val="Compact"/>
              <w:jc w:val="left"/>
            </w:pPr>
            <w:r>
              <w:t xml:space="preserve">Persistence (3 tests)</w:t>
            </w:r>
          </w:p>
        </w:tc>
        <w:tc>
          <w:tcPr/>
          <w:p>
            <w:pPr>
              <w:pStyle w:val="Compact"/>
              <w:jc w:val="left"/>
            </w:pPr>
            <w:r>
              <w:t xml:space="preserve">Consent, revocation and audit events survive a restart</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T7</w:t>
            </w:r>
          </w:p>
        </w:tc>
        <w:tc>
          <w:tcPr/>
          <w:p>
            <w:pPr>
              <w:pStyle w:val="Compact"/>
              <w:jc w:val="left"/>
            </w:pPr>
            <w:r>
              <w:t xml:space="preserve">Audit honesty (2 tests)</w:t>
            </w:r>
          </w:p>
        </w:tc>
        <w:tc>
          <w:tcPr/>
          <w:p>
            <w:pPr>
              <w:pStyle w:val="Compact"/>
              <w:jc w:val="left"/>
            </w:pPr>
            <w:r>
              <w:t xml:space="preserve">Off-chain events carry no synthetic transaction hash; on-chain events keep the real one</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T8</w:t>
            </w:r>
          </w:p>
        </w:tc>
        <w:tc>
          <w:tcPr/>
          <w:p>
            <w:pPr>
              <w:pStyle w:val="Compact"/>
              <w:jc w:val="left"/>
            </w:pPr>
            <w:r>
              <w:t xml:space="preserve">Configuration and honesty (6 tests)</w:t>
            </w:r>
          </w:p>
        </w:tc>
        <w:tc>
          <w:tcPr/>
          <w:p>
            <w:pPr>
              <w:pStyle w:val="Compact"/>
              <w:jc w:val="left"/>
            </w:pPr>
            <w:r>
              <w:t xml:space="preserve">Deterministic DID-to-address mapping, configuration checks, contract interface and honest interface labels</w:t>
            </w:r>
          </w:p>
        </w:tc>
        <w:tc>
          <w:tcPr/>
          <w:p>
            <w:pPr>
              <w:pStyle w:val="Compact"/>
              <w:jc w:val="left"/>
            </w:pPr>
            <w:r>
              <w:t xml:space="preserve">–</w:t>
            </w:r>
          </w:p>
        </w:tc>
        <w:tc>
          <w:tcPr/>
          <w:p>
            <w:pPr>
              <w:pStyle w:val="Compact"/>
              <w:jc w:val="left"/>
            </w:pPr>
            <w:r>
              <w:t xml:space="preserve">Pass</w:t>
            </w:r>
          </w:p>
        </w:tc>
      </w:tr>
      <w:tr>
        <w:trPr>
          <w:cantSplit/>
        </w:trPr>
        <w:tc>
          <w:tcPr/>
          <w:p>
            <w:pPr>
              <w:pStyle w:val="Compact"/>
              <w:jc w:val="left"/>
            </w:pPr>
            <w:r>
              <w:t xml:space="preserve">T9</w:t>
            </w:r>
          </w:p>
        </w:tc>
        <w:tc>
          <w:tcPr/>
          <w:p>
            <w:pPr>
              <w:pStyle w:val="Compact"/>
              <w:jc w:val="left"/>
            </w:pPr>
            <w:r>
              <w:t xml:space="preserve">Groth16 zero-knowledge (2 tests)</w:t>
            </w:r>
          </w:p>
        </w:tc>
        <w:tc>
          <w:tcPr/>
          <w:p>
            <w:pPr>
              <w:pStyle w:val="Compact"/>
              <w:jc w:val="left"/>
            </w:pPr>
            <w:r>
              <w:t xml:space="preserve">Proof round-trip and tamper rejection; an expired consent cannot be proven</w:t>
            </w:r>
          </w:p>
        </w:tc>
        <w:tc>
          <w:tcPr/>
          <w:p>
            <w:pPr>
              <w:pStyle w:val="Compact"/>
              <w:jc w:val="left"/>
            </w:pPr>
            <m:oMath>
              <m:sSub>
                <m:e>
                  <m:r>
                    <m:t>V</m:t>
                  </m:r>
                </m:e>
                <m:sub>
                  <m:r>
                    <m:t>T</m:t>
                  </m:r>
                </m:sub>
              </m:sSub>
            </m:oMath>
          </w:p>
        </w:tc>
        <w:tc>
          <w:tcPr/>
          <w:p>
            <w:pPr>
              <w:pStyle w:val="Compact"/>
              <w:jc w:val="left"/>
            </w:pPr>
            <w:r>
              <w:t xml:space="preserve">Skipped (circuit not built)</w:t>
            </w:r>
          </w:p>
        </w:tc>
      </w:tr>
    </w:tbl>
    <w:p>
      <w:pPr>
        <w:pStyle w:val="BodyText"/>
      </w:pPr>
      <w:r>
        <w:t xml:space="preserve">These are functional unit and integration tests in which the blockchain is mocked. They provide initial evidence for SRQ1–SRQ4 and for the first SRQ5 checks, but they are not yet the complete valid, negative and adversarial scenario set of Algorithm 6. Negative cases still to be added in Stage 2 include insufficient approvals at the data-release gate, a duplicate approval attempt, an out-of-scope request submitted directly to the service interface, and a request with a mismatched declared purpose.</w:t>
      </w:r>
    </w:p>
    <w:bookmarkEnd w:id="164"/>
    <w:bookmarkStart w:id="165" w:name="on-chain-evidence"/>
    <w:p>
      <w:pPr>
        <w:pStyle w:val="Heading2"/>
      </w:pPr>
      <w:r>
        <w:t xml:space="preserve">7.12 On-Chain Evidence</w:t>
      </w:r>
    </w:p>
    <w:p>
      <w:pPr>
        <w:pStyle w:val="FirstParagraph"/>
      </w:pPr>
      <w:r>
        <w:t xml:space="preserve">Table 7.4 lists the consent tokens anchored on the Ethereum Sepolia testnet (chain ID 11155111) by the ConsentSBTv2 contract at address 0xb0dA0440Abd6bd74bE0aebE226D593492124A6e7. The holder of token #4 equals the address derived from the patient DID</w:t>
      </w:r>
      <w:r>
        <w:t xml:space="preserve"> </w:t>
      </w:r>
      <w:r>
        <w:t xml:space="preserve">‘did:patient:demo’</w:t>
      </w:r>
      <w:r>
        <w:t xml:space="preserve">, which demonstrates the DID-to-address binding used by the prototype.</w:t>
      </w:r>
    </w:p>
    <w:p>
      <w:pPr>
        <w:pStyle w:val="TableCaption"/>
      </w:pPr>
      <w:r>
        <w:t xml:space="preserve">Table 7.4: Consent SBTs anchored on Ethereum Sepolia</w:t>
      </w:r>
    </w:p>
    <w:tbl>
      <w:tblPr>
        <w:tblStyle w:val="Table"/>
        <w:tblW w:type="pct" w:w="5000"/>
        <w:tblLayout w:type="fixed"/>
        <w:tblLook w:firstRow="1" w:lastRow="0" w:firstColumn="0" w:lastColumn="0" w:noHBand="0" w:noVBand="0" w:val="0020"/>
        <w:tblCaption w:val="Table 7.4: Consent SBTs anchored on Ethereum Sepolia"/>
      </w:tblPr>
      <w:tblGrid>
        <w:gridCol w:w="1267"/>
        <w:gridCol w:w="1267"/>
        <w:gridCol w:w="538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Token</w:t>
            </w:r>
          </w:p>
        </w:tc>
        <w:tc>
          <w:tcPr>
            <w:tcBorders>
              <w:bottom w:val="single" w:sz="8" w:space="0" w:color="000000"/>
            </w:tcBorders>
            <w:shd w:val="clear" w:color="auto" w:fill="E7E6E6"/>
            <w:vAlign w:val="center"/>
          </w:tcPr>
          <w:p>
            <w:pPr>
              <w:pStyle w:val="Compact"/>
              <w:jc w:val="left"/>
            </w:pPr>
            <w:r>
              <w:rPr>
                <w:b/>
                <w:bCs/>
              </w:rPr>
              <w:t xml:space="preserve">Block</w:t>
            </w:r>
          </w:p>
        </w:tc>
        <w:tc>
          <w:tcPr>
            <w:tcBorders>
              <w:bottom w:val="single" w:sz="8" w:space="0" w:color="000000"/>
            </w:tcBorders>
            <w:shd w:val="clear" w:color="auto" w:fill="E7E6E6"/>
            <w:vAlign w:val="center"/>
          </w:tcPr>
          <w:p>
            <w:pPr>
              <w:pStyle w:val="Compact"/>
              <w:jc w:val="left"/>
            </w:pPr>
            <w:r>
              <w:rPr>
                <w:b/>
                <w:bCs/>
              </w:rPr>
              <w:t xml:space="preserve">Transaction hash</w:t>
            </w:r>
          </w:p>
        </w:tc>
      </w:tr>
      <w:tr>
        <w:trPr>
          <w:cantSplit/>
        </w:trPr>
        <w:tc>
          <w:tcPr/>
          <w:p>
            <w:pPr>
              <w:pStyle w:val="Compact"/>
              <w:jc w:val="left"/>
            </w:pPr>
            <w:r>
              <w:t xml:space="preserve">#1</w:t>
            </w:r>
          </w:p>
        </w:tc>
        <w:tc>
          <w:tcPr/>
          <w:p>
            <w:pPr>
              <w:pStyle w:val="Compact"/>
              <w:jc w:val="left"/>
            </w:pPr>
            <w:r>
              <w:t xml:space="preserve">11750525</w:t>
            </w:r>
          </w:p>
        </w:tc>
        <w:tc>
          <w:tcPr/>
          <w:p>
            <w:pPr>
              <w:pStyle w:val="Compact"/>
              <w:jc w:val="left"/>
            </w:pPr>
            <w:r>
              <w:t xml:space="preserve">0x5bfb45ee43f180369161db5b2773593c8fab091bdc50e1b2054901c0de105367</w:t>
            </w:r>
          </w:p>
        </w:tc>
      </w:tr>
      <w:tr>
        <w:trPr>
          <w:cantSplit/>
        </w:trPr>
        <w:tc>
          <w:tcPr/>
          <w:p>
            <w:pPr>
              <w:pStyle w:val="Compact"/>
              <w:jc w:val="left"/>
            </w:pPr>
            <w:r>
              <w:t xml:space="preserve">#2</w:t>
            </w:r>
          </w:p>
        </w:tc>
        <w:tc>
          <w:tcPr/>
          <w:p>
            <w:pPr>
              <w:pStyle w:val="Compact"/>
              <w:jc w:val="left"/>
            </w:pPr>
            <w:r>
              <w:t xml:space="preserve">11750632</w:t>
            </w:r>
          </w:p>
        </w:tc>
        <w:tc>
          <w:tcPr/>
          <w:p>
            <w:pPr>
              <w:pStyle w:val="Compact"/>
              <w:jc w:val="left"/>
            </w:pPr>
            <w:r>
              <w:t xml:space="preserve">0x1b964596cdef2c67af345f566ea501a5be609a8e917097596b241e56fc522907</w:t>
            </w:r>
          </w:p>
        </w:tc>
      </w:tr>
      <w:tr>
        <w:trPr>
          <w:cantSplit/>
        </w:trPr>
        <w:tc>
          <w:tcPr/>
          <w:p>
            <w:pPr>
              <w:pStyle w:val="Compact"/>
              <w:jc w:val="left"/>
            </w:pPr>
            <w:r>
              <w:t xml:space="preserve">#3</w:t>
            </w:r>
          </w:p>
        </w:tc>
        <w:tc>
          <w:tcPr/>
          <w:p>
            <w:pPr>
              <w:pStyle w:val="Compact"/>
              <w:jc w:val="left"/>
            </w:pPr>
            <w:r>
              <w:t xml:space="preserve">11750702</w:t>
            </w:r>
          </w:p>
        </w:tc>
        <w:tc>
          <w:tcPr/>
          <w:p>
            <w:pPr>
              <w:pStyle w:val="Compact"/>
              <w:jc w:val="left"/>
            </w:pPr>
            <w:r>
              <w:t xml:space="preserve">0x6812ab1608bd475891d5a8c2007c6955e7225c06c81a649bd1735aabef251121</w:t>
            </w:r>
          </w:p>
        </w:tc>
      </w:tr>
      <w:tr>
        <w:trPr>
          <w:cantSplit/>
        </w:trPr>
        <w:tc>
          <w:tcPr/>
          <w:p>
            <w:pPr>
              <w:pStyle w:val="Compact"/>
              <w:jc w:val="left"/>
            </w:pPr>
            <w:r>
              <w:t xml:space="preserve">#4</w:t>
            </w:r>
          </w:p>
        </w:tc>
        <w:tc>
          <w:tcPr/>
          <w:p>
            <w:pPr>
              <w:pStyle w:val="Compact"/>
              <w:jc w:val="left"/>
            </w:pPr>
            <w:r>
              <w:t xml:space="preserve">11750722</w:t>
            </w:r>
          </w:p>
        </w:tc>
        <w:tc>
          <w:tcPr/>
          <w:p>
            <w:pPr>
              <w:pStyle w:val="Compact"/>
              <w:jc w:val="left"/>
            </w:pPr>
            <w:r>
              <w:t xml:space="preserve">0xa4c4156bd943578a6f8f29a536eb39e1acce238a86c5a4ad00d85eff497e014a</w:t>
            </w:r>
          </w:p>
        </w:tc>
      </w:tr>
    </w:tbl>
    <w:bookmarkEnd w:id="165"/>
    <w:bookmarkStart w:id="166" w:name="implementation-status-and-limitations"/>
    <w:p>
      <w:pPr>
        <w:pStyle w:val="Heading2"/>
      </w:pPr>
      <w:r>
        <w:t xml:space="preserve">7.13 Implementation Status and Limitations</w:t>
      </w:r>
    </w:p>
    <w:p>
      <w:pPr>
        <w:pStyle w:val="FirstParagraph"/>
      </w:pPr>
      <w:r>
        <w:t xml:space="preserve">The screenshots in Figures 7.1–7.5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6"/>
        </w:numPr>
      </w:pPr>
      <w:r>
        <w:t xml:space="preserve">Guardian signing keys are derived from the DID for demonstration; a deployment would use each guardian’s own wallet.</w:t>
      </w:r>
    </w:p>
    <w:p>
      <w:pPr>
        <w:pStyle w:val="Compact"/>
        <w:numPr>
          <w:ilvl w:val="0"/>
          <w:numId w:val="1076"/>
        </w:numPr>
      </w:pPr>
      <w:r>
        <w:t xml:space="preserve">DID verification is syntactic, and no W3C Verifiable Credential is yet issued or verified (Stage 2).</w:t>
      </w:r>
    </w:p>
    <w:p>
      <w:pPr>
        <w:pStyle w:val="Compact"/>
        <w:numPr>
          <w:ilvl w:val="0"/>
          <w:numId w:val="1076"/>
        </w:numPr>
      </w:pPr>
      <w:r>
        <w:t xml:space="preserve">The threshold is</w:t>
      </w:r>
      <w:r>
        <w:t xml:space="preserve"> </w:t>
      </w:r>
      <m:oMath>
        <m:r>
          <m:t>N</m:t>
        </m:r>
        <m:r>
          <m:rPr>
            <m:sty m:val="p"/>
          </m:rPr>
          <m:t>=</m:t>
        </m:r>
        <m:d>
          <m:dPr>
            <m:begChr m:val="|"/>
            <m:sepChr m:val=""/>
            <m:endChr m:val="|"/>
            <m:grow/>
          </m:dPr>
          <m:e>
            <m:r>
              <m:t>G</m:t>
            </m:r>
          </m:e>
        </m:d>
      </m:oMath>
      <w:r>
        <w:t xml:space="preserve"> </w:t>
      </w:r>
      <w:r>
        <w:t xml:space="preserve">(all designated guardians); configurable k-of-n thresholds are not yet supported.</w:t>
      </w:r>
    </w:p>
    <w:p>
      <w:pPr>
        <w:pStyle w:val="Compact"/>
        <w:numPr>
          <w:ilvl w:val="0"/>
          <w:numId w:val="1076"/>
        </w:numPr>
      </w:pPr>
      <w:r>
        <w:t xml:space="preserve">Purpose is checked against a fixed list; per-request purpose binding is Stage 2 work.</w:t>
      </w:r>
    </w:p>
    <w:p>
      <w:pPr>
        <w:pStyle w:val="Compact"/>
        <w:numPr>
          <w:ilvl w:val="0"/>
          <w:numId w:val="1076"/>
        </w:numPr>
      </w:pPr>
      <w:r>
        <w:t xml:space="preserve">Data release is gated by consent state, proof and scope rather than by the full decision matrix.</w:t>
      </w:r>
    </w:p>
    <w:p>
      <w:pPr>
        <w:pStyle w:val="Compact"/>
        <w:numPr>
          <w:ilvl w:val="0"/>
          <w:numId w:val="1076"/>
        </w:numPr>
      </w:pPr>
      <w:r>
        <w:t xml:space="preserve">Healthcare data are synthetic (Synthea [41]), and the blockchain is a public testnet rather than a production network.</w:t>
      </w:r>
    </w:p>
    <w:p>
      <w:pPr>
        <w:pStyle w:val="Compact"/>
        <w:numPr>
          <w:ilvl w:val="0"/>
          <w:numId w:val="1076"/>
        </w:numPr>
      </w:pPr>
      <w:r>
        <w:t xml:space="preserve">The Groth16 circuit proves consent validity only and uses a development-only trusted setup.</w:t>
      </w:r>
    </w:p>
    <w:p>
      <w:pPr>
        <w:pStyle w:val="Compact"/>
        <w:numPr>
          <w:ilvl w:val="0"/>
          <w:numId w:val="1076"/>
        </w:numPr>
      </w:pPr>
      <w:r>
        <w:t xml:space="preserve">Evaluation to date is functional (18 automated tests); performance and adversarial measurements are Stage 2 work.</w:t>
      </w:r>
    </w:p>
    <w:bookmarkEnd w:id="166"/>
    <w:bookmarkEnd w:id="167"/>
    <w:bookmarkStart w:id="174" w:name="current-progress-status"/>
    <w:p>
      <w:pPr>
        <w:pStyle w:val="Heading1"/>
      </w:pPr>
      <w:r>
        <w:t xml:space="preserve">8 Current Progress Status</w:t>
      </w:r>
    </w:p>
    <w:bookmarkStart w:id="168" w:name="X14610c74215ca842dde591adf203c91218a1a96"/>
    <w:p>
      <w:pPr>
        <w:pStyle w:val="Heading2"/>
      </w:pPr>
      <w:r>
        <w:t xml:space="preserve">8.1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In the HALAH prototype the consent object is implemented as</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(Section 7.2). This provides a conceptual basis for dynamic access decisions and allows subsequent authorisation conditions to be evaluated consistently.</w:t>
      </w:r>
    </w:p>
    <w:bookmarkEnd w:id="168"/>
    <w:bookmarkStart w:id="169" w:name="X559e9df15ebd031f98715062b5b54bf7a8f1d60"/>
    <w:p>
      <w:pPr>
        <w:pStyle w:val="Heading2"/>
      </w:pPr>
      <w:r>
        <w:t xml:space="preserve">8.2 Progress of RO2: Decentralised Identity and Authority</w:t>
      </w:r>
    </w:p>
    <w:p>
      <w:pPr>
        <w:pStyle w:val="FirstParagraph"/>
      </w:pPr>
      <w:r>
        <w:rPr>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 authorisation authority (Eq. (1)).</w:t>
      </w:r>
    </w:p>
    <w:p>
      <w:pPr>
        <w:pStyle w:val="BodyText"/>
      </w:pPr>
      <w:r>
        <w:t xml:space="preserve">A decentralised identifier is used to establish the identity of a participant, while verifiable credentials provide evidence concerning the participant’s role or authority. The identity verification condition is given by Eq. (8).</w:t>
      </w:r>
    </w:p>
    <w:p>
      <w:pPr>
        <w:pStyle w:val="BodyText"/>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 In the prototype, guardian approvals are EIP-712 signatures verified by public-key recovery; a wrong guardian, a wrong consent identifier or a missing signature is rejected (Table 7.3, T1).</w:t>
      </w:r>
    </w:p>
    <w:bookmarkEnd w:id="169"/>
    <w:bookmarkStart w:id="170" w:name="Xf706e6be99deea6c1433defe6c0978157a655ed"/>
    <w:p>
      <w:pPr>
        <w:pStyle w:val="Heading2"/>
      </w:pPr>
      <w:r>
        <w:t xml:space="preserve">8.3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 given by Eq. (9).</w:t>
      </w:r>
    </w:p>
    <w:p>
      <w:pPr>
        <w:pStyle w:val="BodyText"/>
      </w:pPr>
      <w:r>
        <w:t xml:space="preserve">If the threshold is not satisfied, the decision is DENY (Eq. (10)).</w:t>
      </w:r>
    </w:p>
    <w:p>
      <w:pPr>
        <w:pStyle w:val="BodyText"/>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with two guardians, one approval leaves the consent in the PENDING_SIGNATURE state, and two approvals followed by SBT minting activate it (Eqs. (22)–(23); Figure 7.2; Table 7.3, T3).</w:t>
      </w:r>
    </w:p>
    <w:p>
      <w:pPr>
        <w:pStyle w:val="BodyText"/>
      </w:pPr>
      <w:r>
        <w:t xml:space="preserve">This provides preliminary evidence that the proposed framework can enforce collective rather than unilateral authorisation.</w:t>
      </w:r>
    </w:p>
    <w:bookmarkEnd w:id="170"/>
    <w:bookmarkStart w:id="171" w:name="X8600b2f76ef27bbd75c7c71838aa9377b2ebdb3"/>
    <w:p>
      <w:pPr>
        <w:pStyle w:val="Heading2"/>
      </w:pPr>
      <w:r>
        <w:t xml:space="preserve">8.4 Progress of RO4: Policy-Aware Access Control</w:t>
      </w:r>
    </w:p>
    <w:p>
      <w:pPr>
        <w:pStyle w:val="FirstParagraph"/>
      </w:pPr>
      <w:r>
        <w:rPr>
          <w:b/>
          <w:bCs/>
        </w:rPr>
        <w:t xml:space="preserve">Status: Completed (prototype level)</w:t>
      </w:r>
    </w:p>
    <w:p>
      <w:pPr>
        <w:pStyle w:val="BodyText"/>
      </w:pPr>
      <w:r>
        <w:t xml:space="preserve">RO4 has been implemented at prototype level. The Doctor interface (Figures 7.3–7.4, Section 7.4) allows the requester to select only modules from the consented scope, and the service layer independently enforces</w:t>
      </w:r>
      <w:r>
        <w:t xml:space="preserve"> </w:t>
      </w:r>
      <m:oMath>
        <m:sSub>
          <m:e>
            <m:r>
              <m:t>S</m:t>
            </m:r>
          </m:e>
          <m:sub>
            <m:r>
              <m:t>R</m:t>
            </m:r>
          </m:sub>
        </m:sSub>
        <m:r>
          <m:rPr>
            <m:sty m:val="p"/>
          </m:rPr>
          <m:t>⊆</m:t>
        </m:r>
        <m:sSub>
          <m:e>
            <m:r>
              <m:t>S</m:t>
            </m:r>
          </m:e>
          <m:sub>
            <m:r>
              <m:t>C</m:t>
            </m:r>
          </m:sub>
        </m:sSub>
      </m:oMath>
      <w:r>
        <w:t xml:space="preserve"> </w:t>
      </w:r>
      <w:r>
        <w:t xml:space="preserve">(Eq. (25));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m:t>P</m:t>
            </m:r>
          </m:e>
          <m:sub>
            <m:r>
              <m:t>R</m:t>
            </m:r>
          </m:sub>
        </m:sSub>
        <m:r>
          <m:rPr>
            <m:sty m:val="p"/>
          </m:rPr>
          <m:t>⊨</m:t>
        </m:r>
        <m:sSub>
          <m:e>
            <m:r>
              <m:t>P</m:t>
            </m:r>
          </m:e>
          <m:sub>
            <m:r>
              <m:t>C</m:t>
            </m:r>
          </m:sub>
        </m:sSub>
      </m:oMath>
      <w:r>
        <w:t xml:space="preserve">) and routing data release through the full decision matrix are scheduled for Stage 2 (Section 6.4.1).</w:t>
      </w:r>
    </w:p>
    <w:bookmarkEnd w:id="171"/>
    <w:bookmarkStart w:id="172" w:name="X8e6146f09fe285d619620b5d8a35865b7344e11"/>
    <w:p>
      <w:pPr>
        <w:pStyle w:val="Heading2"/>
      </w:pPr>
      <w:r>
        <w:t xml:space="preserve">8.5 Progress of RO5: Temporal and Lifecycle Trust</w:t>
      </w:r>
    </w:p>
    <w:p>
      <w:pPr>
        <w:pStyle w:val="FirstParagraph"/>
      </w:pPr>
      <w:r>
        <w:rPr>
          <w:b/>
          <w:bCs/>
        </w:rPr>
        <w:t xml:space="preserve">Status: Partially completed (prototype; formal lifecycle analysis in Stage 2)</w:t>
      </w:r>
    </w:p>
    <w:p>
      <w:pPr>
        <w:pStyle w:val="BodyText"/>
      </w:pPr>
      <w:r>
        <w:t xml:space="preserve">A first version of RO5 is already operational in the HALAH prototype (Section 6.5.1); Stage 2 adds formal transition rules and adversarial evaluation. The objective is to introduce temporal and lifecycle trust so that consent is not considered permanently valid after creation or approval. The consent validity interval is represented as [</w:t>
      </w:r>
      <w:r>
        <w:rPr>
          <w:i/>
          <w:iCs/>
        </w:rPr>
        <w:t xml:space="preserve">t</w:t>
      </w:r>
      <w:r>
        <w:rPr>
          <w:vertAlign w:val="subscript"/>
        </w:rPr>
        <w:t xml:space="preserve">s</w:t>
      </w:r>
      <w:r>
        <w:rPr>
          <w:i/>
          <w:iCs/>
        </w:rPr>
        <w:t xml:space="preserve">, t</w:t>
      </w:r>
      <w:r>
        <w:rPr>
          <w:vertAlign w:val="subscript"/>
        </w:rPr>
        <w:t xml:space="preserve">e</w:t>
      </w:r>
      <w:r>
        <w:t xml:space="preserve">], with temporal validity defined by Eq. (12).</w:t>
      </w:r>
    </w:p>
    <w:p>
      <w:pPr>
        <w:pStyle w:val="BodyText"/>
      </w:pPr>
      <w:r>
        <w:t xml:space="preserve">The consent lifecycle will also be extended to represent controlled transitions such as those of Eq. (14).</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72"/>
    <w:bookmarkStart w:id="173" w:name="Xd9cfcdd9e757a6720ff3496d27d05dcd5fd4592"/>
    <w:p>
      <w:pPr>
        <w:pStyle w:val="Heading2"/>
      </w:pPr>
      <w:r>
        <w:t xml:space="preserve">8.6 Progress of RO6: Security Assurance and Validation</w:t>
      </w:r>
    </w:p>
    <w:p>
      <w:pPr>
        <w:pStyle w:val="FirstParagraph"/>
      </w:pPr>
      <w:r>
        <w:rPr>
          <w:b/>
          <w:bCs/>
        </w:rPr>
        <w:t xml:space="preserve">Status: Partially completed (SRQ1–SRQ4; 16 automated tests passed, Table 7.3)</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covers SRQ1–SRQ4 and the first SRQ5 checks (Section 7.11). Representative scenarios include valid identity verification, invalid identity or credential submission, insufficient multi-party approval, and successful completion of the required approval threshold. The central decision model is given by Eq. (6).</w:t>
      </w:r>
    </w:p>
    <w:p>
      <w:pPr>
        <w:pStyle w:val="BodyText"/>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73"/>
    <w:bookmarkEnd w:id="174"/>
    <w:bookmarkStart w:id="175" w:name="publications-summary"/>
    <w:p>
      <w:pPr>
        <w:pStyle w:val="Heading1"/>
      </w:pPr>
      <w:r>
        <w:t xml:space="preserve">9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TableCaption"/>
      </w:pPr>
      <w:r>
        <w:t xml:space="preserve">Table 9.1: Summary of Research Outputs and Publication Plan</w:t>
      </w:r>
    </w:p>
    <w:tbl>
      <w:tblPr>
        <w:tblStyle w:val="Table"/>
        <w:tblW w:type="pct" w:w="5000"/>
        <w:tblLayout w:type="fixed"/>
        <w:tblLook w:firstRow="1" w:lastRow="0" w:firstColumn="0" w:lastColumn="0" w:noHBand="0" w:noVBand="0" w:val="0020"/>
        <w:tblCaption w:val="Table 9.1: Summary of Research Outputs and Publication Plan"/>
      </w:tblPr>
      <w:tblGrid>
        <w:gridCol w:w="2207"/>
        <w:gridCol w:w="1341"/>
        <w:gridCol w:w="2163"/>
        <w:gridCol w:w="220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rPr>
                <w:rStyle w:val="PinkDelete"/>
              </w:rPr>
              <w:t xml:space="preserve">[name the target journal]</w:t>
            </w:r>
            <w:r>
              <w:rPr>
                <w:rStyle w:val="PinkFix"/>
              </w:rPr>
              <w:t xml:space="preserve">Computers &amp; Security (Elsevier)</w:t>
            </w:r>
          </w:p>
        </w:tc>
        <w:tc>
          <w:tcPr/>
          <w:p>
            <w:pPr>
              <w:pStyle w:val="Compact"/>
              <w:jc w:val="left"/>
            </w:pPr>
            <w:r>
              <w:t xml:space="preserve">Draft complete;</w:t>
            </w:r>
            <w:r>
              <w:t xml:space="preserve"> </w:t>
            </w:r>
            <w:r>
              <w:rPr>
                <w:rStyle w:val="PinkDelete"/>
              </w:rPr>
              <w:t xml:space="preserve">submission planned [month] 2026</w:t>
            </w:r>
            <w:r>
              <w:rPr>
                <w:rStyle w:val="PinkFix"/>
              </w:rPr>
              <w:t xml:space="preserve">submission planned November 2026</w:t>
            </w:r>
          </w:p>
        </w:tc>
        <w:tc>
          <w:tcPr/>
          <w:p>
            <w:pPr>
              <w:pStyle w:val="Compact"/>
              <w:jc w:val="left"/>
            </w:pPr>
            <w:r>
              <w:t xml:space="preserve">Core architectural contribution; addresses SRQ1-RQ4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Specialised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5).</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75"/>
    <w:bookmarkStart w:id="178" w:name="research-plan"/>
    <w:p>
      <w:pPr>
        <w:pStyle w:val="Heading1"/>
      </w:pPr>
      <w:r>
        <w:t xml:space="preserve">10 Research Plan</w:t>
      </w:r>
    </w:p>
    <w:p>
      <w:pPr>
        <w:pStyle w:val="FirstParagraph"/>
      </w:pPr>
      <w:r>
        <w:t xml:space="preserve">The research plan is divided into two major stages corresponding to current and next stage.</w:t>
      </w:r>
    </w:p>
    <w:bookmarkStart w:id="176" w:name="current-stage-completed-and-current-work"/>
    <w:p>
      <w:pPr>
        <w:pStyle w:val="Heading2"/>
      </w:pPr>
      <w:r>
        <w:t xml:space="preserve">10.1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RO1–RO4 have been implemented at prototype level and initially validated through the HALAH prototype (Chapter 7), and a first version of RO5 (expiry and revocation) is already operational.</w:t>
      </w:r>
    </w:p>
    <w:bookmarkEnd w:id="176"/>
    <w:bookmarkStart w:id="177" w:name="next-stage-planned-work"/>
    <w:p>
      <w:pPr>
        <w:pStyle w:val="Heading2"/>
      </w:pPr>
      <w:r>
        <w:t xml:space="preserve">10.2 Next Stage: Planned Work</w:t>
      </w:r>
    </w:p>
    <w:p>
      <w:pPr>
        <w:pStyle w:val="FirstParagraph"/>
      </w:pPr>
      <w:r>
        <w:t xml:space="preserve">The next stage will build upon the foundational trust-oriented authorisation framework established during the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 next stage 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The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10.1.</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10.1: Next Stage Research Activities, Methodological Focus, and Expected Outcomes</w:t>
      </w:r>
    </w:p>
    <w:tbl>
      <w:tblPr>
        <w:tblStyle w:val="Table"/>
        <w:tblW w:type="pct" w:w="5000"/>
        <w:tblLayout w:type="fixed"/>
        <w:tblLook w:firstRow="1" w:lastRow="0" w:firstColumn="0" w:lastColumn="0" w:noHBand="0" w:noVBand="0" w:val="0020"/>
        <w:tblCaption w:val="Table 10.1: Next Stage Research Activities, Methodological Focus, and Expected Outcomes"/>
      </w:tblPr>
      <w:tblGrid>
        <w:gridCol w:w="2640"/>
        <w:gridCol w:w="264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35</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next stage 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77"/>
    <w:bookmarkEnd w:id="178"/>
    <w:bookmarkStart w:id="179" w:name="references"/>
    <w:p>
      <w:pPr>
        <w:pStyle w:val="Heading1"/>
      </w:pPr>
      <w:r>
        <w:t xml:space="preserve">References</w:t>
      </w:r>
    </w:p>
    <w:p>
      <w:pPr>
        <w:pStyle w:val="ReviewerNotePara"/>
      </w:pPr>
      <w:r>
        <w:rPr>
          <w:rStyle w:val="ReviewerNote"/>
        </w:rPr>
        <w:t xml:space="preserve">Reference [8] removed: outside the review scope (human-rights archival case study). It is no longer cited anywhere in the report; renumber the list when the report is recompiled.</w:t>
      </w:r>
    </w:p>
    <w:p>
      <w:pPr>
        <w:pStyle w:val="ReviewerNotePara"/>
      </w:pPr>
      <w:r>
        <w:rPr>
          <w:rStyle w:val="ReviewerNote"/>
        </w:rPr>
        <w:t xml:space="preserve">Reference [17] removed: outside the review scope (smart agriculture). It is no longer cited anywhere in the report; renumber the list when the report is recompiled.</w:t>
      </w:r>
    </w:p>
    <w:p>
      <w:pPr>
        <w:pStyle w:val="ReviewerNotePara"/>
      </w:pPr>
      <w:r>
        <w:rPr>
          <w:rStyle w:val="ReviewerNote"/>
        </w:rPr>
        <w:t xml:space="preserve">Reference [18] removed: outside the review scope (information theory of ledgers). It is no longer cited anywhere in the report; renumber the list when the report is recompiled.</w:t>
      </w:r>
    </w:p>
    <w:p>
      <w:pPr>
        <w:pStyle w:val="ReviewerNotePara"/>
      </w:pPr>
      <w:r>
        <w:rPr>
          <w:rStyle w:val="ReviewerNote"/>
        </w:rPr>
        <w:t xml:space="preserve">Reference [21] removed: could not be verified in any bibliographic database. It is no longer cited anywhere in the report; renumber the list when the report is recompiled.</w:t>
      </w:r>
    </w:p>
    <w:p>
      <w:pPr>
        <w:pStyle w:val="ReviewerNotePara"/>
      </w:pPr>
      <w:r>
        <w:rPr>
          <w:rStyle w:val="ReviewerNote"/>
        </w:rPr>
        <w:t xml:space="preserve">Reference [29] removed: outside the review scope (big-data decision-making review); replaced by Garcia et al. 2022. It is no longer cited anywhere in the report; renumber the list when the report is recompiled.</w:t>
      </w:r>
    </w:p>
    <w:p>
      <w:pPr>
        <w:pStyle w:val="ReviewerNotePara"/>
      </w:pPr>
      <w:r>
        <w:rPr>
          <w:rStyle w:val="ReviewerNote"/>
        </w:rPr>
        <w:t xml:space="preserve">Reference [30] removed: outside the review scope (smart cities). It is no longer cited anywhere in the report; renumber the list when the report is recompiled.</w:t>
      </w:r>
    </w:p>
    <w:p>
      <w:pPr>
        <w:pStyle w:val="BodyText"/>
      </w:pPr>
      <w:r>
        <w:t xml:space="preserve">[1]</w:t>
      </w:r>
      <w:r>
        <w:t xml:space="preserve"> </w:t>
      </w:r>
      <w:r>
        <w:rPr>
          <w:rStyle w:val="PinkDelete"/>
        </w:rPr>
        <w:t xml:space="preserve">Abdul Ghafoor, Iraklis Symeonidis,</w:t>
      </w:r>
      <w:r>
        <w:rPr>
          <w:rStyle w:val="PinkFix"/>
        </w:rPr>
        <w:t xml:space="preserve">Abdul Ghafoor Abbasi, Iraklis Symeonidis,</w:t>
      </w:r>
      <w:r>
        <w:t xml:space="preserve"> </w:t>
      </w:r>
      <w:r>
        <w:t xml:space="preserve">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[2]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[3]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[4]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w:t>
      </w:r>
      <w:r>
        <w:t xml:space="preserve"> </w:t>
      </w:r>
      <w:r>
        <w:rPr>
          <w:rStyle w:val="PinkDelete"/>
        </w:rPr>
        <w:t xml:space="preserve">2022</w:t>
      </w:r>
      <w:r>
        <w:rPr>
          <w:rStyle w:val="PinkFix"/>
        </w:rPr>
        <w:t xml:space="preserve">2023</w:t>
      </w:r>
      <w:r>
        <w:t xml:space="preserve">.</w:t>
      </w:r>
    </w:p>
    <w:p>
      <w:pPr>
        <w:pStyle w:val="PinkFixPara"/>
      </w:pPr>
      <w:r>
        <w:rPr>
          <w:rStyle w:val="PinkFix"/>
        </w:rPr>
        <w:t xml:space="preserve">[5] Marcela Tuler de Oliveira, Lúcio Henrik A. Reis, Yiannis Verginadis, Diogo M. F. Mattos, and Sílvia D. Olabarriaga. SmartAccess: Attribute-based access control system for medical records based on smart contracts.</w:t>
      </w:r>
      <w:r>
        <w:rPr>
          <w:rStyle w:val="PinkFix"/>
        </w:rPr>
        <w:t xml:space="preserve"> </w:t>
      </w:r>
      <w:r>
        <w:rPr>
          <w:rStyle w:val="PinkFix"/>
          <w:i/>
          <w:iCs/>
        </w:rPr>
        <w:t xml:space="preserve">IEEE Access</w:t>
      </w:r>
      <w:r>
        <w:rPr>
          <w:rStyle w:val="PinkFix"/>
        </w:rPr>
        <w:t xml:space="preserve">, 10:117836–117854, 2022. doi:10.1109/ACCESS.2022.3217201.</w:t>
      </w:r>
    </w:p>
    <w:p>
      <w:pPr>
        <w:pStyle w:val="BodyText"/>
      </w:pPr>
      <w:r>
        <w:t xml:space="preserve">[6]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[7]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r>
        <w:t xml:space="preserve"> </w:t>
      </w:r>
      <w:r>
        <w:rPr>
          <w:rStyle w:val="PinkFix"/>
        </w:rPr>
        <w:t xml:space="preserve">Corrigendum: vol. 98, 104383, 2026.</w:t>
      </w:r>
    </w:p>
    <w:p>
      <w:pPr>
        <w:pStyle w:val="PinkDeletePara"/>
      </w:pPr>
      <w:r>
        <w:rPr>
          <w:rStyle w:val="PinkDelete"/>
        </w:rPr>
        <w:t xml:space="preserve">[8] Remy Hellstern, Daniel C Park, Victoria Lemieux, and Guldana Salimjan. Leveraging blockchain-based archival solutions for sensitive documentation: A Xinjiang case study.</w:t>
      </w:r>
      <w:r>
        <w:rPr>
          <w:rStyle w:val="PinkDelete"/>
        </w:rPr>
        <w:t xml:space="preserve"> </w:t>
      </w:r>
      <w:r>
        <w:rPr>
          <w:rStyle w:val="PinkDelete"/>
          <w:i/>
          <w:iCs/>
        </w:rPr>
        <w:t xml:space="preserve">Digital Society</w:t>
      </w:r>
      <w:r>
        <w:rPr>
          <w:rStyle w:val="PinkDelete"/>
        </w:rPr>
        <w:t xml:space="preserve">, 1(1):4, 2022.</w:t>
      </w:r>
    </w:p>
    <w:p>
      <w:pPr>
        <w:pStyle w:val="PinkFixPara"/>
      </w:pPr>
      <w:r>
        <w:rPr>
          <w:rStyle w:val="PinkFix"/>
        </w:rPr>
        <w:t xml:space="preserve">[8] Rodrigo Dutra Garcia, Gowri Ramachandran, Raja Jurdak, and Jó Ueyama. Blockchain-aided and privacy-preserving data governance in multi-stakeholder applications.</w:t>
      </w:r>
      <w:r>
        <w:rPr>
          <w:rStyle w:val="PinkFix"/>
        </w:rPr>
        <w:t xml:space="preserve"> </w:t>
      </w:r>
      <w:r>
        <w:rPr>
          <w:rStyle w:val="PinkFix"/>
          <w:i/>
          <w:iCs/>
        </w:rPr>
        <w:t xml:space="preserve">IEEE Transactions on Network and Service Management</w:t>
      </w:r>
      <w:r>
        <w:rPr>
          <w:rStyle w:val="PinkFix"/>
        </w:rPr>
        <w:t xml:space="preserve">, 19(4):3781–3793, 2022. doi:10.1109/TNSM.2022.3225254.</w:t>
      </w:r>
    </w:p>
    <w:p>
      <w:pPr>
        <w:pStyle w:val="BodyText"/>
      </w:pPr>
      <w:r>
        <w:t xml:space="preserve">[9]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PinkFixPara"/>
      </w:pPr>
      <w:r>
        <w:rPr>
          <w:rStyle w:val="PinkFix"/>
        </w:rPr>
        <w:t xml:space="preserve">[10] Josefin Hagström, Charlotte Blease, Barbara Haage, Isabella Scandurra, Scharlett Hansson, and Maria Hägglund. Views, use, and experiences of web-based access to pediatric electronic health records for children, adolescents, and parents: Scoping review.</w:t>
      </w:r>
      <w:r>
        <w:rPr>
          <w:rStyle w:val="PinkFix"/>
        </w:rPr>
        <w:t xml:space="preserve"> </w:t>
      </w:r>
      <w:r>
        <w:rPr>
          <w:rStyle w:val="PinkFix"/>
          <w:i/>
          <w:iCs/>
        </w:rPr>
        <w:t xml:space="preserve">Journal of Medical Internet Research</w:t>
      </w:r>
      <w:r>
        <w:rPr>
          <w:rStyle w:val="PinkFix"/>
        </w:rPr>
        <w:t xml:space="preserve">, 24(11):e40328, 2022. doi:10.2196/40328.</w:t>
      </w:r>
    </w:p>
    <w:p>
      <w:pPr>
        <w:pStyle w:val="BodyText"/>
      </w:pPr>
      <w:r>
        <w:t xml:space="preserve">[11]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[12]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[13]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[14]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[15]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[16]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[17]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PinkDeletePara"/>
      </w:pPr>
      <w:r>
        <w:rPr>
          <w:rStyle w:val="PinkDelete"/>
        </w:rP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w:t>
      </w:r>
      <w:r>
        <w:rPr>
          <w:rStyle w:val="PinkDelete"/>
        </w:rPr>
        <w:t xml:space="preserve"> </w:t>
      </w:r>
      <w:r>
        <w:rPr>
          <w:rStyle w:val="PinkDelete"/>
          <w:i/>
          <w:iCs/>
        </w:rPr>
        <w:t xml:space="preserve">Sensors</w:t>
      </w:r>
      <w:r>
        <w:rPr>
          <w:rStyle w:val="PinkDelete"/>
        </w:rPr>
        <w:t xml:space="preserve">, 26(14):4577, 2026.</w:t>
      </w:r>
    </w:p>
    <w:p>
      <w:pPr>
        <w:pStyle w:val="BodyText"/>
      </w:pPr>
      <w:r>
        <w:t xml:space="preserve">[18]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PinkDeletePara"/>
      </w:pPr>
      <w:r>
        <w:rPr>
          <w:rStyle w:val="PinkDelete"/>
        </w:rPr>
        <w:t xml:space="preserve">[18] Lanlan Li, Charles Z Liu, and Sanjeeb Shrestha. Analytical entropy approach for mea-suring blockchain immutability and tamper-resilient trust.</w:t>
      </w:r>
      <w:r>
        <w:rPr>
          <w:rStyle w:val="PinkDelete"/>
        </w:rPr>
        <w:t xml:space="preserve"> </w:t>
      </w:r>
      <w:r>
        <w:rPr>
          <w:rStyle w:val="PinkDelete"/>
          <w:i/>
          <w:iCs/>
        </w:rPr>
        <w:t xml:space="preserve">Entropy</w:t>
      </w:r>
      <w:r>
        <w:rPr>
          <w:rStyle w:val="PinkDelete"/>
        </w:rP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w:t>
      </w:r>
      <w:r>
        <w:t xml:space="preserve"> </w:t>
      </w:r>
      <w:r>
        <w:rPr>
          <w:rStyle w:val="PinkFix"/>
        </w:rPr>
        <w:t xml:space="preserve">27(6):3641–3671,</w:t>
      </w:r>
      <w:r>
        <w:t xml:space="preserve">2025.</w:t>
      </w:r>
    </w:p>
    <w:p>
      <w:pPr>
        <w:pStyle w:val="PinkDeletePara"/>
      </w:pPr>
      <w:r>
        <w:rPr>
          <w:rStyle w:val="PinkDelete"/>
        </w:rPr>
        <w:t xml:space="preserve">[21] Andrei McCall. Privacy-preserving interoperability in healthcare data ecosystems: balancing data sharing with individual autonomy.</w:t>
      </w:r>
      <w:r>
        <w:rPr>
          <w:rStyle w:val="PinkDelete"/>
        </w:rPr>
        <w:t xml:space="preserve"> </w:t>
      </w:r>
      <w:r>
        <w:rPr>
          <w:rStyle w:val="PinkDelete"/>
          <w:i/>
          <w:iCs/>
        </w:rPr>
        <w:t xml:space="preserve">IEEE J. Biomed. Health Inform</w:t>
      </w:r>
      <w:r>
        <w:rPr>
          <w:rStyle w:val="PinkDelete"/>
        </w:rPr>
        <w:t xml:space="preserve">, 28(3):1234–1245, 2024.</w:t>
      </w:r>
    </w:p>
    <w:p>
      <w:pPr>
        <w:pStyle w:val="BodyText"/>
      </w:pPr>
      <w:r>
        <w:t xml:space="preserve">[21]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[22]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[23]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[24]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[25]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[26]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PinkFixPara"/>
      </w:pPr>
      <w:r>
        <w:rPr>
          <w:rStyle w:val="PinkFix"/>
        </w:rPr>
        <w:t xml:space="preserve">[27] Sudip Phuyal, Manila Bhandari, Rabindra Bista, and João Carlos Ferreira. Blockchain-based dynamic and revocable consent for secondary health data use: Systematic review.</w:t>
      </w:r>
      <w:r>
        <w:rPr>
          <w:rStyle w:val="PinkFix"/>
        </w:rPr>
        <w:t xml:space="preserve"> </w:t>
      </w:r>
      <w:r>
        <w:rPr>
          <w:rStyle w:val="PinkFix"/>
          <w:i/>
          <w:iCs/>
        </w:rPr>
        <w:t xml:space="preserve">JMIR Medical Informatics</w:t>
      </w:r>
      <w:r>
        <w:rPr>
          <w:rStyle w:val="PinkFix"/>
        </w:rPr>
        <w:t xml:space="preserve">, 14:e88536, 2026. doi:10.2196/88536.</w:t>
      </w:r>
    </w:p>
    <w:p>
      <w:pPr>
        <w:pStyle w:val="PinkFixPara"/>
      </w:pPr>
      <w:r>
        <w:rPr>
          <w:rStyle w:val="PinkFix"/>
        </w:rPr>
        <w:t xml:space="preserve">[28] Isabel Román, Jorge Calvillo-Arbizu, Vicente Mayor, Germán Madinabeitia-Luque, Antonio Estepa, and Rafael Estepa. Blockchain-based service-oriented architecture for consent management, access control, and auditing.</w:t>
      </w:r>
      <w:r>
        <w:rPr>
          <w:rStyle w:val="PinkFix"/>
        </w:rPr>
        <w:t xml:space="preserve"> </w:t>
      </w:r>
      <w:r>
        <w:rPr>
          <w:rStyle w:val="PinkFix"/>
          <w:i/>
          <w:iCs/>
        </w:rPr>
        <w:t xml:space="preserve">IEEE Access</w:t>
      </w:r>
      <w:r>
        <w:rPr>
          <w:rStyle w:val="PinkFix"/>
        </w:rPr>
        <w:t xml:space="preserve">, 11:12727–12741, 2023. doi:10.1109/ACCESS.2023.3242605.</w:t>
      </w:r>
    </w:p>
    <w:p>
      <w:pPr>
        <w:pStyle w:val="PinkDeletePara"/>
      </w:pPr>
      <w:r>
        <w:rPr>
          <w:rStyle w:val="PinkDelete"/>
        </w:rPr>
        <w:t xml:space="preserve">[29] Leonidas Theodorakopoulos, Alexandra Theodoropoulou, and Constantinos Halkiopou-los. Enhancing decentralized decision-making with big data and blockchain technology: A comprehensive review.</w:t>
      </w:r>
      <w:r>
        <w:rPr>
          <w:rStyle w:val="PinkDelete"/>
        </w:rPr>
        <w:t xml:space="preserve"> </w:t>
      </w:r>
      <w:r>
        <w:rPr>
          <w:rStyle w:val="PinkDelete"/>
          <w:i/>
          <w:iCs/>
        </w:rPr>
        <w:t xml:space="preserve">Applied Sciences</w:t>
      </w:r>
      <w:r>
        <w:rPr>
          <w:rStyle w:val="PinkDelete"/>
        </w:rPr>
        <w:t xml:space="preserve">, 14(16):7007, 2024.</w:t>
      </w:r>
    </w:p>
    <w:p>
      <w:pPr>
        <w:pStyle w:val="PinkFixPara"/>
      </w:pPr>
      <w:r>
        <w:rPr>
          <w:rStyle w:val="PinkFix"/>
        </w:rPr>
        <w:t xml:space="preserve">[29] Kheng-Leong Tan, Chi-Hung Chi, and Kwok-Yan Lam. Secure and privacy-preserving sharing of personal health records with multi-party pre-authorization verification.</w:t>
      </w:r>
      <w:r>
        <w:rPr>
          <w:rStyle w:val="PinkFix"/>
        </w:rPr>
        <w:t xml:space="preserve"> </w:t>
      </w:r>
      <w:r>
        <w:rPr>
          <w:rStyle w:val="PinkFix"/>
          <w:i/>
          <w:iCs/>
        </w:rPr>
        <w:t xml:space="preserve">Wireless Networks</w:t>
      </w:r>
      <w:r>
        <w:rPr>
          <w:rStyle w:val="PinkFix"/>
        </w:rPr>
        <w:t xml:space="preserve">, 30:4773–4795, 2024. doi:10.1007/s11276-022-03114-6.</w:t>
      </w:r>
    </w:p>
    <w:p>
      <w:pPr>
        <w:pStyle w:val="BodyText"/>
      </w:pPr>
      <w:r>
        <w:t xml:space="preserve">[30]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PinkDeletePara"/>
      </w:pPr>
      <w:r>
        <w:rPr>
          <w:rStyle w:val="PinkDelete"/>
        </w:rPr>
        <w:t xml:space="preserve">[30] Mohammad Nawab Turan, Irshad Ahmed Hashimzai, and Mohammad Qaseem Qiam. A blockchain-based framework for secure and transparent environmental data sharing in smart cities: Enhancing trust, integrity, and interoperability in urban sustainability systems.</w:t>
      </w:r>
      <w:r>
        <w:rPr>
          <w:rStyle w:val="PinkDelete"/>
        </w:rPr>
        <w:t xml:space="preserve"> </w:t>
      </w:r>
      <w:r>
        <w:rPr>
          <w:rStyle w:val="PinkDelete"/>
          <w:i/>
          <w:iCs/>
        </w:rPr>
        <w:t xml:space="preserve">Nata Palemahan: Journal of Environmental Engineering Innovations</w:t>
      </w:r>
      <w:r>
        <w:rPr>
          <w:rStyle w:val="PinkDelete"/>
        </w:rPr>
        <w:t xml:space="preserve">, 2(2):70–79, 2025.</w:t>
      </w:r>
    </w:p>
    <w:p>
      <w:pPr>
        <w:pStyle w:val="PinkFixPara"/>
      </w:pPr>
      <w:r>
        <w:rPr>
          <w:rStyle w:val="PinkFix"/>
        </w:rPr>
        <w:t xml:space="preserve">[31] Faheem Ullah, Jingsha He, Nafei Zhu, Ahsan Wajahat, Ahsan Nazir, Sirajuddin Qureshi, Muhammad Salman Pathan, and Soumyabrata Dev. Blockchain-enabled EHR access auditing: Enhancing healthcare data security.</w:t>
      </w:r>
      <w:r>
        <w:rPr>
          <w:rStyle w:val="PinkFix"/>
        </w:rPr>
        <w:t xml:space="preserve"> </w:t>
      </w:r>
      <w:r>
        <w:rPr>
          <w:rStyle w:val="PinkFix"/>
          <w:i/>
          <w:iCs/>
        </w:rPr>
        <w:t xml:space="preserve">Heliyon</w:t>
      </w:r>
      <w:r>
        <w:rPr>
          <w:rStyle w:val="PinkFix"/>
        </w:rPr>
        <w:t xml:space="preserve">, 10(16):e34407, 2024. doi:10.1016/j.heliyon.2024.e34407.</w:t>
      </w:r>
    </w:p>
    <w:p>
      <w:pPr>
        <w:pStyle w:val="BodyText"/>
      </w:pPr>
      <w:r>
        <w:t xml:space="preserve">[32]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PinkFixPara"/>
      </w:pPr>
      <w:r>
        <w:rPr>
          <w:rStyle w:val="PinkFix"/>
        </w:rPr>
        <w:t xml:space="preserve">[33] Cindy Welzel, Max Ostermann, H. Jeff Smith, Timo Minssen, Toralf Kirsten, and Stephen Gilbert. Enabling secure and self determined health data sharing and consent management.</w:t>
      </w:r>
      <w:r>
        <w:rPr>
          <w:rStyle w:val="PinkFix"/>
        </w:rPr>
        <w:t xml:space="preserve"> </w:t>
      </w:r>
      <w:r>
        <w:rPr>
          <w:rStyle w:val="PinkFix"/>
          <w:i/>
          <w:iCs/>
        </w:rPr>
        <w:t xml:space="preserve">npj Digital Medicine</w:t>
      </w:r>
      <w:r>
        <w:rPr>
          <w:rStyle w:val="PinkFix"/>
        </w:rPr>
        <w:t xml:space="preserve">, 8:560, 2025. doi:10.1038/s41746-025-01945-z.</w:t>
      </w:r>
    </w:p>
    <w:p>
      <w:pPr>
        <w:pStyle w:val="PinkFixPara"/>
      </w:pPr>
      <w:r>
        <w:rPr>
          <w:rStyle w:val="PinkFix"/>
        </w:rPr>
        <w:t xml:space="preserve">[34] Nadeem Yaqub, Jianbiao Zhang, Muhammad Irfan Khalid, Weiru Wang, Markus Helfert, Mansoor Ahmed, and Jungsuk Kim. Blockchain enabled policy-based access control mechanism to restrict unauthorized access to electronic health records.</w:t>
      </w:r>
      <w:r>
        <w:rPr>
          <w:rStyle w:val="PinkFix"/>
        </w:rPr>
        <w:t xml:space="preserve"> </w:t>
      </w:r>
      <w:r>
        <w:rPr>
          <w:rStyle w:val="PinkFix"/>
          <w:i/>
          <w:iCs/>
        </w:rPr>
        <w:t xml:space="preserve">PeerJ Computer Science</w:t>
      </w:r>
      <w:r>
        <w:rPr>
          <w:rStyle w:val="PinkFix"/>
        </w:rPr>
        <w:t xml:space="preserve">, 11:e2647, 2025. doi:10.7717/peerj-cs.2647.</w:t>
      </w:r>
    </w:p>
    <w:p>
      <w:pPr>
        <w:pStyle w:val="BodyText"/>
      </w:pPr>
      <w:r>
        <w:t xml:space="preserve">[35]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[36]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[37]</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[38]</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[39]</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[40]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[41]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[42] Remco Bloemen, Leonid Logvinov, and Jacob Evans. EIP-712: Typed structured data hashing and signing. Ethereum Improvement Proposals, 2017. https://eips.ethereum.org/EIPS/eip-712.</w:t>
      </w:r>
    </w:p>
    <w:p>
      <w:pPr>
        <w:pStyle w:val="BodyText"/>
      </w:pPr>
      <w:r>
        <w:t xml:space="preserve">[43] ERC-5484: Consensual Soulbound Tokens. Ethereum Improvement Proposals, 2022. https://eips.ethereum.org/EIPS/eip-5484.</w:t>
      </w:r>
    </w:p>
    <w:p>
      <w:pPr>
        <w:pStyle w:val="BodyText"/>
      </w:pPr>
      <w:r>
        <w:t xml:space="preserve">[44] W3C. Decentralized Identifiers (DIDs) v1.0. W3C Recommendation, 2022. https://www.w3.org/TR/did-core/.</w:t>
      </w:r>
    </w:p>
    <w:p>
      <w:pPr>
        <w:pStyle w:val="BodyText"/>
      </w:pPr>
      <w:r>
        <w:t xml:space="preserve">[45] W3C. Verifiable Credentials Data Model v2.0. W3C Recommendation, 2025. https://www.w3.org/TR/vc-data-model-2.0/.</w:t>
      </w:r>
    </w:p>
    <w:bookmarkEnd w:id="179"/>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customStyle="1" w:styleId="GreenDelete" w:type="character">
    <w:name w:val="Green Delete"/>
    <w:rPr>
      <w:strike/>
      <w:color w:val="00803C"/>
    </w:rPr>
  </w:style>
  <w:style w:customStyle="1" w:styleId="GreenFix" w:type="character">
    <w:name w:val="Green Fix"/>
    <w:rPr>
      <w:color w:val="00803C"/>
    </w:rPr>
  </w:style>
  <w:style w:customStyle="1" w:styleId="BlueAdd" w:type="character">
    <w:name w:val="Blue Add"/>
    <w:rPr>
      <w:color w:val="0050C8"/>
    </w:rPr>
  </w:style>
  <w:style w:customStyle="1" w:styleId="GreenDeletePara" w:type="paragraph">
    <w:name w:val="Green Delete Para"/>
    <w:basedOn w:val="BodyText"/>
    <w:rPr>
      <w:rFonts w:ascii="Times New Roman" w:cs="Times New Roman" w:eastAsia="Times New Roman" w:hAnsi="Times New Roman"/>
      <w:color w:val="00803C"/>
      <w:sz w:val="24"/>
    </w:rPr>
  </w:style>
  <w:style w:customStyle="1" w:styleId="GreenFixPara" w:type="paragraph">
    <w:name w:val="Green Fix Para"/>
    <w:basedOn w:val="BodyText"/>
    <w:rPr>
      <w:rFonts w:ascii="Times New Roman" w:cs="Times New Roman" w:eastAsia="Times New Roman" w:hAnsi="Times New Roman"/>
      <w:color w:val="00803C"/>
      <w:sz w:val="24"/>
    </w:rPr>
  </w:style>
  <w:style w:customStyle="1" w:styleId="BlueAddPara" w:type="paragraph">
    <w:name w:val="Blue Add Para"/>
    <w:basedOn w:val="BodyText"/>
    <w:rPr>
      <w:rFonts w:ascii="Times New Roman" w:cs="Times New Roman" w:eastAsia="Times New Roman" w:hAnsi="Times New Roman"/>
      <w:color w:val="0050C8"/>
      <w:sz w:val="24"/>
    </w:rPr>
  </w:style>
  <w:style w:customStyle="1" w:styleId="PinkDelete" w:type="character">
    <w:name w:val="Pink Delete"/>
    <w:rPr>
      <w:strike/>
      <w:color w:val="D6008A"/>
    </w:rPr>
  </w:style>
  <w:style w:customStyle="1" w:styleId="PinkFix" w:type="character">
    <w:name w:val="Pink Fix"/>
    <w:rPr>
      <w:color w:val="D6008A"/>
    </w:rPr>
  </w:style>
  <w:style w:customStyle="1" w:styleId="PinkDeletePara" w:type="paragraph">
    <w:name w:val="Pink Delete Para"/>
    <w:basedOn w:val="BodyText"/>
    <w:rPr>
      <w:rFonts w:ascii="Times New Roman" w:cs="Times New Roman" w:eastAsia="Times New Roman" w:hAnsi="Times New Roman"/>
      <w:color w:val="D6008A"/>
      <w:sz w:val="24"/>
    </w:rPr>
  </w:style>
  <w:style w:customStyle="1" w:styleId="PinkFixPara" w:type="paragraph">
    <w:name w:val="Pink Fix Para"/>
    <w:basedOn w:val="BodyText"/>
    <w:rPr>
      <w:rFonts w:ascii="Times New Roman" w:cs="Times New Roman" w:eastAsia="Times New Roman" w:hAnsi="Times New Roman"/>
      <w:color w:val="D6008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20" Target="media/rId120.png" /><Relationship Type="http://schemas.openxmlformats.org/officeDocument/2006/relationships/image" Id="rId127" Target="media/rId127.png" /><Relationship Type="http://schemas.openxmlformats.org/officeDocument/2006/relationships/image" Id="rId160" Target="media/rId1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2026-09-29T07:06:36Z</dcterms:created>
  <dcterms:modified xsi:type="dcterms:W3CDTF">2026-09-29T07:06:36Z</dcterms:modified>
</cp:coreProperties>
</file>

<file path=docProps/custom.xml><?xml version="1.0" encoding="utf-8"?>
<Properties xmlns="http://schemas.openxmlformats.org/officeDocument/2006/custom-properties" xmlns:vt="http://schemas.openxmlformats.org/officeDocument/2006/docPropsVTypes"/>
</file>