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13</w:t>
      </w:r>
    </w:p>
    <w:p>
      <w:pPr>
        <w:tabs>
          <w:tab w:val="right" w:pos="9128" w:leader="dot"/>
        </w:tabs>
        <w:spacing w:after="100"/>
      </w:pPr>
      <w:r>
        <w:rPr>
          <w:rFonts w:ascii="Times New Roman" w:cs="Times New Roman" w:eastAsia="Times New Roman" w:hAnsi="Times New Roman"/>
          <w:sz w:val="22"/>
          <w:szCs w:val="22"/>
        </w:rPr>
        <w:t xml:space="preserve">4. Research Objectives	16</w:t>
      </w:r>
    </w:p>
    <w:p>
      <w:pPr>
        <w:tabs>
          <w:tab w:val="right" w:pos="9128" w:leader="dot"/>
        </w:tabs>
        <w:spacing w:after="100"/>
      </w:pPr>
      <w:r>
        <w:rPr>
          <w:rFonts w:ascii="Times New Roman" w:cs="Times New Roman" w:eastAsia="Times New Roman" w:hAnsi="Times New Roman"/>
          <w:sz w:val="22"/>
          <w:szCs w:val="22"/>
        </w:rPr>
        <w:t xml:space="preserve">5. Research Architecture: MVC	18</w:t>
      </w:r>
    </w:p>
    <w:p>
      <w:pPr>
        <w:tabs>
          <w:tab w:val="right" w:pos="9128" w:leader="dot"/>
        </w:tabs>
        <w:spacing w:after="100"/>
      </w:pPr>
      <w:r>
        <w:rPr>
          <w:rFonts w:ascii="Times New Roman" w:cs="Times New Roman" w:eastAsia="Times New Roman" w:hAnsi="Times New Roman"/>
          <w:sz w:val="22"/>
          <w:szCs w:val="22"/>
        </w:rPr>
        <w:t xml:space="preserve">6. The Proposed Solution for RO1	24</w:t>
      </w:r>
    </w:p>
    <w:p>
      <w:pPr>
        <w:tabs>
          <w:tab w:val="right" w:pos="9128" w:leader="dot"/>
        </w:tabs>
        <w:spacing w:after="100"/>
      </w:pPr>
      <w:r>
        <w:rPr>
          <w:rFonts w:ascii="Times New Roman" w:cs="Times New Roman" w:eastAsia="Times New Roman" w:hAnsi="Times New Roman"/>
          <w:sz w:val="22"/>
          <w:szCs w:val="22"/>
        </w:rPr>
        <w:t xml:space="preserve">7. The Proposed Solution for RO2	28</w:t>
      </w:r>
    </w:p>
    <w:p>
      <w:pPr>
        <w:tabs>
          <w:tab w:val="right" w:pos="9128" w:leader="dot"/>
        </w:tabs>
        <w:spacing w:after="100"/>
      </w:pPr>
      <w:r>
        <w:rPr>
          <w:rFonts w:ascii="Times New Roman" w:cs="Times New Roman" w:eastAsia="Times New Roman" w:hAnsi="Times New Roman"/>
          <w:sz w:val="22"/>
          <w:szCs w:val="22"/>
        </w:rPr>
        <w:t xml:space="preserve">8. The Proposed Solution for RO3	31</w:t>
      </w:r>
    </w:p>
    <w:p>
      <w:pPr>
        <w:tabs>
          <w:tab w:val="right" w:pos="9128" w:leader="dot"/>
        </w:tabs>
        <w:spacing w:after="100"/>
      </w:pPr>
      <w:r>
        <w:rPr>
          <w:rFonts w:ascii="Times New Roman" w:cs="Times New Roman" w:eastAsia="Times New Roman" w:hAnsi="Times New Roman"/>
          <w:sz w:val="22"/>
          <w:szCs w:val="22"/>
        </w:rPr>
        <w:t xml:space="preserve">9. The Proposed Solution for RO4	36</w:t>
      </w:r>
    </w:p>
    <w:p>
      <w:pPr>
        <w:tabs>
          <w:tab w:val="right" w:pos="9128" w:leader="dot"/>
        </w:tabs>
        <w:spacing w:after="100"/>
      </w:pPr>
      <w:r>
        <w:rPr>
          <w:rFonts w:ascii="Times New Roman" w:cs="Times New Roman" w:eastAsia="Times New Roman" w:hAnsi="Times New Roman"/>
          <w:sz w:val="22"/>
          <w:szCs w:val="22"/>
        </w:rPr>
        <w:t xml:space="preserve">10. The Proposed Solution for RO5	40</w:t>
      </w:r>
    </w:p>
    <w:p>
      <w:pPr>
        <w:tabs>
          <w:tab w:val="right" w:pos="9128" w:leader="dot"/>
        </w:tabs>
        <w:spacing w:after="100"/>
      </w:pPr>
      <w:r>
        <w:rPr>
          <w:rFonts w:ascii="Times New Roman" w:cs="Times New Roman" w:eastAsia="Times New Roman" w:hAnsi="Times New Roman"/>
          <w:sz w:val="22"/>
          <w:szCs w:val="22"/>
        </w:rPr>
        <w:t xml:space="preserve">11. The Proposed Solution for RO6	43</w:t>
      </w:r>
    </w:p>
    <w:p>
      <w:pPr>
        <w:tabs>
          <w:tab w:val="right" w:pos="9128" w:leader="dot"/>
        </w:tabs>
        <w:spacing w:after="100"/>
      </w:pPr>
      <w:r>
        <w:rPr>
          <w:rFonts w:ascii="Times New Roman" w:cs="Times New Roman" w:eastAsia="Times New Roman" w:hAnsi="Times New Roman"/>
          <w:sz w:val="22"/>
          <w:szCs w:val="22"/>
        </w:rPr>
        <w:t xml:space="preserve">12. Publications Summary	56</w:t>
      </w:r>
    </w:p>
    <w:p>
      <w:pPr>
        <w:tabs>
          <w:tab w:val="right" w:pos="9128" w:leader="dot"/>
        </w:tabs>
        <w:spacing w:after="100"/>
      </w:pPr>
      <w:r>
        <w:rPr>
          <w:rFonts w:ascii="Times New Roman" w:cs="Times New Roman" w:eastAsia="Times New Roman" w:hAnsi="Times New Roman"/>
          <w:sz w:val="22"/>
          <w:szCs w:val="22"/>
        </w:rPr>
        <w:t xml:space="preserve">13. Research Plan	57</w:t>
      </w:r>
    </w:p>
    <w:p>
      <w:pPr>
        <w:tabs>
          <w:tab w:val="right" w:pos="9128" w:leader="dot"/>
        </w:tabs>
        <w:spacing w:after="100"/>
      </w:pPr>
      <w:r>
        <w:rPr>
          <w:rFonts w:ascii="Times New Roman" w:cs="Times New Roman" w:eastAsia="Times New Roman" w:hAnsi="Times New Roman"/>
          <w:sz w:val="22"/>
          <w:szCs w:val="22"/>
        </w:rPr>
        <w:t xml:space="preserve">References	59</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Six review roles covered five perspectives and a chair who decided each record, and all counts are those of the decision-log checkpoint of 10 September 2026 (decision D-166).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searches ran on 24 and 25 August 2026, and the ACM Digital Library on 5 September 2026 as a late arm, a declared limitation.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1,800 records advanced to full text and were read in a prioritised order under a dimension-level saturation rule. Records that were clearly unrelated to the review scope were excluded at that stage. Saturation is declared when eight consecutively coded studies with a positive signal for a dimension yield no new mechanism class. At the checkpoint, 44 reports had been fully coded and passed the quality gate, whereas 1,735 of the 1,800 records had not been assessed, so corpus completeness is bounded by the saturation rule rather than by exhaustive reading.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w:t>
      </w: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Both studies of this stream are deployed platforms graded Partial. Soohoo et al. [50] describe the iAgree portal across three United States health systems with a permissioned Ethereum audit contract, but consent enforcement is outside its scope. Tremper et al. [51] report ten years of the Mainzelliste service with FHIR consent directives, but specify no check semantics and no demonstrated enforcement of withdrawal. Both are single-party systems. The supporting references represent consent as a permission indicating whether a particular party is allowed to perform a specified operation [52, 53], or as conditions fixed at encryption time [54, 55].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[57]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[58] apply a (t, n) investigator threshold to record admission and revocation, and Abbasi et al. [59] use a Shamir (5, 3) threshold for key custody. Punia et al. [25] conjoin an M-of-N multi-signature with an attribute and role policy, but a single emergency officer can bypass the threshold. Tan et al. [26] use patient-appointed verifiers as a contingency, and [27, 60] report guardian co-consent at registration time.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the first study to enforce temporal validity inside the decision predicate, although its lifecycle is only an active flag. Temporal validity must also be evaluated together with the lifecycle state of the consent. Hema et al. [61]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the first complete formal assurance in the corpus, although only for the identity and authority fragment. Zhao and Su [62] and Maruthi and Singh [63] prove threshold gates in isolation, and Mei et al. [64] prove a static encryption predicate. Formal assurance is coded Yes in only 4 of the 25 studies, and empirical validation Yes in 5, Partial in 19, and No in 1. The panel records an inverse relation between predicate breadth and assurance strength. No study executes adversarial scenarios that examine whether security controls can resist deliberate attempts to circumvent the authorisation process.</w:t>
      </w: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1 summarises the 25 studies against the six requirements, where ✓ denotes satisfied, ~ partially satisfied, and × not satisfied.</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Comparison of the included studies and the proposed framework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[59]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[65]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[60]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[62]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[63]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[64]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[61]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[50]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[51]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[57]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[58]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Proposed framework (HALAH)</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[62, 63].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The final row of Table 1 positions the proposed framework relative to the existing literature.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marked ✓ for each requirement in Table 1" title="Synthesis of the review: the conjunction gap and the assurance gap addressed by the proposed framework, with the number of the 25 analysed studies marked ✓ for each requirement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marked ✓ for each requirement in Table 1.</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The saturation rule and a single coding panel mean that a small number of relevant studies may have been missed. The consistency between the coding of the included studies and the signal prevalence of the wider pool limits, but does not remove, this risk.</w:t>
      </w: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[52, 53,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58, 62], or appointed by the patient [26, 63]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lifecycle validity is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determines whether the recorded jurisdictional constraint of the consent is satisfied. Lifecycle validity and revocation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60], an institution-side admission gate [58], a custodial M-of-N signature [25], or a key-share reconstruction [59, 63].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 ∧ Authority(a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Valid}.</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2.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verification condition can be expressed as Equation (7), 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N, and 0 if |A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title="RO4 workflow for policy- and context-aware access control (in the current prototype, a refusal for a consent that is not ACTIVE is reported in the doctor interface and is not written to the audit ledger, whereas every decision on an ACTIVE consent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Conversely, Equation (24) states that if any mandatory condition is violated, the request must be denied.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purpose is compatible with the consent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3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4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5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6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4</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7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8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9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10.</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Abdul Ghafoor, Iraklis Symeonidis, Anna Rydberg, Cecilia Lindahl, and Abdul Qadus Abbasi. Towards empowering stakeholders through decentralized trust and secure livestock data sharing. Cryptography, 9(3):52, 2025.</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Richard K. Lomotey, Sandra Kumi, and Ralph Deters. Data trusts as a service: Providing a platform for multi-party data sharing. International Journal of Information Management Data Insights, 2(1):100075,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Thanh Linh Nguyen, Lam Nguyen, Thong Hoang, Dilum Bandara, Qin Wang, Qinghua Lu, Xiwei Xu, Liming Zhu, and Shiping Chen. Blockchain-empowered trustworthy data sharing: Fundamentals, applications, and challenges. ACM Computing Surveys, 57(8):1–36,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Emily C. Webber, David Brick, James P. Scibilia, Peter Dehnel, Council on Clinical Information Technology, et al. Electronic communication of the health record and information with pediatric patients and their guardians. Pediatrics, 144(1):e20191359, 2019.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Cindy Welzel, Max Ostermann, Hannah Louise Smith, Timo Minssen, Toralf Kirsten, and Stephen Gilbert. Enabling secure and self determined health data sharing and consent management. npj Digital Medicine, 8(1):560, 2025.</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Minal R. Narkhede, Nilesh I. Wankhede, and Akanksha M. Kamble. Enhancing patient autonomy in data ownership: Privacy models and consent frameworks for healthcare. Journal of Digital Health, 4(1):1–23, 2025.</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Roy McClelland and Colin M. Harper. Information privacy in healthcare: The vital role of informed consent. European Journal of Health Law, 30(4):469–480, 2023.</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Katya Kaplow, Max Downey, Darren Stewart, Allan B. Massie, Jennifer D. Motter, Lauren Taylor, John Massarelli, Taylor Matalon, Carolyn Sidoti, Macey L. Levan, et al. Data professionals’ attitudes on data privacy, sharing, and consent in healthcare and research. Digital Health, 10:20552076241290964, 2024.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Aleena Nazir, Mubashir Husain Rehmani, Bernard Butler, and Donna O’Shea. Access control in healthcare IoT: A comprehensive survey. Engineering Reports, 8(4):e70766,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Ahmed M. Tawfik, Ayman Al-Ahwal, Adly S. Tag Eldien, and Hala H. Zayed. Blockchain-based access control and privacy preservation in healthcare: A comprehensive survey. Cluster Computing, 28(8):529,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BMC Nursing, 23(1):564, 2024.</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Leonidas Theodorakopoulos, Alexandra Theodoropoulou, and Constantinos Halkiopoulos. Enhancing decentralized decision-making with big data and blockchain technology: A comprehensive review. Applied Sciences, 14(16):7007,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Abdullah Al Mamun, Sami Azam, and Clementine Gritti. Blockchain-based electronic health records management: A comprehensive review and future research direction. IEEE Access, 10:5768–5789,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Remy Hellstern, Daniel C. Park, Victoria Lemieux, and Guldana Salimjan. Leveraging blockchain-based archival solutions for sensitive documentation: A Xinjiang case study. Digital Society, 1(1):4, 2022.</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Lanlan Li, Charles Z. Liu, and Sanjeeb Shrestha. Analytical entropy approach for measuring blockchain immutability and tamper-resilient trust. Entropy, 28(6):690, 2026.</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Carlo Mazzocca, Abbas Acar, Selcuk Uluagac, Rebecca Montanari, Paolo Bellavista, and Mauro Conti. A survey on decentralized identifiers and verifiable credentials. IEEE Communications Surveys &amp; Tutorials, 27:3641–3671, 2025.</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Andrea Flamini, Giada Sciarretta, Mario Scuro, Amir Sharif, Alessandro Tomasi, and Silvio Ranise. On cryptographic mechanisms for the selective disclosure of verifiable credentials. Journal of Information Security and Applications, 83:103789, 2024.</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Deva Priya Isravel, K. Martin Sagayam, Bharat Bhushan, Yuichi Sei, and Jennifer Eunice. Blockchain for healthcare systems: Architecture, security challenges, trends and future directions. Journal of Network and Computer Applications, 215:103633, 2023.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Muhammad Irfan Khalid, Mansoor Ahmed, Markus Helfert, and Jungsuk Kim. Privacy-first paradigm for dynamic consent management systems: empowering data subjects through decentralized data controllers and privacy-preserving techniques. Electronics, 12(24):4973, 2023.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Vitor Jesus and Harshvardhan J. Pandit. Consent receipts for a usable and auditable web of personal data. IEEE Access, 10:28545–28563, 2022.</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N.S. Gill, D. Kaushik, N. Alduaiji, P.K. Shukla, et al. An access control system for cloud-based healthcare systems driven by blockchain. Journal of Cloud Computing,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D.P. Panagoulias, A.I. Damian, C. Stamate, V. Toderian, P. Butusina, A. De Franceschi, et al. Blockchain-Enabled Trust and Compliance for Clinical AI: Decentralized Governance Without Decentralized Data Storage. Electronics,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Behnam Khayer, Siamak Mirzaei, Hooman Alavizadeh, and Ahmad Salehi Shahraki. Blockchain for secure IoT: A review of identity management, access control, and trust mechanisms. IoT, 6(4):65, 2025.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2025 IEEE International Conference on Distributed Ledger Technologies (ICDLT),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Lanlan Li, Charles Z. Liu, Kejia Huang, Ruiyi Deng, Majed Abdullah Alrowaily, Mansoor Alghamdi, Ibrahim S. Alkhazi, and Malek Alrashidi. Trust-aware environmental state consensus for smart agriculture with TEE-enabled sensing and Byzantine-resilient blockchain coordination. Sensors, 26(14):4577, 2026.</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Jason Walonoski, Mark Kramer, Joseph Nichols, Andre Quina, Chris Moesel, Dylan Hall, Carlton Duffett, Kudakwashe Dube, Thomas Gallagher, and Scott McLachlan.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Alexander Kharlamov, Roland Hohmann, and Glenn Parry. Data sharing decisions: perceptions and intentions in healthcare. Strategic Change, 32(6):223–237,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Pranto Kumar Ghosh, Arindom Chakraborty, Mehedi Hasan, Khalid Rashid, and Abdul Hasib Siddique. Blockchain application in healthcare systems: A review. Systems, 11(1):38,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Mohammad Salar Arbabi, Chhagan Lal, Narasimha Raghavan Veeraragavan, Dusica Marijan, Jan F. Nygård, and Roman Vitenberg. A survey on blockchain for healthcare: Challenges, benefits, and future directions. IEEE Communications Surveys &amp; Tutorials, 25(1):386–424,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Jie Yin, Yang Xiao, Qian Chen, Xuefeng Liu, Qingqi Pei, Jianying Zhou, et al. DP-DID: A dynamic and proactive decentralized identity system. IEEE Transactions on Information Forensics and Security, 20:4999–5014, 2025.</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Haotian Deng, Jinwen Liang, Chuan Zhang, Ximeng Liu, Liehuang Zhu, and Song Guo. FutureDID: A fully decentralized identity system with multi-party verification. IEEE Transactions on Computers, 73(8):2051–2065,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Chalima Dimitra Nassar Kyriakidou, Athanasia Maria Papathanasiou, and George C. Polyzos. Decentralized identity with applications to security and privacy for the internet of things. Computer Networks and Communications, 1(2):244–271,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Rohini Poolat Parameswarath, Prosanta Gope, and Biplab Sikdar. User-empowered privacy-preserving authentication protocol for electric vehicle charging based on decentralized identity and verifiable credential. ACM Transactions on Management Information Systems, 13(4):1–21, 2022.</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Hongjian Yin, Yiming Zhao, Lei Zhang, Baojun Qiao, Wenbo Chen, and Huaqing Wang. Attribute-based searchable encryption with decentralized key management for healthcare data sharing. Journal of Systems Architecture, 148:103081, 2024.</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Rong Jiang, Xue Chen, Yimin Yu, Ying Zhang, and Weiping Ding. Risk and UCON-based access control model for healthcare big data. Journal of Big Data, 10(1):104, 2023.</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Matthew J. Page, Joanne E. McKenzie, Patrick M. Bossuyt, Isabelle Boutron, Tammy C. Hoffmann, Cynthia D. Mulrow, et al. The PRISMA 2020 statement: an updated guideline for reporting systematic reviews. BMJ, 372:n71, 2021.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2025 International Conference on Electrical, Computer and Communication Engineering (ECCE),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A. Teeda and Y.V. Subba Rao. A Patient-Centric Blockchain Based Electronic Health Records for Data Privacy and Confidentiality. Lecture Notes in Networks and Systems,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ACM International Conference Proceeding Series,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J.C. Ferreira. A Blockchain-Based Architecture for Dynamic and Auditable Patient Consent in Secondary Use of Health Data. Blockchain in Healthcare Today,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C.-H. Tseng, Y.-H. Hsieh, H.-Y. Lin, and S.-M. Yuan. EMR-Chain: Decentralized Electronic Medical Record Exchange System. Technologies,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Lecture Notes in Networks and Systems,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Hema S., Goli Bulli Sai Reddy, and Shalini R. Patient Centric Cryptographic Protection of Cloud Electronic Health Records. 2026 6th International Conference on Expert Clouds and Applications (ICOECA),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Proceedings of the International Conference on Security and Cryptography,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d9b70e0eaa25f5f5d21b8faa7cf1d44cf9ebdbb6.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5dda75865b8a7d4d8bbd3d4e406d6ac57f913b3c.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2026-10-03T07:47:14.368Z</dcterms:created>
  <dcterms:modified xsi:type="dcterms:W3CDTF">2026-10-03T07:47:14.369Z</dcterms:modified>
</cp:coreProperties>
</file>

<file path=docProps/custom.xml><?xml version="1.0" encoding="utf-8"?>
<Properties xmlns="http://schemas.openxmlformats.org/officeDocument/2006/custom-properties" xmlns:vt="http://schemas.openxmlformats.org/officeDocument/2006/docPropsVTypes"/>
</file>