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decided each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searches ran on 24 and 25 August 2026, and the ACM Digital Library on 5 September 2026 as a late arm, a declared limitation.</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read in a prioritised order under a dimension-level saturation rule.</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44 reports had been fully coded and passed the quality gate, whereas 1,735 of the 1,800 records had not been assessed, so corpus completeness is bounded by the saturation rule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Both studies of this stream are deployed platforms graded Partial.</w:t>
      </w:r>
      <w:r>
        <w:rPr>
          <w:rFonts w:ascii="Times New Roman" w:cs="Times New Roman" w:eastAsia="Times New Roman" w:hAnsi="Times New Roman"/>
          <w:color w:val="00A000"/>
          <w:sz w:val="22"/>
          <w:szCs w:val="22"/>
        </w:rPr>
        <w:t xml:space="preserve"> Soohoo et al. [50]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[51]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Both are single-party systems.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[52, 53], or as conditions fixed at encryption time [54, 55].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[57]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[58] apply a (t, n) investigator threshold to record admission and revocation, and Abbasi et al. [59]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and [27, 60] report guardian co-consent at registration time.</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the first study to enforce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[61]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the first complete formal assurance in the corpus, although only for the identity and authority fragment.</w:t>
      </w:r>
      <w:r>
        <w:rPr>
          <w:rFonts w:ascii="Times New Roman" w:cs="Times New Roman" w:eastAsia="Times New Roman" w:hAnsi="Times New Roman"/>
          <w:color w:val="00A000"/>
          <w:sz w:val="22"/>
          <w:szCs w:val="22"/>
        </w:rPr>
        <w:t xml:space="preserve"> Zhao and Su [62] and Maruthi and Singh [63] prove threshold gates in isolation, and Mei et al. [64]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sz w:val="22"/>
          <w:szCs w:val="22"/>
        </w:rPr>
        <w:t xml:space="preserve">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[62, 63].</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w:t>
      </w:r>
      <w:r>
        <w:rPr>
          <w:rFonts w:ascii="Times New Roman" w:cs="Times New Roman" w:eastAsia="Times New Roman" w:hAnsi="Times New Roman"/>
          <w:sz w:val="22"/>
          <w:szCs w:val="22"/>
        </w:rPr>
        <w:t xml:space="preserve"> The final row of Table 1 positions the proposed framework relative to the existing literature.</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marked ✓ for each requirement in Table 1" title="Synthesis of the review: the conjunction gap and the assurance gap addressed by the proposed framework, with the number of the 25 analysed studies marked ✓ for each requirement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marked ✓ for each requirement in Table 1.</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saturation rule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[52, 53,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lifecycle validity is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determines whether the recorded jurisdictional constraint of the consent is satisfied.</w:t>
      </w:r>
      <w:r>
        <w:rPr>
          <w:rFonts w:ascii="Times New Roman" w:cs="Times New Roman" w:eastAsia="Times New Roman" w:hAnsi="Times New Roman"/>
          <w:color w:val="00A000"/>
          <w:sz w:val="22"/>
          <w:szCs w:val="22"/>
        </w:rPr>
        <w:t xml:space="preserve"> Lifecycle validity and revocation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sz w:val="22"/>
          <w:szCs w:val="22"/>
        </w:rPr>
        <w:t xml:space="preserve"> The identity verification condition can be expressed as Equation (7), where u is the requesting participant.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sz w:val="22"/>
          <w:szCs w:val="22"/>
        </w:rPr>
        <w:t xml:space="preserve"> The authorisation condition can then be represented as Equation (8).</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For example, where two approvals are required,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title="RO4 workflow for policy- and context-aware access control (in the current prototype, a refusal for a consent that is not ACTIVE is reported in the doctor interface and is not written to the audit ledger, whereas every decision on an ACTIVE consent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incompatible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that if any mandatory condition is violated, the request must be denied.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sz w:val="22"/>
          <w:szCs w:val="22"/>
        </w:rPr>
        <w:t xml:space="preserve"> A request is permitted only when the purpose is compatible with the consent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d9b70e0eaa25f5f5d21b8faa7cf1d44cf9ebdbb6.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2026-10-03T07:47:22.330Z</dcterms:created>
  <dcterms:modified xsi:type="dcterms:W3CDTF">2026-10-03T07:47:22.330Z</dcterms:modified>
</cp:coreProperties>
</file>

<file path=docProps/custom.xml><?xml version="1.0" encoding="utf-8"?>
<Properties xmlns="http://schemas.openxmlformats.org/officeDocument/2006/custom-properties" xmlns:vt="http://schemas.openxmlformats.org/officeDocument/2006/docPropsVTypes"/>
</file>