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pPr>
        <w:spacing w:after="200" w:before="200"/>
        <w:jc w:val="center"/>
      </w:pPr>
      <w:r>
        <w:rPr>
          <w:rFonts w:ascii="Cambria" w:cs="Cambria" w:eastAsia="Cambria" w:hAnsi="Cambria"/>
          <w:b/>
          <w:bCs/>
          <w:color w:val="0000CC"/>
          <w:sz w:val="28"/>
          <w:szCs w:val="28"/>
        </w:rPr>
        <w:t xml:space="preserve">Abstract</w:t>
      </w:r>
    </w:p>
    <w:p>
      <w:pPr>
        <w:spacing w:after="140" w:line="300"/>
        <w:jc w:val="both"/>
      </w:pPr>
      <w:r>
        <w:rPr>
          <w:rFonts w:ascii="Cambria" w:cs="Cambria" w:eastAsia="Cambria" w:hAnsi="Cambria"/>
          <w:color w:val="0000CC"/>
          <w:sz w:val="24"/>
          <w:szCs w:val="24"/>
        </w:rPr>
        <w:t xml:space="preserve">Healthcare data sharing increasingly requires authorisation decisions in which the patient, a guardian set G, the authorised doctor D and institutional authorities participate without belonging to a single administrative domain. Existing blockchain-based consent systems establish these conditions individually, and several combine three or four of them, but no reviewed system evaluates in every access decision who the participants are, whether they hold the authority to approve, whether the required collective approval has been obtained, whether the requested purpose and data scope match the consent, and whether the consent is still valid at the time of the request, and none assures that conjunction formally.</w:t>
      </w:r>
    </w:p>
    <w:p>
      <w:pPr>
        <w:spacing w:after="140" w:line="300"/>
        <w:jc w:val="both"/>
      </w:pPr>
      <w:r>
        <w:rPr>
          <w:rFonts w:ascii="Cambria" w:cs="Cambria" w:eastAsia="Cambria" w:hAnsi="Cambria"/>
          <w:color w:val="0000CC"/>
          <w:sz w:val="24"/>
          <w:szCs w:val="24"/>
        </w:rPr>
        <w:t xml:space="preserve">This research proposes HALAH, a trust-oriented authorisation framework in which patient consent is represented as an evaluable consent object C = (I, A, P, T, L, E) rather than as a static permission record. Six research objectives are addressed: a trust-centric consent model (RO1), decentralised identity and authority trust using decentralised identifiers and verifiable credentials (RO2), trustworthy multi-party authorisation through a threshold N over the guardian set G (RO3), policy- and context-aware access control (RO4), temporal and lifecycle trust with expiry and revocation (RO5), and formal security assurance with empirical validation (RO6). A systematic literature review of 44 primary studies, structured by six requirements, shows that no reviewed study satisfies all six requirements together and that the strongest multi-party and policy mechanisms provide no formal assurance of the authorisation decision. The framework is realised through a Model–View–Controller architecture, six procedures with their algorithms, and a prototype deployed on the Ethereum Sepolia testnet, in which consent activation and revocation are anchored as verifiable transactions and every access decision is the conjunction of the five trust predicates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The current stage delivers RO1 to RO5 in operational form together with the empirical component of RO6, evidenced by 23 automated tests, a live jurisdiction-based denial, an on-chain revocation followed by refusal and an independent verification of every recorded transaction. The formal component of RO6, together with consent modification, delegation and a performance study, constitutes the next stage of the research.</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8</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10</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16</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17</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18</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2.3.7 Data Extraction, Quality Assessment and Synthesis</w:t>
      </w:r>
      <w:r>
        <w:rPr>
          <w:rFonts w:ascii="Cambria" w:cs="Cambria" w:eastAsia="Cambria" w:hAnsi="Cambria"/>
          <w:sz w:val="20"/>
          <w:szCs w:val="20"/>
        </w:rPr>
        <w:t xml:space="preserve">	27</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30</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34</w:t>
      </w:r>
    </w:p>
    <w:p>
      <w:pPr>
        <w:tabs>
          <w:tab w:val="right" w:pos="9360" w:leader="dot"/>
        </w:tabs>
        <w:spacing w:after="60"/>
        <w:ind w:left="720"/>
      </w:pPr>
      <w:r>
        <w:rPr>
          <w:rFonts w:ascii="Cambria" w:cs="Cambria" w:eastAsia="Cambria" w:hAnsi="Cambria"/>
          <w:b w:val="false"/>
          <w:bCs w:val="false"/>
          <w:sz w:val="20"/>
          <w:szCs w:val="20"/>
        </w:rPr>
        <w:t xml:space="preserve">2.4.1 Consent Representation and Blockchain-Based Consent Governance</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2.4.2 Decentralised Identity and Authority Trust</w:t>
      </w:r>
      <w:r>
        <w:rPr>
          <w:rFonts w:ascii="Cambria" w:cs="Cambria" w:eastAsia="Cambria" w:hAnsi="Cambria"/>
          <w:sz w:val="20"/>
          <w:szCs w:val="20"/>
        </w:rPr>
        <w:t xml:space="preserve">	41</w:t>
      </w:r>
    </w:p>
    <w:p>
      <w:pPr>
        <w:tabs>
          <w:tab w:val="right" w:pos="9360" w:leader="dot"/>
        </w:tabs>
        <w:spacing w:after="60"/>
        <w:ind w:left="720"/>
      </w:pPr>
      <w:r>
        <w:rPr>
          <w:rFonts w:ascii="Cambria" w:cs="Cambria" w:eastAsia="Cambria" w:hAnsi="Cambria"/>
          <w:b w:val="false"/>
          <w:bCs w:val="false"/>
          <w:sz w:val="20"/>
          <w:szCs w:val="20"/>
        </w:rPr>
        <w:t xml:space="preserve">2.4.3 Multi-Party Authorisation and Collaborative Consent</w:t>
      </w:r>
      <w:r>
        <w:rPr>
          <w:rFonts w:ascii="Cambria" w:cs="Cambria" w:eastAsia="Cambria" w:hAnsi="Cambria"/>
          <w:sz w:val="20"/>
          <w:szCs w:val="20"/>
        </w:rPr>
        <w:t xml:space="preserve">	45</w:t>
      </w:r>
    </w:p>
    <w:p>
      <w:pPr>
        <w:tabs>
          <w:tab w:val="right" w:pos="9360" w:leader="dot"/>
        </w:tabs>
        <w:spacing w:after="60"/>
        <w:ind w:left="720"/>
      </w:pPr>
      <w:r>
        <w:rPr>
          <w:rFonts w:ascii="Cambria" w:cs="Cambria" w:eastAsia="Cambria" w:hAnsi="Cambria"/>
          <w:b w:val="false"/>
          <w:bCs w:val="false"/>
          <w:sz w:val="20"/>
          <w:szCs w:val="20"/>
        </w:rPr>
        <w:t xml:space="preserve">2.4.4 Policy- and Context-Aware Access Control</w:t>
      </w:r>
      <w:r>
        <w:rPr>
          <w:rFonts w:ascii="Cambria" w:cs="Cambria" w:eastAsia="Cambria" w:hAnsi="Cambria"/>
          <w:sz w:val="20"/>
          <w:szCs w:val="20"/>
        </w:rPr>
        <w:t xml:space="preserve">	51</w:t>
      </w:r>
    </w:p>
    <w:p>
      <w:pPr>
        <w:tabs>
          <w:tab w:val="right" w:pos="9360" w:leader="dot"/>
        </w:tabs>
        <w:spacing w:after="60"/>
        <w:ind w:left="720"/>
      </w:pPr>
      <w:r>
        <w:rPr>
          <w:rFonts w:ascii="Cambria" w:cs="Cambria" w:eastAsia="Cambria" w:hAnsi="Cambria"/>
          <w:b w:val="false"/>
          <w:bCs w:val="false"/>
          <w:sz w:val="20"/>
          <w:szCs w:val="20"/>
        </w:rPr>
        <w:t xml:space="preserve">2.4.5 Temporal Validity and Consent Lifecycle</w:t>
      </w:r>
      <w:r>
        <w:rPr>
          <w:rFonts w:ascii="Cambria" w:cs="Cambria" w:eastAsia="Cambria" w:hAnsi="Cambria"/>
          <w:sz w:val="20"/>
          <w:szCs w:val="20"/>
        </w:rPr>
        <w:t xml:space="preserve">	55</w:t>
      </w:r>
    </w:p>
    <w:p>
      <w:pPr>
        <w:tabs>
          <w:tab w:val="right" w:pos="9360" w:leader="dot"/>
        </w:tabs>
        <w:spacing w:after="60"/>
        <w:ind w:left="720"/>
      </w:pPr>
      <w:r>
        <w:rPr>
          <w:rFonts w:ascii="Cambria" w:cs="Cambria" w:eastAsia="Cambria" w:hAnsi="Cambria"/>
          <w:b w:val="false"/>
          <w:bCs w:val="false"/>
          <w:sz w:val="20"/>
          <w:szCs w:val="20"/>
        </w:rPr>
        <w:t xml:space="preserve">2.4.6 Formal Security Assurance and Empirical Validation</w:t>
      </w:r>
      <w:r>
        <w:rPr>
          <w:rFonts w:ascii="Cambria" w:cs="Cambria" w:eastAsia="Cambria" w:hAnsi="Cambria"/>
          <w:sz w:val="20"/>
          <w:szCs w:val="20"/>
        </w:rPr>
        <w:t xml:space="preserve">	59</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65</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68</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71</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75</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77</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77</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79</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80</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80</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82</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83</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84</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85</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89</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89</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90</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91</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94</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94</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96</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98</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99</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100</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101</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105</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106</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107</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108</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109</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109</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110</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111</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114</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114</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114</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116</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119</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119</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120</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120</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123</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124</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124</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125</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128</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129</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130</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131</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132</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135</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136</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137</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139</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140</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141</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141</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146</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147</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149</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149</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153</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155</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159</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164</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165</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169</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171</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171</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172</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173</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174</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176</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176</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 Trust</w:t>
      </w:r>
      <w:r>
        <w:rPr>
          <w:rFonts w:ascii="Cambria" w:cs="Cambria" w:eastAsia="Cambria" w:hAnsi="Cambria"/>
          <w:sz w:val="22"/>
          <w:szCs w:val="22"/>
        </w:rPr>
        <w:t xml:space="preserve">	176</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177</w:t>
      </w:r>
    </w:p>
    <w:p>
      <w:pPr>
        <w:tabs>
          <w:tab w:val="right" w:pos="9360" w:leader="dot"/>
        </w:tabs>
        <w:spacing w:after="60"/>
        <w:ind w:left="360"/>
      </w:pPr>
      <w:r>
        <w:rPr>
          <w:rFonts w:ascii="Cambria" w:cs="Cambria" w:eastAsia="Cambria" w:hAnsi="Cambria"/>
          <w:b w:val="false"/>
          <w:bCs w:val="false"/>
          <w:sz w:val="22"/>
          <w:szCs w:val="22"/>
        </w:rPr>
        <w:t xml:space="preserve">7.4 Progress of RO4: Policy- and Context-Aware Access Control</w:t>
      </w:r>
      <w:r>
        <w:rPr>
          <w:rFonts w:ascii="Cambria" w:cs="Cambria" w:eastAsia="Cambria" w:hAnsi="Cambria"/>
          <w:sz w:val="22"/>
          <w:szCs w:val="22"/>
        </w:rPr>
        <w:t xml:space="preserve">	178</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178</w:t>
      </w:r>
    </w:p>
    <w:p>
      <w:pPr>
        <w:tabs>
          <w:tab w:val="right" w:pos="9360" w:leader="dot"/>
        </w:tabs>
        <w:spacing w:after="60"/>
        <w:ind w:left="360"/>
      </w:pPr>
      <w:r>
        <w:rPr>
          <w:rFonts w:ascii="Cambria" w:cs="Cambria" w:eastAsia="Cambria" w:hAnsi="Cambria"/>
          <w:b w:val="false"/>
          <w:bCs w:val="false"/>
          <w:sz w:val="22"/>
          <w:szCs w:val="22"/>
        </w:rPr>
        <w:t xml:space="preserve">7.6 Progress of RO6: Formal Security Assurance and Empirical Validation</w:t>
      </w:r>
      <w:r>
        <w:rPr>
          <w:rFonts w:ascii="Cambria" w:cs="Cambria" w:eastAsia="Cambria" w:hAnsi="Cambria"/>
          <w:sz w:val="22"/>
          <w:szCs w:val="22"/>
        </w:rPr>
        <w:t xml:space="preserve">	179</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181</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182</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182</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182</w:t>
      </w:r>
    </w:p>
    <w:p>
      <w:pPr>
        <w:tabs>
          <w:tab w:val="right" w:pos="9360" w:leader="dot"/>
        </w:tabs>
        <w:spacing w:after="60"/>
        <w:ind w:left="0"/>
      </w:pPr>
      <w:r>
        <w:rPr>
          <w:rFonts w:ascii="Cambria" w:cs="Cambria" w:eastAsia="Cambria" w:hAnsi="Cambria"/>
          <w:b/>
          <w:bCs/>
          <w:sz w:val="24"/>
          <w:szCs w:val="24"/>
        </w:rPr>
        <w:t xml:space="preserve">Appendix A — Traceability to the Implemented System</w:t>
      </w:r>
      <w:r>
        <w:rPr>
          <w:rFonts w:ascii="Cambria" w:cs="Cambria" w:eastAsia="Cambria" w:hAnsi="Cambria"/>
          <w:sz w:val="22"/>
          <w:szCs w:val="22"/>
        </w:rPr>
        <w:t xml:space="preserve">	186</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187</w:t>
      </w:r>
    </w:p>
    <w:p>
      <w:pPr>
        <w:pStyle w:val="Heading1"/>
        <w:pageBreakBefore/>
        <w:spacing w:after="160" w:before="400"/>
      </w:pPr>
      <w:r>
        <w:rPr>
          <w:rFonts w:ascii="Cambria" w:cs="Cambria" w:eastAsia="Cambria" w:hAnsi="Cambria"/>
          <w:sz w:val="24"/>
          <w:szCs w:val="24"/>
        </w:rPr>
        <w:t xml:space="preserve">1  Introduction</w:t>
      </w:r>
    </w:p>
    <w:p>
      <w:pPr>
        <w:pStyle w:val="Heading2"/>
        <w:spacing w:after="160" w:before="280"/>
      </w:pPr>
      <w:r>
        <w:rPr>
          <w:rFonts w:ascii="Cambria" w:cs="Cambria" w:eastAsia="Cambria" w:hAnsi="Cambria"/>
          <w:sz w:val="24"/>
          <w:szCs w:val="24"/>
        </w:rP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w:t>
      </w:r>
      <w:r>
        <w:rPr>
          <w:rFonts w:ascii="Cambria" w:cs="Cambria" w:eastAsia="Cambria" w:hAnsi="Cambria"/>
          <w:color w:val="E6007E"/>
          <w:sz w:val="24"/>
          <w:szCs w:val="24"/>
        </w:rPr>
        <w:t xml:space="preserve">how that information is used [6, 19, 26]</w:t>
      </w:r>
      <w:r>
        <w:rPr>
          <w:rFonts w:ascii="Cambria" w:cs="Cambria" w:eastAsia="Cambria" w:hAnsi="Cambria"/>
          <w:sz w:val="24"/>
          <w:szCs w:val="24"/>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w:t>
      </w:r>
      <w:r>
        <w:rPr>
          <w:rFonts w:ascii="Cambria" w:cs="Cambria" w:eastAsia="Cambria" w:hAnsi="Cambria"/>
          <w:color w:val="E6007E"/>
          <w:sz w:val="24"/>
          <w:szCs w:val="24"/>
        </w:rPr>
        <w:t xml:space="preserve">to participate in data-sharing processes [31, 21]</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w:t>
      </w:r>
      <w:r>
        <w:rPr>
          <w:rFonts w:ascii="Cambria" w:cs="Cambria" w:eastAsia="Cambria" w:hAnsi="Cambria"/>
          <w:color w:val="E6007E"/>
          <w:sz w:val="24"/>
          <w:szCs w:val="24"/>
        </w:rPr>
        <w:t xml:space="preserve">control [24, 22, 12, 25]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w:t>
      </w:r>
      <w:r>
        <w:rPr>
          <w:rFonts w:ascii="Cambria" w:cs="Cambria" w:eastAsia="Cambria" w:hAnsi="Cambria"/>
          <w:color w:val="E6007E"/>
          <w:sz w:val="24"/>
          <w:szCs w:val="24"/>
        </w:rPr>
        <w:t xml:space="preserve">permission-management mechanisms [28, 25]</w:t>
      </w:r>
      <w:r>
        <w:rPr>
          <w:rFonts w:ascii="Cambria" w:cs="Cambria" w:eastAsia="Cambria" w:hAnsi="Cambria"/>
          <w:sz w:val="24"/>
          <w:szCs w:val="24"/>
        </w:rP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w:t>
      </w:r>
      <w:r>
        <w:rPr>
          <w:rFonts w:ascii="Cambria" w:cs="Cambria" w:eastAsia="Cambria" w:hAnsi="Cambria"/>
          <w:color w:val="E6007E"/>
          <w:sz w:val="24"/>
          <w:szCs w:val="24"/>
        </w:rPr>
        <w:t xml:space="preserve">other authorised stakeholders [31, 9]</w:t>
      </w:r>
      <w:r>
        <w:rPr>
          <w:rFonts w:ascii="Cambria" w:cs="Cambria" w:eastAsia="Cambria" w:hAnsi="Cambria"/>
          <w:sz w:val="24"/>
          <w:szCs w:val="24"/>
        </w:rPr>
        <w:t xml:space="preserve">.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w:t>
      </w:r>
      <w:r>
        <w:rPr>
          <w:rFonts w:ascii="Cambria" w:cs="Cambria" w:eastAsia="Cambria" w:hAnsi="Cambria"/>
          <w:color w:val="E6007E"/>
          <w:sz w:val="24"/>
          <w:szCs w:val="24"/>
        </w:rPr>
        <w:t xml:space="preserve">resources [2, 7, 3, 20, 5]</w:t>
      </w:r>
      <w:r>
        <w:rPr>
          <w:rFonts w:ascii="Cambria" w:cs="Cambria" w:eastAsia="Cambria" w:hAnsi="Cambria"/>
          <w:sz w:val="24"/>
          <w:szCs w:val="24"/>
        </w:rPr>
        <w:t xml:space="preserve">. More broadly, blockchain-based approaches have demonstrated the potential to improve the integrity, transparency, and traceability of decentralised </w:t>
      </w:r>
      <w:r>
        <w:rPr>
          <w:rFonts w:ascii="Cambria" w:cs="Cambria" w:eastAsia="Cambria" w:hAnsi="Cambria"/>
          <w:color w:val="E6007E"/>
          <w:sz w:val="24"/>
          <w:szCs w:val="24"/>
        </w:rPr>
        <w:t xml:space="preserve">data-management processes [1, 26]</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w:t>
      </w:r>
      <w:r>
        <w:rPr>
          <w:rFonts w:ascii="Cambria" w:cs="Cambria" w:eastAsia="Cambria" w:hAnsi="Cambria"/>
          <w:color w:val="E6007E"/>
          <w:sz w:val="24"/>
          <w:szCs w:val="24"/>
        </w:rPr>
        <w:t xml:space="preserve">an active and evaluable component of a broader authorisation process, extending the dynamic consent perspective [13, 24].</w:t>
      </w:r>
    </w:p>
    <w:p>
      <w:pPr>
        <w:pStyle w:val="Heading2"/>
        <w:spacing w:after="160" w:before="280"/>
      </w:pPr>
      <w:r>
        <w:rPr>
          <w:rFonts w:ascii="Cambria" w:cs="Cambria" w:eastAsia="Cambria" w:hAnsi="Cambria"/>
          <w:sz w:val="24"/>
          <w:szCs w:val="24"/>
        </w:rP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w:t>
      </w:r>
      <w:r>
        <w:rPr>
          <w:rFonts w:ascii="Cambria" w:cs="Cambria" w:eastAsia="Cambria" w:hAnsi="Cambria"/>
          <w:color w:val="E6007E"/>
          <w:sz w:val="24"/>
          <w:szCs w:val="24"/>
        </w:rPr>
        <w:t xml:space="preserve">but in most systems consent remains a passive artefact indicating that a permission or approval has been created, and even where it is represented as an evaluable object [71, 37, 44, 58] its evaluation is not conjoined with a multi-party authority condition and is not formally assured</w:t>
      </w:r>
      <w:r>
        <w:rPr>
          <w:rFonts w:ascii="Cambria" w:cs="Cambria" w:eastAsia="Cambria" w:hAnsi="Cambria"/>
          <w:sz w:val="24"/>
          <w:szCs w:val="24"/>
        </w:rPr>
        <w:t xml:space="preserve">.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color w:val="E6007E"/>
          <w:sz w:val="24"/>
          <w:szCs w:val="24"/>
        </w:rPr>
        <w:t xml:space="preserve">The central problem addressed by this research is therefore the absence of a mechanism in which identity, authority, multi-party approval, policy, temporal and lifecycle conditions are conjoined in every access decision and in which that conjunction is assured both formally and empirically; the review in Chapter 2 shows that the individual conditions, and several partial combinations of them [58, 61, 45], already exist.</w:t>
      </w:r>
      <w:r>
        <w:rPr>
          <w:rFonts w:ascii="Cambria" w:cs="Cambria" w:eastAsia="Cambria" w:hAnsi="Cambria"/>
          <w:sz w:val="24"/>
          <w:szCs w:val="24"/>
        </w:rPr>
        <w:t xml:space="preserve"> </w:t>
      </w:r>
      <w:r>
        <w:rPr>
          <w:rFonts w:ascii="Cambria" w:cs="Cambria" w:eastAsia="Cambria" w:hAnsi="Cambria"/>
          <w:color w:val="E6007E"/>
          <w:sz w:val="24"/>
          <w:szCs w:val="24"/>
        </w:rPr>
        <w:t xml:space="preserve">Existing approaches provide important technological components, including decentralised identity and verifiable credentials [58, 76], blockchain-based consent records [53, 71], multi-party approval mechanisms of several kinds [53, 61, 69, 43], and policy-based access control [44, 57, 63, 15], as reviewed in Chapter 2.</w:t>
      </w:r>
      <w:r>
        <w:rPr>
          <w:rFonts w:ascii="Cambria" w:cs="Cambria" w:eastAsia="Cambria" w:hAnsi="Cambria"/>
          <w:sz w:val="24"/>
          <w:szCs w:val="24"/>
        </w:rPr>
        <w:t xml:space="preserve"> </w:t>
      </w:r>
      <w:r>
        <w:rPr>
          <w:rFonts w:ascii="Cambria" w:cs="Cambria" w:eastAsia="Cambria" w:hAnsi="Cambria"/>
          <w:color w:val="E6007E"/>
          <w:sz w:val="24"/>
          <w:szCs w:val="24"/>
        </w:rPr>
        <w:t xml:space="preserve">However, these mechanisms are usually investigated separately, and where they are combined in one system [58, 61, 45, 66] the combination excludes multi-party approval as a standing condition of the decision and is neither formally proved nor tested as an authorisation decision.</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spacing w:after="140" w:line="300"/>
        <w:jc w:val="both"/>
      </w:pPr>
      <w:r>
        <w:rPr>
          <w:rFonts w:ascii="Cambria" w:cs="Cambria" w:eastAsia="Cambria" w:hAnsi="Cambria"/>
          <w:color w:val="0000CC"/>
          <w:sz w:val="24"/>
          <w:szCs w:val="24"/>
        </w:rPr>
        <w:t xml:space="preserve">In this context, the overarching research question is how a trust-oriented computing framework can establish and enforce trustworthy multi-party consent for decentralised healthcare data sharing under identity, authority, and policy constraints. This question is decomposed into six sub-research questions in Chapter 3 and mapped to the research objectives RO1 to RO6 in Chapter 4.</w:t>
      </w:r>
    </w:p>
    <w:p>
      <w:pPr>
        <w:pStyle w:val="Heading2"/>
        <w:spacing w:after="160" w:before="280"/>
      </w:pPr>
      <w:r>
        <w:rPr>
          <w:rFonts w:ascii="Cambria" w:cs="Cambria" w:eastAsia="Cambria" w:hAnsi="Cambria"/>
          <w:sz w:val="24"/>
          <w:szCs w:val="24"/>
        </w:rPr>
        <w:t xml:space="preserve">1.3  Research Motivation</w:t>
      </w:r>
    </w:p>
    <w:p>
      <w:pPr>
        <w:spacing w:after="140" w:line="300"/>
        <w:jc w:val="both"/>
      </w:pPr>
      <w:r>
        <w:rPr>
          <w:rFonts w:ascii="Cambria" w:cs="Cambria" w:eastAsia="Cambria" w:hAnsi="Cambria"/>
          <w:color w:val="E6007E"/>
          <w:sz w:val="24"/>
          <w:szCs w:val="24"/>
        </w:rPr>
        <w:t xml:space="preserve">The purpose of this section is to explain why a trust-oriented authorisation framework is required and to introduce its dimensions. It should be noted at the outset that, in addition to the four foundational dimensions RO1 to RO4 that are introduced below, the proposed framework has been extended to incorporate temporal validity and lifecycle trust (RO5), which was originally planned for the next stage.</w:t>
      </w:r>
      <w:r>
        <w:rPr>
          <w:rFonts w:ascii="Cambria" w:cs="Cambria" w:eastAsia="Cambria" w:hAnsi="Cambria"/>
          <w:color w:val="000000"/>
          <w:sz w:val="24"/>
          <w:szCs w:val="24"/>
        </w:rPr>
        <w:t xml:space="preserve">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E6007E"/>
          <w:sz w:val="24"/>
          <w:szCs w:val="24"/>
        </w:rPr>
        <w:t xml:space="preserve">Adversarial and negative testing has been undertaken using the HALAH prototype (the Patient Consent Management Platform for History Access by Authorised Healthcare Providers described in Section 6.8), encompassing per-dimension denial scenarios, guardian signature-rejection tests, and tests of tampered and expired zero-knowledge proofs,</w:t>
      </w:r>
      <w:r>
        <w:rPr>
          <w:rFonts w:ascii="Cambria" w:cs="Cambria" w:eastAsia="Cambria" w:hAnsi="Cambria"/>
          <w:color w:val="000000"/>
          <w:sz w:val="24"/>
          <w:szCs w:val="24"/>
        </w:rPr>
        <w:t xml:space="preserve"> together with </w:t>
      </w:r>
      <w:r>
        <w:rPr>
          <w:rFonts w:ascii="Cambria" w:cs="Cambria" w:eastAsia="Cambria" w:hAnsi="Cambria"/>
          <w:color w:val="E6007E"/>
          <w:sz w:val="24"/>
          <w:szCs w:val="24"/>
        </w:rPr>
        <w:t xml:space="preserve">a live negative evaluation on the Ethereum Sepolia testnet</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Formal security analysis, by contrast, has not yet been undertaken and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color w:val="0000CC"/>
          <w:sz w:val="24"/>
          <w:szCs w:val="24"/>
        </w:rPr>
        <w:t xml:space="preserve">The term Trust Computing is used in this report to denote the evaluation of trust as a computable outcome of explicitly verified conditions on identity, authority, collective approval, policy and lifecycle, and it should be distinguished from trusted computing in the hardware sense, such as trusted execution environments and attestation, which lies outside the scope of the review in Chapter 2.</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w:t>
      </w:r>
      <w:r>
        <w:rPr>
          <w:rFonts w:ascii="Cambria" w:cs="Cambria" w:eastAsia="Cambria" w:hAnsi="Cambria"/>
          <w:color w:val="E6007E"/>
          <w:sz w:val="24"/>
          <w:szCs w:val="24"/>
        </w:rPr>
        <w:t xml:space="preserve">Multi-party authorisation concerns whether the required threshold of independently verified participants, defined by the patient in the consent object, has jointly established the authorisation condition at the time of each access decision rather than only at registration or in an emergency.</w:t>
      </w:r>
      <w:r>
        <w:rPr>
          <w:rFonts w:ascii="Cambria" w:cs="Cambria" w:eastAsia="Cambria" w:hAnsi="Cambria"/>
          <w:sz w:val="24"/>
          <w:szCs w:val="24"/>
        </w:rPr>
        <w:t xml:space="preserve">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color w:val="E6007E"/>
          <w:sz w:val="24"/>
          <w:szCs w:val="24"/>
        </w:rPr>
        <w:t xml:space="preserve">These four dimensions (RO1 to RO4) collectively define the foundational scope of the proposed framework, which is then extended by temporal and lifecycle trust (RO5) and by formal security assurance and empirical validation (RO6).</w:t>
      </w:r>
      <w:r>
        <w:rPr>
          <w:rFonts w:ascii="Cambria" w:cs="Cambria" w:eastAsia="Cambria" w:hAnsi="Cambria"/>
          <w:sz w:val="24"/>
          <w:szCs w:val="24"/>
        </w:rPr>
        <w:t xml:space="preserve">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color w:val="E6007E"/>
          <w:sz w:val="24"/>
          <w:szCs w:val="24"/>
        </w:rPr>
        <w:t xml:space="preserve">In addition, trust cannot be regarded as static over time. A consent that was valid when initially approved may subsequently become invalid due to expiration, revocation, or a change in its authorised lifecycle state, and this temporal dimension is addressed by RO5.</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CC"/>
          <w:sz w:val="24"/>
          <w:szCs w:val="24"/>
        </w:rPr>
        <w:t xml:space="preserve">In this report, the current stage denotes the work delivered at the CA2 milestone, and the next stage, referred to as CA3, denotes the subsequent research stage in which the remaining objectives are completed.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spacing w:after="140" w:line="300"/>
        <w:jc w:val="both"/>
      </w:pPr>
      <w:r>
        <w:rPr>
          <w:rFonts w:ascii="Cambria" w:cs="Cambria" w:eastAsia="Cambria" w:hAnsi="Cambria"/>
          <w:color w:val="0000CC"/>
          <w:sz w:val="24"/>
          <w:szCs w:val="24"/>
        </w:rPr>
        <w:t xml:space="preserve">The remainder of this report is organised as follows. Chapter 2 presents the systematic literature review and derives six requirements for trustworthy multi-party consent authorisation, Chapter 3 formulates the research gap and research questions, Chapter 4 states the research objectives, Chapter 5 describes the MVC-based research architecture, Chapter 6 presents the proposed solution, its algorithms and the live HALAH demonstration, and Chapters 7 to 9 report the current progress, publications and the research plan for the next stage.</w:t>
      </w:r>
    </w:p>
    <w:p>
      <w:pPr>
        <w:spacing w:after="140" w:line="300"/>
        <w:jc w:val="both"/>
      </w:pPr>
      <w:r>
        <w:rPr>
          <w:rFonts w:ascii="Cambria" w:cs="Cambria" w:eastAsia="Cambria" w:hAnsi="Cambria"/>
          <w:color w:val="0000CC"/>
          <w:sz w:val="24"/>
          <w:szCs w:val="24"/>
        </w:rPr>
        <w:t xml:space="preserve">It should be noted that the scope of the current stage is bounded. The HALAH prototype is deployed on the Ethereum Sepolia testnet with synthetic healthcare records, the guardian approval rule is currently implemented as N-of-N over the guardian set G, and the security properties of the framework are demonstrated through scenario-based, negative and adversarial testing rather than through formal proof, which is deferred to the next stage.</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RO1: Trust-Centric Consent Model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RO4: Policy- and Context-Aware Access Control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pStyle w:val="Heading1"/>
        <w:pageBreakBefore/>
        <w:spacing w:after="160" w:before="400"/>
      </w:pPr>
      <w:r>
        <w:rPr>
          <w:rFonts w:ascii="Cambria" w:cs="Cambria" w:eastAsia="Cambria" w:hAnsi="Cambria"/>
          <w:sz w:val="24"/>
          <w:szCs w:val="24"/>
        </w:rPr>
        <w:t xml:space="preserve">2  Systematic Literature Review</w:t>
      </w:r>
    </w:p>
    <w:p>
      <w:pPr>
        <w:pStyle w:val="Heading2"/>
        <w:spacing w:after="160" w:before="280"/>
      </w:pPr>
      <w:r>
        <w:rPr>
          <w:rFonts w:ascii="Cambria" w:cs="Cambria" w:eastAsia="Cambria" w:hAnsi="Cambria"/>
          <w:sz w:val="24"/>
          <w:szCs w:val="24"/>
        </w:rP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w:t>
      </w:r>
      <w:r>
        <w:rPr>
          <w:rFonts w:ascii="Cambria" w:cs="Cambria" w:eastAsia="Cambria" w:hAnsi="Cambria"/>
          <w:color w:val="E6007E"/>
          <w:sz w:val="24"/>
          <w:szCs w:val="24"/>
        </w:rPr>
        <w:t xml:space="preserve">blockchain-based consent governance, decentralised identity and authority, multi-party authorisation, policy- and context-aware access control, temporal validity and consent lifecycle, and formal security assurance and empirical validation</w:t>
      </w:r>
      <w:r>
        <w:rPr>
          <w:rFonts w:ascii="Cambria" w:cs="Cambria" w:eastAsia="Cambria" w:hAnsi="Cambria"/>
          <w:sz w:val="24"/>
          <w:szCs w:val="24"/>
        </w:rPr>
        <w:t xml:space="preserve">.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spacing w:after="140" w:line="300"/>
        <w:jc w:val="both"/>
      </w:pPr>
      <w:r>
        <w:rPr>
          <w:rFonts w:ascii="Cambria" w:cs="Cambria" w:eastAsia="Cambria" w:hAnsi="Cambria"/>
          <w:color w:val="000000"/>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rFonts w:ascii="Cambria" w:cs="Cambria" w:eastAsia="Cambria" w:hAnsi="Cambria"/>
          <w:color w:val="000000"/>
          <w:sz w:val="24"/>
          <w:szCs w:val="24"/>
        </w:rPr>
        <w:t xml:space="preserve">2.2  Key Requirements for Trustworthy Multi-Party Consent Authorisation</w:t>
      </w:r>
    </w:p>
    <w:p>
      <w:pPr>
        <w:spacing w:after="140" w:line="300"/>
        <w:jc w:val="both"/>
      </w:pPr>
      <w:r>
        <w:rPr>
          <w:rFonts w:ascii="Cambria" w:cs="Cambria" w:eastAsia="Cambria" w:hAnsi="Cambria"/>
          <w:color w:val="000000"/>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rFonts w:ascii="Cambria" w:cs="Cambria" w:eastAsia="Cambria" w:hAnsi="Cambria"/>
          <w:color w:val="000000"/>
          <w:sz w:val="24"/>
          <w:szCs w:val="24"/>
        </w:rPr>
        <w:t xml:space="preserve">2.2.1  Representation of consent as an evaluable authorisation object (Req: 1)</w:t>
      </w:r>
    </w:p>
    <w:p>
      <w:pPr>
        <w:spacing w:after="140" w:line="300"/>
        <w:jc w:val="both"/>
      </w:pPr>
      <w:r>
        <w:rPr>
          <w:rFonts w:ascii="Cambria" w:cs="Cambria" w:eastAsia="Cambria" w:hAnsi="Cambria"/>
          <w:color w:val="000000"/>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A trustworthy framework therefore requires that consent is represented as a structured object whose components, namely the participating identities, the authority requirements, the permitted purpose and data scope, the temporal validity, the jurisdiction and the supporting evidence, can be evaluated independently at the time of each request. This is important because the same consent may be valid for one request and invalid for another, depending on who is asking, for what purpose and at what time.</w:t>
      </w:r>
    </w:p>
    <w:p>
      <w:pPr>
        <w:pStyle w:val="Heading3"/>
        <w:spacing w:after="160" w:before="280"/>
      </w:pPr>
      <w:r>
        <w:rPr>
          <w:rFonts w:ascii="Cambria" w:cs="Cambria" w:eastAsia="Cambria" w:hAnsi="Cambria"/>
          <w:color w:val="000000"/>
          <w:sz w:val="24"/>
          <w:szCs w:val="24"/>
        </w:rPr>
        <w:t xml:space="preserve">2.2.2  Decentralised verification of identity and authority (Req: 2)</w:t>
      </w:r>
    </w:p>
    <w:p>
      <w:pPr>
        <w:spacing w:after="140" w:line="300"/>
        <w:jc w:val="both"/>
      </w:pPr>
      <w:r>
        <w:rPr>
          <w:rFonts w:ascii="Cambria" w:cs="Cambria" w:eastAsia="Cambria" w:hAnsi="Cambria"/>
          <w:color w:val="000000"/>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rFonts w:ascii="Cambria" w:cs="Cambria" w:eastAsia="Cambria" w:hAnsi="Cambria"/>
          <w:color w:val="000000"/>
          <w:sz w:val="24"/>
          <w:szCs w:val="24"/>
        </w:rPr>
        <w:t xml:space="preserve">2.2.3  Multi-party authorisation through a verifiable threshold (Req: 3)</w:t>
      </w:r>
    </w:p>
    <w:p>
      <w:pPr>
        <w:spacing w:after="140" w:line="300"/>
        <w:jc w:val="both"/>
      </w:pPr>
      <w:r>
        <w:rPr>
          <w:rFonts w:ascii="Cambria" w:cs="Cambria" w:eastAsia="Cambria" w:hAnsi="Cambria"/>
          <w:color w:val="000000"/>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This requirement goes beyond a workflow in which several people click an approval button. The approval condition must be represented within the consent object and must be checkable by any party at a later time.</w:t>
      </w:r>
    </w:p>
    <w:p>
      <w:pPr>
        <w:pStyle w:val="Heading3"/>
        <w:spacing w:after="160" w:before="280"/>
      </w:pPr>
      <w:r>
        <w:rPr>
          <w:rFonts w:ascii="Cambria" w:cs="Cambria" w:eastAsia="Cambria" w:hAnsi="Cambria"/>
          <w:color w:val="000000"/>
          <w:sz w:val="24"/>
          <w:szCs w:val="24"/>
        </w:rPr>
        <w:t xml:space="preserve">2.2.4  Policy- and context-aware enforcement at the time of access (Req: 4)</w:t>
      </w:r>
    </w:p>
    <w:p>
      <w:pPr>
        <w:spacing w:after="140" w:line="300"/>
        <w:jc w:val="both"/>
      </w:pPr>
      <w:r>
        <w:rPr>
          <w:rFonts w:ascii="Cambria" w:cs="Cambria" w:eastAsia="Cambria" w:hAnsi="Cambria"/>
          <w:color w:val="000000"/>
          <w:sz w:val="24"/>
          <w:szCs w:val="24"/>
        </w:rPr>
        <w:t xml:space="preserve">Even when the identities are valid and the required approvals have been obtained, an access request should be granted only if it conforms to the purpose and the data scope that the patient authorised, and to the contextual constraints that apply to the request, such as the jurisdiction in which the data may be used. A framework should evaluate every request against these constraints rather than relying on the existence of a valid consent record. </w:t>
      </w:r>
      <w:r>
        <w:rPr>
          <w:rFonts w:ascii="Cambria" w:cs="Cambria" w:eastAsia="Cambria" w:hAnsi="Cambria"/>
          <w:color w:val="E6007E"/>
          <w:sz w:val="24"/>
          <w:szCs w:val="24"/>
        </w:rPr>
        <w:t xml:space="preserve">This is important because many unauthorised disclosures in practice are caused not by unknown requesters but by legitimate requesters who exceed the scope of what was permitted, which is the insider risk that risk-aware and usage-control models seek to address [11].</w:t>
      </w:r>
    </w:p>
    <w:p>
      <w:pPr>
        <w:pStyle w:val="Heading3"/>
        <w:spacing w:after="160" w:before="280"/>
      </w:pPr>
      <w:r>
        <w:rPr>
          <w:rFonts w:ascii="Cambria" w:cs="Cambria" w:eastAsia="Cambria" w:hAnsi="Cambria"/>
          <w:color w:val="000000"/>
          <w:sz w:val="24"/>
          <w:szCs w:val="24"/>
        </w:rPr>
        <w:t xml:space="preserve">2.2.5  Temporal validity and lifecycle control of consent (Req: 5)</w:t>
      </w:r>
    </w:p>
    <w:p>
      <w:pPr>
        <w:spacing w:after="140" w:line="300"/>
        <w:jc w:val="both"/>
      </w:pPr>
      <w:r>
        <w:rPr>
          <w:rFonts w:ascii="Cambria" w:cs="Cambria" w:eastAsia="Cambria" w:hAnsi="Cambria"/>
          <w:color w:val="000000"/>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rFonts w:ascii="Cambria" w:cs="Cambria" w:eastAsia="Cambria" w:hAnsi="Cambria"/>
          <w:color w:val="000000"/>
          <w:sz w:val="24"/>
          <w:szCs w:val="24"/>
        </w:rPr>
        <w:t xml:space="preserve">2.2.6  Verifiable auditability and security assurance (Req: 6)</w:t>
      </w:r>
    </w:p>
    <w:p>
      <w:pPr>
        <w:spacing w:after="140" w:line="300"/>
        <w:jc w:val="both"/>
      </w:pPr>
      <w:r>
        <w:rPr>
          <w:rFonts w:ascii="Cambria" w:cs="Cambria" w:eastAsia="Cambria" w:hAnsi="Cambria"/>
          <w:color w:val="000000"/>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00"/>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rPr>
          <w:rFonts w:ascii="Cambria" w:cs="Cambria" w:eastAsia="Cambria" w:hAnsi="Cambria"/>
          <w:sz w:val="24"/>
          <w:szCs w:val="24"/>
        </w:rPr>
        <w:t xml:space="preserve">2.3  Systematic Literature Review Methodology</w:t>
      </w:r>
    </w:p>
    <w:p>
      <w:pPr>
        <w:spacing w:after="140" w:line="300"/>
        <w:jc w:val="both"/>
      </w:pPr>
      <w:r>
        <w:rPr>
          <w:rFonts w:ascii="Cambria" w:cs="Cambria" w:eastAsia="Cambria" w:hAnsi="Cambria"/>
          <w:color w:val="0000CC"/>
          <w:sz w:val="24"/>
          <w:szCs w:val="24"/>
        </w:rPr>
        <w:t xml:space="preserve">The review corpus comprises the 44 primary studies [35]–[78] that were identified, screened and coded through the process described in the remainder of this section, together with three secondary studies [79, 80, 81] that were retained for background only and that are not counted as primary evidence. All 44 primary studies were published between 2020 and 2026, which is the publication period fixed in the review protocol. Of the 44 studies, 19 were retrieved through IEEE Xplore, 21 through Scopus, three through ProQuest and one through the ACM Digital Library, after the duplicate records that these databases share with SpringerLink, ScienceDirect and Web of Science had been removed. In the remainder of this chapter, each primary study is referred to by the label Sn (S1 to S44) together with its reference number, so that the reader can move between the tables, the text and the reference list without ambiguity.</w:t>
      </w:r>
    </w:p>
    <w:p>
      <w:pPr>
        <w:pStyle w:val="Heading3"/>
        <w:spacing w:after="160" w:before="280"/>
      </w:pPr>
      <w:r>
        <w:rPr>
          <w:rFonts w:ascii="Cambria" w:cs="Cambria" w:eastAsia="Cambria" w:hAnsi="Cambria"/>
          <w:color w:val="0000CC"/>
          <w:sz w:val="24"/>
          <w:szCs w:val="24"/>
        </w:rPr>
        <w:t xml:space="preserve">2.3.1  Review Design and Reporting Framework</w:t>
      </w:r>
    </w:p>
    <w:p>
      <w:pPr>
        <w:spacing w:after="140" w:line="300"/>
        <w:jc w:val="both"/>
      </w:pPr>
      <w:r>
        <w:rPr>
          <w:rFonts w:ascii="Cambria" w:cs="Cambria" w:eastAsia="Cambria" w:hAnsi="Cambria"/>
          <w:color w:val="0000CC"/>
          <w:sz w:val="24"/>
          <w:szCs w:val="24"/>
        </w:rPr>
        <w:t xml:space="preserve">A systematic literature review (SLR) was conducted to identify, classify and critically evaluate existing research on trustworthy multi-party authorisation for patient consent in healthcare data sharing. The review was designed to establish the conceptual and technical foundations of the proposed framework, and to determine, for each of the key requirements defined in Section 2.2, the extent to which the existing approaches already satisfy that requirement. In particular, the review considered not only whether a study addresses consent representation, identity, multi-party approval, policy enforcement, temporal validity or security assurance, but also whether these mechanisms are integrated into a single authorisation decision that can be trusted.</w:t>
      </w:r>
    </w:p>
    <w:p>
      <w:pPr>
        <w:spacing w:after="140" w:line="300"/>
        <w:jc w:val="both"/>
      </w:pPr>
      <w:r>
        <w:rPr>
          <w:rFonts w:ascii="Cambria" w:cs="Cambria" w:eastAsia="Cambria" w:hAnsi="Cambria"/>
          <w:color w:val="0000CC"/>
          <w:sz w:val="24"/>
          <w:szCs w:val="24"/>
        </w:rPr>
        <w:t xml:space="preserve">The review process was structured according to the Preferred Reporting Items for Systematic Reviews and Meta-Analyses (PRISMA 2020) statement [34]. PRISMA 2020 was adopted to improve the transparency, reproducibility and traceability of the identification, screening, eligibility assessment and inclusion stages. The review was governed by a written protocol (Protocol v1.1), which fixed the review questions, the databases, the master search query, the inclusion and exclusion criteria, the data extraction codebook and the quality assessment items before any screening took place. All records, decisions and counts were maintained in a single PRISMA 2020 master workbook so that every number reported in this section can be traced to a record and to a decision.</w:t>
      </w:r>
    </w:p>
    <w:p>
      <w:pPr>
        <w:spacing w:after="140" w:line="300"/>
        <w:jc w:val="both"/>
      </w:pPr>
      <w:r>
        <w:rPr>
          <w:rFonts w:ascii="Cambria" w:cs="Cambria" w:eastAsia="Cambria" w:hAnsi="Cambria"/>
          <w:color w:val="0000CC"/>
          <w:sz w:val="24"/>
          <w:szCs w:val="24"/>
        </w:rPr>
        <w:t xml:space="preserve">Screening and coding were performed by a review panel of six members, each of whom was responsible for one perspective of the review, namely review methodology, trust modelling, identity and multi-party authorisation, policy and temporal enforcement, formal and empirical assurance, and a chair who issued the final decision on each record. Every exclusion carries a reason code (EC1 to EC9, defined in Section 2.3.5) and every inclusion carries the page reference on which the positive coding is based. Where a panel member disagreed with the chair, the dissent was recorded against the record and retained in the log rather than being overwritten. All panel decisions were entered in a decision log (D-001 to D-166) that records the date, the subject, the position of each panel member, the evidence cited and the outcome, and the author retained the right to ratify, veto or reopen any decision by its identifier. The counts reported in this chapter are those of the checkpoint of 10 September 2026 (decision D-166).</w:t>
      </w:r>
    </w:p>
    <w:p>
      <w:pPr>
        <w:pStyle w:val="Heading3"/>
        <w:spacing w:after="160" w:before="280"/>
      </w:pPr>
      <w:r>
        <w:rPr>
          <w:rFonts w:ascii="Cambria" w:cs="Cambria" w:eastAsia="Cambria" w:hAnsi="Cambria"/>
          <w:color w:val="0000CC"/>
          <w:sz w:val="24"/>
          <w:szCs w:val="24"/>
        </w:rPr>
        <w:t xml:space="preserve">2.3.2  Questions for Review</w:t>
      </w:r>
    </w:p>
    <w:p>
      <w:pPr>
        <w:spacing w:after="140" w:line="300"/>
        <w:jc w:val="both"/>
      </w:pPr>
      <w:r>
        <w:rPr>
          <w:rFonts w:ascii="Cambria" w:cs="Cambria" w:eastAsia="Cambria" w:hAnsi="Cambria"/>
          <w:color w:val="0000CC"/>
          <w:sz w:val="24"/>
          <w:szCs w:val="24"/>
        </w:rPr>
        <w:t xml:space="preserve">This systematic literature review is guided by the following seven questions, </w:t>
      </w:r>
      <w:r>
        <w:rPr>
          <w:rFonts w:ascii="Cambria" w:cs="Cambria" w:eastAsia="Cambria" w:hAnsi="Cambria"/>
          <w:color w:val="E6007E"/>
          <w:sz w:val="24"/>
          <w:szCs w:val="24"/>
        </w:rPr>
        <w:t xml:space="preserve">which correspond to the six sub-research questions and the six research objectives of this study, the sixth of which is addressed by two review questions</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1. How do existing systems represent patient consent, that is, as a static record of a decision that has occurred or as a dynamic authorisation object that can be evaluated at the time of access?</w:t>
      </w:r>
    </w:p>
    <w:p>
      <w:pPr>
        <w:spacing w:after="140" w:line="300"/>
        <w:jc w:val="both"/>
      </w:pPr>
      <w:r>
        <w:rPr>
          <w:rFonts w:ascii="Cambria" w:cs="Cambria" w:eastAsia="Cambria" w:hAnsi="Cambria"/>
          <w:color w:val="0000CC"/>
          <w:sz w:val="24"/>
          <w:szCs w:val="24"/>
        </w:rPr>
        <w:t xml:space="preserve">2. What mechanisms are used to establish the identity and the authority of the participants in a consent decision, and is authentication distinguished from authorisation?</w:t>
      </w:r>
    </w:p>
    <w:p>
      <w:pPr>
        <w:spacing w:after="140" w:line="300"/>
        <w:jc w:val="both"/>
      </w:pPr>
      <w:r>
        <w:rPr>
          <w:rFonts w:ascii="Cambria" w:cs="Cambria" w:eastAsia="Cambria" w:hAnsi="Cambria"/>
          <w:color w:val="0000CC"/>
          <w:sz w:val="24"/>
          <w:szCs w:val="24"/>
        </w:rPr>
        <w:t xml:space="preserve">3. How do existing systems support joint or multi-party patient authorisation, and what prevents a single party from authorising access unilaterally?</w:t>
      </w:r>
    </w:p>
    <w:p>
      <w:pPr>
        <w:spacing w:after="140" w:line="300"/>
        <w:jc w:val="both"/>
      </w:pPr>
      <w:r>
        <w:rPr>
          <w:rFonts w:ascii="Cambria" w:cs="Cambria" w:eastAsia="Cambria" w:hAnsi="Cambria"/>
          <w:color w:val="0000CC"/>
          <w:sz w:val="24"/>
          <w:szCs w:val="24"/>
        </w:rPr>
        <w:t xml:space="preserve">4. How are policy, purpose, role, data scope and context enforced within the authorisation decision, rather than merely recorded alongside it?</w:t>
      </w:r>
    </w:p>
    <w:p>
      <w:pPr>
        <w:spacing w:after="140" w:line="300"/>
        <w:jc w:val="both"/>
      </w:pPr>
      <w:r>
        <w:rPr>
          <w:rFonts w:ascii="Cambria" w:cs="Cambria" w:eastAsia="Cambria" w:hAnsi="Cambria"/>
          <w:color w:val="0000CC"/>
          <w:sz w:val="24"/>
          <w:szCs w:val="24"/>
        </w:rPr>
        <w:t xml:space="preserve">5. How are temporal validity, consent states, expiration, withdrawal, revocation and renewal managed after a consent has been granted?</w:t>
      </w:r>
    </w:p>
    <w:p>
      <w:pPr>
        <w:spacing w:after="140" w:line="300"/>
        <w:jc w:val="both"/>
      </w:pPr>
      <w:r>
        <w:rPr>
          <w:rFonts w:ascii="Cambria" w:cs="Cambria" w:eastAsia="Cambria" w:hAnsi="Cambria"/>
          <w:color w:val="0000CC"/>
          <w:sz w:val="24"/>
          <w:szCs w:val="24"/>
        </w:rPr>
        <w:t xml:space="preserve">6. How are the security properties of existing consent and access-control systems defined and validated against identity, authorisation, policy, replay, expiry and state attacks?</w:t>
      </w:r>
    </w:p>
    <w:p>
      <w:pPr>
        <w:spacing w:after="140" w:line="300"/>
        <w:jc w:val="both"/>
      </w:pPr>
      <w:r>
        <w:rPr>
          <w:rFonts w:ascii="Cambria" w:cs="Cambria" w:eastAsia="Cambria" w:hAnsi="Cambria"/>
          <w:color w:val="0000CC"/>
          <w:sz w:val="24"/>
          <w:szCs w:val="24"/>
        </w:rPr>
        <w:t xml:space="preserve">7. How are the proposed approaches implemented and empirically evaluated in terms of authorisation correctness, security behaviour, audit evidence, interoperability and performance?</w:t>
      </w:r>
    </w:p>
    <w:p>
      <w:pPr>
        <w:spacing w:after="140" w:line="300"/>
        <w:jc w:val="both"/>
      </w:pPr>
      <w:r>
        <w:rPr>
          <w:rFonts w:ascii="Cambria" w:cs="Cambria" w:eastAsia="Cambria" w:hAnsi="Cambria"/>
          <w:color w:val="0000CC"/>
          <w:sz w:val="24"/>
          <w:szCs w:val="24"/>
        </w:rPr>
        <w:t xml:space="preserve">Questions 1 to 5 correspond to Req 1 to Req 5 of Section 2.2 respectively, while Questions 6 and 7 together correspond to Req 6, which combines formal security assurance with empirical validation. In addition to these seven questions, the synthesis in Section 2.5 addresses an unnumbered gap-testing question, namely the extent to which any single study integrates all of the dimensions above in one validated authorisation mechanism. This question is not a review question in its own right, because it operationalises the research gap rather than a separate objective, and it is answered only after the seven questions have been answered for every included study. Therefore, the review focused on the relationship between the individual security mechanisms rather than treating identity, consent, multi-party approval, policy and lifecycle control as isolated technologies.</w:t>
      </w:r>
    </w:p>
    <w:p>
      <w:pPr>
        <w:pStyle w:val="Heading3"/>
        <w:spacing w:after="160" w:before="280"/>
      </w:pPr>
      <w:r>
        <w:rPr>
          <w:rFonts w:ascii="Cambria" w:cs="Cambria" w:eastAsia="Cambria" w:hAnsi="Cambria"/>
          <w:color w:val="0000CC"/>
          <w:sz w:val="24"/>
          <w:szCs w:val="24"/>
        </w:rPr>
        <w:t xml:space="preserve">2.3.3  Search Databases and Search Strategy</w:t>
      </w:r>
    </w:p>
    <w:p>
      <w:pPr>
        <w:spacing w:after="140" w:line="300"/>
        <w:jc w:val="both"/>
      </w:pPr>
      <w:r>
        <w:rPr>
          <w:rFonts w:ascii="Cambria" w:cs="Cambria" w:eastAsia="Cambria" w:hAnsi="Cambria"/>
          <w:color w:val="0000CC"/>
          <w:sz w:val="24"/>
          <w:szCs w:val="24"/>
        </w:rPr>
        <w:t xml:space="preserve">The literature search was conducted using the following seven academic databases: 1) IEEE Xplore, 2) SpringerLink, 3) ProQuest Science and Technology, 4) ScienceDirect, 5) Scopus, 6) Web of Science, and 7) ACM Digital Library. In addition, Google Scholar was used as a discovery arm for snowballing and for testing the sensitivity of the search, but not as a structured retrieval source; its results are reported under the PRISMA 2020 heading of records identified through other methods and are not summed into the database total.</w:t>
      </w:r>
    </w:p>
    <w:p>
      <w:pPr>
        <w:spacing w:after="140" w:line="300"/>
        <w:jc w:val="both"/>
      </w:pPr>
      <w:r>
        <w:rPr>
          <w:rFonts w:ascii="Cambria" w:cs="Cambria" w:eastAsia="Cambria" w:hAnsi="Cambria"/>
          <w:color w:val="0000CC"/>
          <w:sz w:val="24"/>
          <w:szCs w:val="24"/>
        </w:rPr>
        <w:t xml:space="preserve">These databases were selected because they provide complementary coverage of computer science, cybersecurity, distributed systems, healthcare informatics and information management research. IEEE Xplore and the ACM Digital Library were used to identify studies on multi-party trust architectures, cryptographic mechanisms, decentralised identity and access control. SpringerLink and ScienceDirect were used to identify research on healthcare information systems, privacy and data governance. ProQuest was included to capture peer-reviewed journal literature that is not indexed by the publisher databases. Scopus and Web of Science were used to improve the coverage of multidisciplinary and medical-informatics venues, which the sentinel test described in Section 2.3.4 confirmed to be necessary for the healthcare-oriented consent studies.</w:t>
      </w:r>
    </w:p>
    <w:p>
      <w:pPr>
        <w:spacing w:after="140" w:line="300"/>
        <w:jc w:val="both"/>
      </w:pPr>
      <w:r>
        <w:rPr>
          <w:rFonts w:ascii="Cambria" w:cs="Cambria" w:eastAsia="Cambria" w:hAnsi="Cambria"/>
          <w:color w:val="0000CC"/>
          <w:sz w:val="24"/>
          <w:szCs w:val="24"/>
        </w:rPr>
        <w:t xml:space="preserve">A single master query was defined and executed on every database, adapted only to the field syntax of each platform. The query consists of three concept blocks joined by the AND operator. The first block captures the healthcare data domain (healthcare, health care, health data, medical data, patient data, electronic health record, electronic medical record, EHR and EMR). The second block captures the consent and authorisation concepts (patient consent, consent management, dynamic consent, authorization, authorisation and access control). The third block captures the trust and multi-party concepts (trust, trustworthy, trusted, multi-party, multiparty, joint consent, guardian, threshold, decentralized, decentralised, blockchain, smart contract, decentralized identifier, verifiable credential and self-sovereign identity). Within each block the terms are joined by the OR operator, and both British and American spellings are included. The master query, as executed in the command search of IEEE Xplore over all metadata fields, is shown in Figure 1 and reads as follows:</w:t>
      </w:r>
    </w:p>
    <w:p>
      <w:pPr>
        <w:keepNext/>
        <w:spacing w:after="60" w:before="140"/>
        <w:jc w:val="center"/>
      </w:pPr>
      <w:r>
        <w:drawing>
          <wp:inline distT="0" distB="0" distL="0" distR="0">
            <wp:extent cx="5715000" cy="3219450"/>
            <wp:effectExtent t="0" r="0" b="0" l="0"/>
            <wp:docPr id="1" name="gfig1f.png" descr="Figure 1: SLR search string definition: the three concept blocks of the master query and their combination across the seven databases" title="Figure 1: SLR search string definition: the three concept blocks of the master query and their combination across the seven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 the three concept blocks of the master query and their combination across the seven databases</w:t>
      </w:r>
    </w:p>
    <w:p>
      <w:pPr>
        <w:spacing w:after="140" w:line="300"/>
        <w:jc w:val="both"/>
      </w:pPr>
      <w:r>
        <w:rPr>
          <w:rFonts w:ascii="Cambria" w:cs="Cambria" w:eastAsia="Cambria" w:hAnsi="Cambria"/>
          <w:color w:val="0000CC"/>
          <w:sz w:val="24"/>
          <w:szCs w:val="24"/>
        </w:rPr>
        <w:t xml:space="preserve">"("healthcare" OR "health care" OR "health data" OR "medical data" OR "patient data" OR "electronic health record" OR "electronic medical record" OR EHR OR EMR) AND ("patient consent" OR "consent management" OR "dynamic consent" OR "authorization" OR "authorisation" OR "access control") AND ("trust" OR "trustworthy" OR "trusted" OR "multi-party" OR "multiparty" OR "joint consent" OR "guardian" OR "threshold" OR "decentralized" OR "decentralised" OR "blockchain" OR "smart contract" OR "decentralized identifier" OR "verifiable credential" OR "self-sovereign identity")"</w:t>
      </w:r>
    </w:p>
    <w:p>
      <w:pPr>
        <w:spacing w:after="140" w:line="300"/>
        <w:jc w:val="both"/>
      </w:pPr>
      <w:r>
        <w:rPr>
          <w:rFonts w:ascii="Cambria" w:cs="Cambria" w:eastAsia="Cambria" w:hAnsi="Cambria"/>
          <w:color w:val="0000CC"/>
          <w:sz w:val="24"/>
          <w:szCs w:val="24"/>
        </w:rPr>
        <w:t xml:space="preserve">The same three blocks were entered in the TITLE-ABS-KEY field of Scopus, in the Topic field of Web of Science, in the NOFT (all fields except full text) field of ProQuest, and in the Title, Abstract and Keyword fields of the ACM Digital Library. It should be noted that two platforms could not accept the full Boolean expression. SpringerLink rejected long nested queries, and the master query was therefore executed as five short sub-queries that pair the consent, access-control and verifiable-credential terms with the healthcare and blockchain terms. ScienceDirect limits the number of Boolean connectors, and the master query was likewise executed as five sub-queries in the title, abstract and keyword field, with residual term compressions documented. In both cases the within-source overlap between sub-queries was removed at merge, and the low marginal yield of ScienceDirect was expected because Scopus already indexes the same publisher content. For Google Scholar the query was compressed to the platform character limit. It should also be noted that the review protocol originally listed eight family-specific sensitivity queries for IEEE Xplore; these were superseded by the single master query and were never executed, and this is declared as a documented deviation from the protocol rather than an unexecuted step.</w:t>
      </w:r>
    </w:p>
    <w:p>
      <w:pPr>
        <w:pStyle w:val="Heading3"/>
        <w:spacing w:after="160" w:before="280"/>
      </w:pPr>
      <w:r>
        <w:rPr>
          <w:rFonts w:ascii="Cambria" w:cs="Cambria" w:eastAsia="Cambria" w:hAnsi="Cambria"/>
          <w:color w:val="0000CC"/>
          <w:sz w:val="24"/>
          <w:szCs w:val="24"/>
        </w:rPr>
        <w:t xml:space="preserve">2.3.4  Search Period and Search Execution</w:t>
      </w:r>
    </w:p>
    <w:p>
      <w:pPr>
        <w:spacing w:after="140" w:line="300"/>
        <w:jc w:val="both"/>
      </w:pPr>
      <w:r>
        <w:rPr>
          <w:rFonts w:ascii="Cambria" w:cs="Cambria" w:eastAsia="Cambria" w:hAnsi="Cambria"/>
          <w:color w:val="0000CC"/>
          <w:sz w:val="24"/>
          <w:szCs w:val="24"/>
        </w:rPr>
        <w:t xml:space="preserve">The search was restricted to studies published between January 2020 and the search date in 2026. This period was selected to capture the development of blockchain-based consent management, decentralised identity and consent-aware access control from the first fully decentralised multi-party consent proposals in 2020 onwards, while maintaining a contemporary evidence base. Earlier seminal studies, such as the 2016 MedRec proposal, fall outside this period by design and are considered only as background through snowballing, and this date-range decision is recorded in the protocol.</w:t>
      </w:r>
    </w:p>
    <w:p>
      <w:pPr>
        <w:spacing w:after="140" w:line="300"/>
        <w:jc w:val="both"/>
      </w:pPr>
      <w:r>
        <w:rPr>
          <w:rFonts w:ascii="Cambria" w:cs="Cambria" w:eastAsia="Cambria" w:hAnsi="Cambria"/>
          <w:color w:val="0000CC"/>
          <w:sz w:val="24"/>
          <w:szCs w:val="24"/>
        </w:rPr>
        <w:t xml:space="preserve">The searches were executed on 24 and 25 August 2026 for IEEE Xplore, Scopus, Web of Science, ProQuest, ScienceDirect, SpringerLink and Google Scholar, and on 5 September 2026 for the ACM Digital Library, </w:t>
      </w:r>
      <w:r>
        <w:rPr>
          <w:rFonts w:ascii="Cambria" w:cs="Cambria" w:eastAsia="Cambria" w:hAnsi="Cambria"/>
          <w:color w:val="E6007E"/>
          <w:sz w:val="24"/>
          <w:szCs w:val="24"/>
        </w:rPr>
        <w:t xml:space="preserve">which was added as a late arm after the six other database searches had been frozen, and this late addition is declared as a limitation of the search strategy</w:t>
      </w:r>
      <w:r>
        <w:rPr>
          <w:rFonts w:ascii="Cambria" w:cs="Cambria" w:eastAsia="Cambria" w:hAnsi="Cambria"/>
          <w:color w:val="0000CC"/>
          <w:sz w:val="24"/>
          <w:szCs w:val="24"/>
        </w:rPr>
        <w:t xml:space="preserve">. Each query was frozen with a search identifier and a version number (IEEE-M v2, SCOPUS-M v3, WOS-M v2, PROQ-M v2, SD-M v2, SPR-M v3, GS-M v2 and ACM-M v1) before its export was accepted, and a changed query was always recorded as a new version rather than overwriting the previous one. Superseded versions were archived with their cause; for example, the first two Scopus versions were rejected because a subject-area limit had removed the medical-venue records, and an initial ProQuest run over the full text was rejected because its scope was inconsistent with the title, abstract and keyword scope of the other databases. The document-type filters (journal articles and conference papers) and the English-language filter were applied within each platform where available.</w:t>
      </w:r>
    </w:p>
    <w:p>
      <w:pPr>
        <w:spacing w:after="140" w:line="300"/>
        <w:jc w:val="both"/>
      </w:pPr>
      <w:r>
        <w:rPr>
          <w:rFonts w:ascii="Cambria" w:cs="Cambria" w:eastAsia="Cambria" w:hAnsi="Cambria"/>
          <w:color w:val="0000CC"/>
          <w:sz w:val="24"/>
          <w:szCs w:val="24"/>
        </w:rPr>
        <w:t xml:space="preserve">The exported records were merged into a single screening register. IEEE Xplore returned 1,806 records, of which 1,805 were captured in two export batches merged by DOI. SpringerLink returned 2,895 records across the five sub-queries, exported in seven batches without abstracts because of a platform limitation, and reduced to 2,515 records after within-source deduplication. ProQuest returned 1,180 records, ScienceDirect 65 records (23 after within-source deduplication), Scopus 2,133 records, Web of Science 1,137 records, which had to be exported by e-mail because the direct download was blocked by the library proxy, and the ACM Digital Library 40 records. Google Scholar returned approximately 8,160 results, of which the first 100 by relevance were screened manually under a pre-declared stopping rule and recorded by screenshot. Duplicate records across databases were identified first by DOI and then by normalised title, and the most complete bibliographic record was retained.</w:t>
      </w:r>
    </w:p>
    <w:p>
      <w:pPr>
        <w:spacing w:after="140" w:line="300"/>
        <w:jc w:val="both"/>
      </w:pPr>
      <w:r>
        <w:rPr>
          <w:rFonts w:ascii="Cambria" w:cs="Cambria" w:eastAsia="Cambria" w:hAnsi="Cambria"/>
          <w:color w:val="0000CC"/>
          <w:sz w:val="24"/>
          <w:szCs w:val="24"/>
        </w:rPr>
        <w:t xml:space="preserve">The purpose of the sentinel test was to validate the recall of the master query before it was frozen. Twelve sentinel papers that were already known to be relevant to the review questions, each representing one trust dimension, were defined in advance, and the frozen query was tested for whether it retrieved each of them. The four healthcare-scoped sentinels, namely Madine et al. [53], Jaiman and Urovi [49], Tith et al. [71] and Albalwy et al. [37], were retrieved by the master query, the first two through IEEE Xplore and all four through Scopus, Web of Science and ProQuest, and all four were present in the merged register. The sentinels that were not retrieved were diagnosed individually: </w:t>
      </w:r>
      <w:r>
        <w:rPr>
          <w:rFonts w:ascii="Cambria" w:cs="Cambria" w:eastAsia="Cambria" w:hAnsi="Cambria"/>
          <w:color w:val="E6007E"/>
          <w:sz w:val="24"/>
          <w:szCs w:val="24"/>
        </w:rPr>
        <w:t xml:space="preserve">in five of the eight cases the paper is not healthcare-scoped in its title, abstract and keywords, or it is an identity-generic study in which healthcare is only an application domain, so that the healthcare block of the query correctly excludes it; one sentinel lacks the trust and multi-party terms of the third block; one is the 2016 MedRec proposal, which lies outside the date range by design; and for one sentinel the cause of the miss had not been established at the checkpoint and is recorded as an open item</w:t>
      </w:r>
      <w:r>
        <w:rPr>
          <w:rFonts w:ascii="Cambria" w:cs="Cambria" w:eastAsia="Cambria" w:hAnsi="Cambria"/>
          <w:color w:val="0000CC"/>
          <w:sz w:val="24"/>
          <w:szCs w:val="24"/>
        </w:rPr>
        <w:t xml:space="preserve">. These misses were therefore attributed to venue or scope and not to a defect of the query, and the protocol rule that no query is tuned to rescue a single paper was observed; such papers enter the review only through snowballing. Therefore, the sentinel test provides the recall evidence for the master query in place of the family-specific sensitivity searches that were not executed.</w:t>
      </w:r>
    </w:p>
    <w:p>
      <w:pPr>
        <w:pStyle w:val="Heading3"/>
        <w:spacing w:after="160" w:before="280"/>
      </w:pPr>
      <w:r>
        <w:rPr>
          <w:rFonts w:ascii="Cambria" w:cs="Cambria" w:eastAsia="Cambria" w:hAnsi="Cambria"/>
          <w:color w:val="0000CC"/>
          <w:sz w:val="24"/>
          <w:szCs w:val="24"/>
        </w:rPr>
        <w:t xml:space="preserve">2.3.5  Eligibility Criteria</w:t>
      </w:r>
    </w:p>
    <w:p>
      <w:pPr>
        <w:spacing w:after="140" w:line="300"/>
        <w:jc w:val="both"/>
      </w:pPr>
      <w:r>
        <w:rPr>
          <w:rFonts w:ascii="Cambria" w:cs="Cambria" w:eastAsia="Cambria" w:hAnsi="Cambria"/>
          <w:color w:val="0000CC"/>
          <w:sz w:val="24"/>
          <w:szCs w:val="24"/>
        </w:rPr>
        <w:t xml:space="preserve">The eligibility criteria were defined in the review protocol before the screening process began, to ensure consistency in the selection of studies across the title, abstract and full-text stages. The criteria were designed to identify research that is directly relevant to the review questions, and each exclusion decision in the screening register carries the code of the criterion under which it was made.</w:t>
      </w:r>
    </w:p>
    <w:p>
      <w:pPr>
        <w:spacing w:after="140" w:line="300"/>
        <w:jc w:val="both"/>
      </w:pPr>
      <w:r>
        <w:rPr>
          <w:rFonts w:ascii="Cambria" w:cs="Cambria" w:eastAsia="Cambria" w:hAnsi="Cambria"/>
          <w:color w:val="0000CC"/>
          <w:sz w:val="24"/>
          <w:szCs w:val="24"/>
        </w:rPr>
        <w:t xml:space="preserve">A study was included if it satisfied all of the following criteria:</w:t>
      </w:r>
    </w:p>
    <w:p>
      <w:pPr>
        <w:spacing w:after="140" w:line="300"/>
        <w:jc w:val="both"/>
      </w:pPr>
      <w:r>
        <w:rPr>
          <w:rFonts w:ascii="Cambria" w:cs="Cambria" w:eastAsia="Cambria" w:hAnsi="Cambria"/>
          <w:color w:val="0000CC"/>
          <w:sz w:val="24"/>
          <w:szCs w:val="24"/>
        </w:rPr>
        <w:t xml:space="preserve">1. IC1: Addresses healthcare, health/patient/clinical/medical data, EHR/EMR or closely related healthcare information systems.</w:t>
      </w:r>
    </w:p>
    <w:p>
      <w:pPr>
        <w:spacing w:after="140" w:line="300"/>
        <w:jc w:val="both"/>
      </w:pPr>
      <w:r>
        <w:rPr>
          <w:rFonts w:ascii="Cambria" w:cs="Cambria" w:eastAsia="Cambria" w:hAnsi="Cambria"/>
          <w:color w:val="0000CC"/>
          <w:sz w:val="24"/>
          <w:szCs w:val="24"/>
        </w:rPr>
        <w:t xml:space="preserve">2. IC2: Addresses patient consent, authorization, access control, trust, authority, permission or governance relevant to data access.</w:t>
      </w:r>
    </w:p>
    <w:p>
      <w:pPr>
        <w:spacing w:after="140" w:line="300"/>
        <w:jc w:val="both"/>
      </w:pPr>
      <w:r>
        <w:rPr>
          <w:rFonts w:ascii="Cambria" w:cs="Cambria" w:eastAsia="Cambria" w:hAnsi="Cambria"/>
          <w:color w:val="0000CC"/>
          <w:sz w:val="24"/>
          <w:szCs w:val="24"/>
        </w:rPr>
        <w:t xml:space="preserve">3. IC3: Contributes a mechanism, architecture, model, protocol, algorithm, formal model, implemented system or empirical evaluation relevant to at least one SLR review question.</w:t>
      </w:r>
    </w:p>
    <w:p>
      <w:pPr>
        <w:spacing w:after="140" w:line="300"/>
        <w:jc w:val="both"/>
      </w:pPr>
      <w:r>
        <w:rPr>
          <w:rFonts w:ascii="Cambria" w:cs="Cambria" w:eastAsia="Cambria" w:hAnsi="Cambria"/>
          <w:color w:val="0000CC"/>
          <w:sz w:val="24"/>
          <w:szCs w:val="24"/>
        </w:rPr>
        <w:t xml:space="preserve">4. IC4: Peer-reviewed journal or conference paper.</w:t>
      </w:r>
    </w:p>
    <w:p>
      <w:pPr>
        <w:spacing w:after="140" w:line="300"/>
        <w:jc w:val="both"/>
      </w:pPr>
      <w:r>
        <w:rPr>
          <w:rFonts w:ascii="Cambria" w:cs="Cambria" w:eastAsia="Cambria" w:hAnsi="Cambria"/>
          <w:color w:val="0000CC"/>
          <w:sz w:val="24"/>
          <w:szCs w:val="24"/>
        </w:rPr>
        <w:t xml:space="preserve">5. IC5: Available in English.</w:t>
      </w:r>
    </w:p>
    <w:p>
      <w:pPr>
        <w:spacing w:after="140" w:line="300"/>
        <w:jc w:val="both"/>
      </w:pPr>
      <w:r>
        <w:rPr>
          <w:rFonts w:ascii="Cambria" w:cs="Cambria" w:eastAsia="Cambria" w:hAnsi="Cambria"/>
          <w:color w:val="0000CC"/>
          <w:sz w:val="24"/>
          <w:szCs w:val="24"/>
        </w:rPr>
        <w:t xml:space="preserve">6. IC6: Full text available for final inclusion.</w:t>
      </w:r>
    </w:p>
    <w:p>
      <w:pPr>
        <w:spacing w:after="140" w:line="300"/>
        <w:jc w:val="both"/>
      </w:pPr>
      <w:r>
        <w:rPr>
          <w:rFonts w:ascii="Cambria" w:cs="Cambria" w:eastAsia="Cambria" w:hAnsi="Cambria"/>
          <w:color w:val="0000CC"/>
          <w:sz w:val="24"/>
          <w:szCs w:val="24"/>
        </w:rPr>
        <w:t xml:space="preserve">7. IC7: Within the protocol publication period (2020–2026) except separately documented seminal/snowball studies.</w:t>
      </w:r>
    </w:p>
    <w:p>
      <w:pPr>
        <w:spacing w:after="140" w:line="300"/>
        <w:jc w:val="both"/>
      </w:pPr>
      <w:r>
        <w:rPr>
          <w:rFonts w:ascii="Cambria" w:cs="Cambria" w:eastAsia="Cambria" w:hAnsi="Cambria"/>
          <w:color w:val="0000CC"/>
          <w:sz w:val="24"/>
          <w:szCs w:val="24"/>
        </w:rPr>
        <w:t xml:space="preserve">A study was excluded if it satisfied one or more of the following criteria:</w:t>
      </w:r>
    </w:p>
    <w:p>
      <w:pPr>
        <w:spacing w:after="140" w:line="300"/>
        <w:jc w:val="both"/>
      </w:pPr>
      <w:r>
        <w:rPr>
          <w:rFonts w:ascii="Cambria" w:cs="Cambria" w:eastAsia="Cambria" w:hAnsi="Cambria"/>
          <w:color w:val="0000CC"/>
          <w:sz w:val="24"/>
          <w:szCs w:val="24"/>
        </w:rPr>
        <w:t xml:space="preserve">1. EC1: Outside healthcare.</w:t>
      </w:r>
    </w:p>
    <w:p>
      <w:pPr>
        <w:spacing w:after="140" w:line="300"/>
        <w:jc w:val="both"/>
      </w:pPr>
      <w:r>
        <w:rPr>
          <w:rFonts w:ascii="Cambria" w:cs="Cambria" w:eastAsia="Cambria" w:hAnsi="Cambria"/>
          <w:color w:val="0000CC"/>
          <w:sz w:val="24"/>
          <w:szCs w:val="24"/>
        </w:rPr>
        <w:t xml:space="preserve">2. EC2: General blockchain/identity/security/privacy with no meaningful authorization/access-control/consent relevance.</w:t>
      </w:r>
    </w:p>
    <w:p>
      <w:pPr>
        <w:spacing w:after="140" w:line="300"/>
        <w:jc w:val="both"/>
      </w:pPr>
      <w:r>
        <w:rPr>
          <w:rFonts w:ascii="Cambria" w:cs="Cambria" w:eastAsia="Cambria" w:hAnsi="Cambria"/>
          <w:color w:val="0000CC"/>
          <w:sz w:val="24"/>
          <w:szCs w:val="24"/>
        </w:rPr>
        <w:t xml:space="preserve">3. EC3: Blockchain consensus but not authorization trust.</w:t>
      </w:r>
    </w:p>
    <w:p>
      <w:pPr>
        <w:spacing w:after="140" w:line="300"/>
        <w:jc w:val="both"/>
      </w:pPr>
      <w:r>
        <w:rPr>
          <w:rFonts w:ascii="Cambria" w:cs="Cambria" w:eastAsia="Cambria" w:hAnsi="Cambria"/>
          <w:color w:val="0000CC"/>
          <w:sz w:val="24"/>
          <w:szCs w:val="24"/>
        </w:rPr>
        <w:t xml:space="preserve">4. EC4: Identity authentication only; no meaningful healthcare authorization relevance.</w:t>
      </w:r>
    </w:p>
    <w:p>
      <w:pPr>
        <w:spacing w:after="140" w:line="300"/>
        <w:jc w:val="both"/>
      </w:pPr>
      <w:r>
        <w:rPr>
          <w:rFonts w:ascii="Cambria" w:cs="Cambria" w:eastAsia="Cambria" w:hAnsi="Cambria"/>
          <w:color w:val="0000CC"/>
          <w:sz w:val="24"/>
          <w:szCs w:val="24"/>
        </w:rPr>
        <w:t xml:space="preserve">5. EC5: Editorial, poster, presentation, magazine, news, tutorial or non-peer-reviewed item.</w:t>
      </w:r>
    </w:p>
    <w:p>
      <w:pPr>
        <w:spacing w:after="140" w:line="300"/>
        <w:jc w:val="both"/>
      </w:pPr>
      <w:r>
        <w:rPr>
          <w:rFonts w:ascii="Cambria" w:cs="Cambria" w:eastAsia="Cambria" w:hAnsi="Cambria"/>
          <w:color w:val="0000CC"/>
          <w:sz w:val="24"/>
          <w:szCs w:val="24"/>
        </w:rPr>
        <w:t xml:space="preserve">6. EC6: Duplicate publication.</w:t>
      </w:r>
    </w:p>
    <w:p>
      <w:pPr>
        <w:spacing w:after="140" w:line="300"/>
        <w:jc w:val="both"/>
      </w:pPr>
      <w:r>
        <w:rPr>
          <w:rFonts w:ascii="Cambria" w:cs="Cambria" w:eastAsia="Cambria" w:hAnsi="Cambria"/>
          <w:color w:val="0000CC"/>
          <w:sz w:val="24"/>
          <w:szCs w:val="24"/>
        </w:rPr>
        <w:t xml:space="preserve">7. EC7: Secondary review (kept separately for background/snowballing).</w:t>
      </w:r>
    </w:p>
    <w:p>
      <w:pPr>
        <w:spacing w:after="140" w:line="300"/>
        <w:jc w:val="both"/>
      </w:pPr>
      <w:r>
        <w:rPr>
          <w:rFonts w:ascii="Cambria" w:cs="Cambria" w:eastAsia="Cambria" w:hAnsi="Cambria"/>
          <w:color w:val="0000CC"/>
          <w:sz w:val="24"/>
          <w:szCs w:val="24"/>
        </w:rPr>
        <w:t xml:space="preserve">8. EC8: Full text unobtainable after reasonable attempts.</w:t>
      </w:r>
    </w:p>
    <w:p>
      <w:pPr>
        <w:spacing w:after="140" w:line="300"/>
        <w:jc w:val="both"/>
      </w:pPr>
      <w:r>
        <w:rPr>
          <w:rFonts w:ascii="Cambria" w:cs="Cambria" w:eastAsia="Cambria" w:hAnsi="Cambria"/>
          <w:color w:val="0000CC"/>
          <w:sz w:val="24"/>
          <w:szCs w:val="24"/>
        </w:rPr>
        <w:t xml:space="preserve">9. EC9: Superficial mention of healthcare or consent; no evidence for SLR questions.</w:t>
      </w:r>
    </w:p>
    <w:p>
      <w:pPr>
        <w:spacing w:after="140" w:line="300"/>
        <w:jc w:val="both"/>
      </w:pPr>
      <w:r>
        <w:rPr>
          <w:rFonts w:ascii="Cambria" w:cs="Cambria" w:eastAsia="Cambria" w:hAnsi="Cambria"/>
          <w:color w:val="0000CC"/>
          <w:sz w:val="24"/>
          <w:szCs w:val="24"/>
        </w:rPr>
        <w:t xml:space="preserve">Two rules governed the application of these criteria. First, a study was never excluded because it does not support the proposed research gap; the criteria concern relevance, document type and availability only, and a study whose findings contradict or weaken the gap was retained and coded in the same way as any other study. Second, any record whose eligibility was uncertain at a given stage was advanced to the next stage rather than excluded. In this context, it should be noted that several word-sense traps were identified during calibration and were frozen as screening rules: regulatory or insurance authorisation is not data authorisation, blockchain consensus is not consent, encryption is not authorisation, and informed consent to a clinical procedure without a data-access dimension falls under EC9. Secondary reviews excluded under EC7 were kept in a separate list for backward snowballing, and three of them [79, 80, 81] are cited as background in this chapter.</w:t>
      </w:r>
    </w:p>
    <w:p>
      <w:pPr>
        <w:pStyle w:val="Heading3"/>
        <w:spacing w:after="160" w:before="280"/>
      </w:pPr>
      <w:r>
        <w:rPr>
          <w:rFonts w:ascii="Cambria" w:cs="Cambria" w:eastAsia="Cambria" w:hAnsi="Cambria"/>
          <w:color w:val="0000CC"/>
          <w:sz w:val="24"/>
          <w:szCs w:val="24"/>
        </w:rPr>
        <w:t xml:space="preserve">2.3.6  Screening and Study Selection</w:t>
      </w:r>
    </w:p>
    <w:p>
      <w:pPr>
        <w:spacing w:after="140" w:line="300"/>
        <w:jc w:val="both"/>
      </w:pPr>
      <w:r>
        <w:rPr>
          <w:rFonts w:ascii="Cambria" w:cs="Cambria" w:eastAsia="Cambria" w:hAnsi="Cambria"/>
          <w:color w:val="0000CC"/>
          <w:sz w:val="24"/>
          <w:szCs w:val="24"/>
        </w:rPr>
        <w:t xml:space="preserve">The screening process consisted of four sequential stages: deduplication, title screening, abstract screening and full-text eligibility assessment. The counts reported below are those recorded in the PRISMA 2020 master workbook at the checkpoint of 10 September 2026 (decision D-166), and the arithmetic of each stage was verified against the screening register.</w:t>
      </w:r>
    </w:p>
    <w:p>
      <w:pPr>
        <w:spacing w:after="140" w:line="300"/>
        <w:jc w:val="both"/>
      </w:pPr>
      <w:r>
        <w:rPr>
          <w:rFonts w:ascii="Cambria" w:cs="Cambria" w:eastAsia="Cambria" w:hAnsi="Cambria"/>
          <w:color w:val="0000CC"/>
          <w:sz w:val="24"/>
          <w:szCs w:val="24"/>
        </w:rPr>
        <w:t xml:space="preserve">In the identification stage, the seven database searches returned 9,256 records (IEEE Xplore 1,806; SpringerLink 2,895; ProQuest 1,180; ScienceDirect 65; Scopus 2,133; Web of Science 1,137; ACM Digital Library 40). The Google Scholar discovery arm returned approximately 8,160 results, of which the first 100 were screened; the candidates identified in this way were checked by DOI against the merged register and are reported separately as records identified through other methods. Before screening, </w:t>
      </w:r>
      <w:r>
        <w:rPr>
          <w:rFonts w:ascii="Cambria" w:cs="Cambria" w:eastAsia="Cambria" w:hAnsi="Cambria"/>
          <w:color w:val="E6007E"/>
          <w:sz w:val="24"/>
          <w:szCs w:val="24"/>
        </w:rPr>
        <w:t xml:space="preserve">422 within-source duplicates from the SpringerLink and ScienceDirect sub-queries, together with the one IEEE Xplore record that was not captured at the export boundary (423 records in total),</w:t>
      </w:r>
      <w:r>
        <w:rPr>
          <w:rFonts w:ascii="Cambria" w:cs="Cambria" w:eastAsia="Cambria" w:hAnsi="Cambria"/>
          <w:color w:val="0000CC"/>
          <w:sz w:val="24"/>
          <w:szCs w:val="24"/>
        </w:rPr>
        <w:t xml:space="preserve"> and 2,794 cross-database duplicates were removed by DOI and normalised-title matching, leaving 6,039 unique records.</w:t>
      </w:r>
    </w:p>
    <w:p>
      <w:pPr>
        <w:spacing w:after="140" w:line="300"/>
        <w:jc w:val="both"/>
      </w:pPr>
      <w:r>
        <w:rPr>
          <w:rFonts w:ascii="Cambria" w:cs="Cambria" w:eastAsia="Cambria" w:hAnsi="Cambria"/>
          <w:color w:val="0000CC"/>
          <w:sz w:val="24"/>
          <w:szCs w:val="24"/>
        </w:rPr>
        <w:t xml:space="preserve">In the title stage, the panel first calibrated the screening rules on a set of 48 records, adjudicated the contested cases and froze the ruleset before the bulk screen was executed. Of the 6,039 titles screened, 2,910 were excluded, namely 1,396 under EC9 (clinical or health studies with no authorisation signal), 1,268 under EC1 (outside healthcare), 199 under EC7 (secondary reviews, moved to the snowballing list) and 47 under EC5 (front matter and non-peer-reviewed items). Every title exclusion was delivered with its reason code for a veto window, during which an adversarial rescue sweep returned 125 records to the uncertain category. The remaining 3,129 records advanced to the abstract stage.</w:t>
      </w:r>
    </w:p>
    <w:p>
      <w:pPr>
        <w:spacing w:after="140" w:line="300"/>
        <w:jc w:val="both"/>
      </w:pPr>
      <w:r>
        <w:rPr>
          <w:rFonts w:ascii="Cambria" w:cs="Cambria" w:eastAsia="Cambria" w:hAnsi="Cambria"/>
          <w:color w:val="0000CC"/>
          <w:sz w:val="24"/>
          <w:szCs w:val="24"/>
        </w:rPr>
        <w:t xml:space="preserve">In the abstract stage, the ruleset was frozen after three audit passes, which added a centrality test (the consent or authorisation concept must be central to the contribution and not mentioned in passing) and the word-sense traps noted in Section 2.3.5. Of the 3,129 records, 2,541 abstracts were screened and 741 were excluded, in the majority of cases under EC2 (no consent or authorisation relevance), with smaller groups under EC7 and EC9. The remaining 588 records, 575 of them from SpringerLink, could not be screened at this stage because the SpringerLink export does not contain abstracts; these records were marked as pending and were not advanced, and they are reported as such in the flow diagram rather than being counted as screened or excluded. Therefore, 1,800 records advanced to full-text retrieval.</w:t>
      </w:r>
    </w:p>
    <w:p>
      <w:pPr>
        <w:spacing w:after="140" w:line="300"/>
        <w:jc w:val="both"/>
      </w:pPr>
      <w:r>
        <w:rPr>
          <w:rFonts w:ascii="Cambria" w:cs="Cambria" w:eastAsia="Cambria" w:hAnsi="Cambria"/>
          <w:color w:val="0000CC"/>
          <w:sz w:val="24"/>
          <w:szCs w:val="24"/>
        </w:rPr>
        <w:t xml:space="preserve">Because the full-text pool of 1,800 records was too large to be read exhaustively within the study period, it was prioritised by signal detectors applied to the title and abstract of each record for the seven trust dimensions T1 to T7, the consent-core terms, formal-verification terms and evaluation terms. Tier A (39 records) comprises the records that combine a consent-core signal with at least three trust dimensions, or a multi-party signal with a consent-core signal, or a formal-verification signal with a consent-core signal. Tier B (1,066 records) comprises the records that carry a consent-core, multi-party or formal signal, or at least two trust-dimension signals, and Tier C (695 records) comprises the remainder. All 39 Tier A records were assessed at full text. Tier B and Tier C records were then read in a targeted order under a dimension-level saturation rule, under which saturation of a dimension is declared when eight consecutively coded studies carrying a positive signal for that dimension yield no new mechanism class for it; saturation is declared per dimension and never for the corpus as a whole. It should be noted that this prioritised full-text coding of Tiers B and C continues after the checkpoint under the same rule, and that the counts reported here are therefore those of the checkpoint of 10 September 2026.</w:t>
      </w:r>
    </w:p>
    <w:p>
      <w:pPr>
        <w:spacing w:after="140" w:line="300"/>
        <w:jc w:val="both"/>
      </w:pPr>
      <w:r>
        <w:rPr>
          <w:rFonts w:ascii="Cambria" w:cs="Cambria" w:eastAsia="Cambria" w:hAnsi="Cambria"/>
          <w:color w:val="0000CC"/>
          <w:sz w:val="24"/>
          <w:szCs w:val="24"/>
        </w:rPr>
        <w:t xml:space="preserve">Therefore, 1,735 of the 1,800 records sought at full text had not been assessed at the checkpoint, in addition to the 588 pending-abstract records that had not been screened. The completeness of the corpus is consequently bounded by the dimension-level saturation rule rather than by exhaustive reading, and this is declared as a limitation of the review that is carried into the interpretation of the synthesis in Section 2.5.</w:t>
      </w:r>
    </w:p>
    <w:p>
      <w:pPr>
        <w:spacing w:after="140" w:line="300"/>
        <w:jc w:val="both"/>
      </w:pPr>
      <w:r>
        <w:rPr>
          <w:rFonts w:ascii="Cambria" w:cs="Cambria" w:eastAsia="Cambria" w:hAnsi="Cambria"/>
          <w:color w:val="0000CC"/>
          <w:sz w:val="24"/>
          <w:szCs w:val="24"/>
        </w:rPr>
        <w:t xml:space="preserve">At the checkpoint, one full text could not be retrieved after five documented retrieval routes (EC8), and 64 full texts had been assessed for eligibility. Of these, 17 were excluded with reasons: nine under EC9 (superficial healthcare or consent relevance, including several studies in which consent was only a clinical procedure or a machine-learning metric), three under EC1 (outside healthcare), two under EC5 (non-peer-reviewed items), two under EC2 (no authorisation relevance) and one under EC4 (identity authentication only). Three studies were classified as secondary reviews under EC7 and retained for background [79, 80, 81]. The remaining 44 studies were included as primary studies and coded in full; of these, 23 are classified as core studies and 21 as supporting studies under the synthesis rule described in Section 2.3.7. Every included study also passed the quality gate described in Section 2.3.7, and the studies that fell exactly on the boundary of the gate were retained and tested in a sensitivity analysis rather than being excluded.</w:t>
      </w:r>
    </w:p>
    <w:p>
      <w:pPr>
        <w:keepNext/>
        <w:spacing w:after="60" w:before="140"/>
        <w:jc w:val="center"/>
      </w:pPr>
      <w:r>
        <w:drawing>
          <wp:inline distT="0" distB="0" distL="0" distR="0">
            <wp:extent cx="5715000" cy="4857750"/>
            <wp:effectExtent t="0" r="0" b="0" l="0"/>
            <wp:docPr id="1" name="gfig2.png" descr="Figure 2: PRISMA 2020 flow diagram of the study identification, screening, eligibility and inclusion stages, with the audited counts at the reporting checkpoint" title="Figure 2: 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57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2020 flow diagram of the study identification, screening, eligibility and inclusion stages, with the audited counts at the reporting checkpoint</w:t>
      </w:r>
    </w:p>
    <w:p>
      <w:pPr>
        <w:spacing w:after="140" w:line="300"/>
        <w:jc w:val="both"/>
      </w:pPr>
      <w:r>
        <w:rPr>
          <w:rFonts w:ascii="Cambria" w:cs="Cambria" w:eastAsia="Cambria" w:hAnsi="Cambria"/>
          <w:color w:val="0000CC"/>
          <w:sz w:val="24"/>
          <w:szCs w:val="24"/>
        </w:rPr>
        <w:t xml:space="preserve">Figure 2 presents the PRISMA 2020 flow diagram for this review, which summarises the identification, screening, eligibility and inclusion stages described above, including the records identified through the Google Scholar discovery arm, the pending-abstract records that were not advanced, the full text that could not be retrieved, and the reasons for exclusion at the full-text stage. The chain of counts in the diagram is internally consistent: 9,256 minus 2,794 minus 423 gives the 6,039 titles screened; 6,039 minus 2,910 gives the 3,129 records advanced to the abstract stage; 3,129 minus 741 minus 588 gives the 1,800 full texts sought; 39 plus 1,066 plus 695 gives the same 1,800; and the 64 full texts assessed comprise the 44 included primary studies, the three secondary studies and the 17 excluded reports.</w:t>
      </w:r>
    </w:p>
    <w:p>
      <w:pPr>
        <w:pStyle w:val="Heading3"/>
        <w:spacing w:after="160" w:before="280"/>
      </w:pPr>
      <w:r>
        <w:rPr>
          <w:rFonts w:ascii="Cambria" w:cs="Cambria" w:eastAsia="Cambria" w:hAnsi="Cambria"/>
          <w:color w:val="0000CC"/>
          <w:sz w:val="24"/>
          <w:szCs w:val="24"/>
        </w:rPr>
        <w:t xml:space="preserve">2.3.7  Data Extraction, Quality Assessment and Synthesis</w:t>
      </w:r>
    </w:p>
    <w:p>
      <w:pPr>
        <w:spacing w:after="140" w:line="300"/>
        <w:jc w:val="both"/>
      </w:pPr>
      <w:r>
        <w:rPr>
          <w:rFonts w:ascii="Cambria" w:cs="Cambria" w:eastAsia="Cambria" w:hAnsi="Cambria"/>
          <w:color w:val="0000CC"/>
          <w:sz w:val="24"/>
          <w:szCs w:val="24"/>
        </w:rPr>
        <w:t xml:space="preserve">The included studies were analysed using a predefined data extraction form that was implemented as the screening register of the workbook. For every study, the extracted information included the bibliographic record, the document type, the coding of the seven trust dimensions and the seven requirements defined below, the page reference and evidence note on which each positive coding rests, technology flags (blockchain, decentralised identifier, verifiable credential, threshold mechanism, policy model, revocation mechanism, formal method, prototype and dataset), the eight quality assessment items, the evidence tier, the gap-impact verdict, the reviewer and any recorded dissent. Extraction was performed only from the complete full text; a study whose full text was incomplete was not coded until the missing pages had been obtained.</w:t>
      </w:r>
    </w:p>
    <w:p>
      <w:pPr>
        <w:spacing w:after="140" w:line="300"/>
        <w:jc w:val="both"/>
      </w:pPr>
      <w:r>
        <w:rPr>
          <w:rFonts w:ascii="Cambria" w:cs="Cambria" w:eastAsia="Cambria" w:hAnsi="Cambria"/>
          <w:color w:val="0000CC"/>
          <w:sz w:val="24"/>
          <w:szCs w:val="24"/>
        </w:rPr>
        <w:t xml:space="preserve">Each study was coded against seven trust dimensions using the values Yes, Partial or No. T1 (identity) records whether the identity of a participant is established by a decentralised identifier, verifiable credential, public-key certificate or equivalent, noting that a DID string alone is not a verified identity. T2 (authority) records whether the case-specific authority of a participant is verified separately from authentication, because identity is not authorisation. T3 (multi-party) records whether at least two distinct and independent participants must approve, as in k-of-n thresholds, guardian co-consent or multi-signature; blockchain consensus, endorsement policies, multi-authority attribute-based encryption and the mere presence of multiple organisations do not qualify. T4 (policy) records whether purpose, role, data scope or context influences the decision, noting that a policy described in prose is not enforcement. T5 (temporal) records whether time influences the decision through a start, end or expiry, noting that a timestamp in a log is not temporal authorisation. T6 (lifecycle) records whether consent states and transitions such as active, revoked and expired are enforced, noting that mentioning revocation is not implementing it. T7 (audit) records whether verifiable evidence of the decision is produced, noting that an immutable record is not by itself a trustworthy decision.</w:t>
      </w:r>
    </w:p>
    <w:p>
      <w:pPr>
        <w:spacing w:after="140" w:line="300"/>
        <w:jc w:val="both"/>
      </w:pPr>
      <w:r>
        <w:rPr>
          <w:rFonts w:ascii="Cambria" w:cs="Cambria" w:eastAsia="Cambria" w:hAnsi="Cambria"/>
          <w:color w:val="0000CC"/>
          <w:sz w:val="24"/>
          <w:szCs w:val="24"/>
        </w:rPr>
        <w:t xml:space="preserve">Each study was further coded against the seven workbook requirements Req1 to Req7, which correspond to the seven review questions. Req1 is awarded only when consent is represented as an evaluable authorisation object with states, predicates, policy, lifecycle and evidence, and not for the mere existence of a consent record. Req2 requires that both identity and authority are verified, with Partial awarded when only one of them is. Req3 requires that authorisation depends on at least two independent participants. Req4 requires that purpose, scope, role or context is evaluated before access is granted, with Partial awarded when the policy is stored but does not influence the decision. Req5 requires that time or lifecycle state is technically enforced in the authorisation decision, with Partial awarded when it is recorded but not enforced. Req6 requires that security properties are formally defined and demonstrated by verification, model checking, a security proof, an attack model or a theorem, with Partial awarded for a threat discussion only; the statement that a system is secure is not evidence. Req7 requires working evidence in the form of a prototype, simulation, dataset, allow and deny test cases, attack cases or audit logs, noting that architecture diagrams alone are not empirical validation. Every positive coding required a page reference. Because Req 6 of this report combines formal security assurance with empirical validation, the workbook values of Req6 and Req7 are mapped to a single Req 6 column in the study tables of Section 2.4: a study is marked as satisfying Req 6 if either workbook value is Yes, as partially satisfying it if either value is Partial, and as not satisfying it otherwise.</w:t>
      </w:r>
    </w:p>
    <w:p>
      <w:pPr>
        <w:spacing w:after="140" w:line="300"/>
        <w:jc w:val="both"/>
      </w:pPr>
      <w:r>
        <w:rPr>
          <w:rFonts w:ascii="Cambria" w:cs="Cambria" w:eastAsia="Cambria" w:hAnsi="Cambria"/>
          <w:color w:val="E6007E"/>
          <w:sz w:val="24"/>
          <w:szCs w:val="24"/>
        </w:rPr>
        <w:t xml:space="preserve">Each study that passed the relevance criteria at the full-text stage was additionally evaluated against eight quality assessment items</w:t>
      </w:r>
      <w:r>
        <w:rPr>
          <w:rFonts w:ascii="Cambria" w:cs="Cambria" w:eastAsia="Cambria" w:hAnsi="Cambria"/>
          <w:color w:val="0000CC"/>
          <w:sz w:val="24"/>
          <w:szCs w:val="24"/>
        </w:rPr>
        <w:t xml:space="preserve"> scored 1 for Yes, 0.5 for Partial and 0 for No. The first four items form the quality gate: QA1 asks whether the study deals with patient consent or consent-governed data access at the healthcare level; QA2 asks whether it deals with an authorisation or access-decision mechanism rather than storage or recording only; QA3 asks whether it introduces a proper framework, model, protocol or architecture to address its aim; and QA4 asks whether the proposed methodology is validated by a proof of concept or an implementation. A study was included when the sum of QA1 to QA4 was at least 3.0. The remaining four items, QA5 to QA8, do not affect inclusion but inform the evidence tier assigned to each study, </w:t>
      </w:r>
      <w:r>
        <w:rPr>
          <w:rFonts w:ascii="Cambria" w:cs="Cambria" w:eastAsia="Cambria" w:hAnsi="Cambria"/>
          <w:color w:val="E6007E"/>
          <w:sz w:val="24"/>
          <w:szCs w:val="24"/>
        </w:rPr>
        <w:t xml:space="preserve">namely evidence Tier A for strong direct evidence, evidence Tier B for direct evidence with limitations, evidence Tier C for a supporting mechanism and Background for the secondary studies. It should be noted that these evidence tiers are distinct from the full-text priority tiers of Section 2.3.6, which use the same letters but rank records for reading order only</w:t>
      </w:r>
      <w:r>
        <w:rPr>
          <w:rFonts w:ascii="Cambria" w:cs="Cambria" w:eastAsia="Cambria" w:hAnsi="Cambria"/>
          <w:color w:val="0000CC"/>
          <w:sz w:val="24"/>
          <w:szCs w:val="24"/>
        </w:rPr>
        <w:t xml:space="preserve">. It should be noted that a low quality score was never treated as evidence for or against the research gap; studies with low scores were retained and their influence was tested in a sensitivity analysis. Quality items were scored for every included study and for exclusions in which the relevance gate corroborated the decision, </w:t>
      </w:r>
      <w:r>
        <w:rPr>
          <w:rFonts w:ascii="Cambria" w:cs="Cambria" w:eastAsia="Cambria" w:hAnsi="Cambria"/>
          <w:color w:val="E6007E"/>
          <w:sz w:val="24"/>
          <w:szCs w:val="24"/>
        </w:rPr>
        <w:t xml:space="preserve">but not for studies excluded as outside healthcare (EC1) or on document type, duplication, secondary status or unavailability (EC5 to EC8), because these criteria precede quality assessment in the protocol</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After the seven review questions had been answered for a study, the chair recorded a gap-impact verdict stating whether the study contradicts, weakens, narrows or supports the proposed research gap, or has no effect on it, followed by a rationale organised by the deficits identified in Section 2.5. On the basis of this verdict, the included studies were divided into core and supporting studies for the synthesis. The distinction was adopted at decision D-164 and tightened at decision D-166 to the following rule: a study is a core study if, and only if, its gap-impact verdict is contradicts, weakens or narrows, or its T3 coding is Yes or Partial. Under this rule, 23 of the 44 included studies are core studies and 21 are supporting studies. The distinction does not affect the PRISMA inclusion counts; supporting studies are reviewed in Section 2.4 and cited as corroboration, while the core studies carry the argument of the synthesis in Section 2.5.</w:t>
      </w:r>
    </w:p>
    <w:p>
      <w:pPr>
        <w:spacing w:after="140" w:line="300"/>
        <w:jc w:val="both"/>
      </w:pPr>
      <w:r>
        <w:rPr>
          <w:rFonts w:ascii="Cambria" w:cs="Cambria" w:eastAsia="Cambria" w:hAnsi="Cambria"/>
          <w:color w:val="0000CC"/>
          <w:sz w:val="24"/>
          <w:szCs w:val="24"/>
        </w:rPr>
        <w:t xml:space="preserve">Coding and synthesis were performed by the six-member review panel described in Section 2.3.1. For each full text, the panel executed a fixed review template in which the first member verified the completeness of the full text and the bibliographic identity of the record and applied the eligibility and quality gates, the second member coded consent representation and trust modelling, the third member coded identity, authority and multi-party authorisation, the fourth member coded policy, temporal and lifecycle enforcement, the fifth member coded formal assurance and empirical validation, and the chair issued the final decision and the gap-impact verdict. Where a member disagreed with the final decision, the dissent was recorded in the register against the study together with the reason, and the chair's decision stood subject to the author's ratification; a dissent was never removed from the log, so that the boundary cases remain visible in the sensitivity analysis. For full texts whose abstract already suggested a positive coding on a contested dimension, the tests that would decide that coding were pre-registered in the decision log before the full text was read, so that the outcome could not be adjusted after reading. The matrix of T1 to T7 and Req1 to Req7 values was re-derived from the register at every checkpoint, and the synthesis in Section 2.5 is based on the values held in the register at decision D-166.</w:t>
      </w:r>
    </w:p>
    <w:p>
      <w:pPr>
        <w:pStyle w:val="Heading3"/>
        <w:spacing w:after="160" w:before="280"/>
      </w:pPr>
      <w:r>
        <w:rPr>
          <w:rFonts w:ascii="Cambria" w:cs="Cambria" w:eastAsia="Cambria" w:hAnsi="Cambria"/>
          <w:color w:val="0000CC"/>
          <w:sz w:val="24"/>
          <w:szCs w:val="24"/>
        </w:rPr>
        <w:t xml:space="preserve">2.3.8  Shortlisted Studies and Their Categorisation</w:t>
      </w:r>
    </w:p>
    <w:p>
      <w:pPr>
        <w:spacing w:after="140" w:line="300"/>
        <w:jc w:val="both"/>
      </w:pPr>
      <w:r>
        <w:rPr>
          <w:rFonts w:ascii="Cambria" w:cs="Cambria" w:eastAsia="Cambria" w:hAnsi="Cambria"/>
          <w:color w:val="0000CC"/>
          <w:sz w:val="24"/>
          <w:szCs w:val="24"/>
        </w:rPr>
        <w:t xml:space="preserve">Each of the 44 shortlisted studies was analysed according to its scope, topic, authors, year of publication and its contribution to the review questions. Based on this analysis, each study was assigned to one of six review streams, which correspond to the six key requirements of Section 2.2: consent representation and blockchain-based consent governance (Req 1); decentralised identity and authority (Req 2); multi-party authorisation (Req 3); policy- and context-aware access control (Req 4); temporal validity and consent lifecycle (Req 5); and formal security assurance and empirical validation (Req 6). A study was placed in the stream in which its principal contribution lies, even though most studies touch on more than one requirement, and the extent to which each study addresses every requirement is recorded in the study tables of Section 2.4. The studies are listed in Table 2 in the order of their labels S1 to S44, together with their reference numbers [35] to [78]. The studies in each stream are reviewed in the next section, and their issues and limitations with respect to the key requirements defined in Section 2.2 are discussed.</w:t>
      </w:r>
    </w:p>
    <w:p>
      <w:pPr>
        <w:spacing w:after="140" w:line="300"/>
        <w:jc w:val="both"/>
      </w:pPr>
      <w:r>
        <w:rPr>
          <w:rFonts w:ascii="Cambria" w:cs="Cambria" w:eastAsia="Cambria" w:hAnsi="Cambria"/>
          <w:color w:val="0000CC"/>
          <w:sz w:val="24"/>
          <w:szCs w:val="24"/>
        </w:rPr>
        <w:t xml:space="preserve">Figure 3 profiles the 44 included studies by publication year and by review stream.</w:t>
      </w:r>
    </w:p>
    <w:p>
      <w:pPr>
        <w:keepNext/>
        <w:spacing w:after="80" w:before="160"/>
        <w:jc w:val="center"/>
      </w:pPr>
      <w:r>
        <w:rPr>
          <w:rFonts w:ascii="Cambria" w:cs="Cambria" w:eastAsia="Cambria" w:hAnsi="Cambria"/>
          <w:b/>
          <w:bCs/>
          <w:color w:val="0000CC"/>
          <w:sz w:val="21"/>
          <w:szCs w:val="21"/>
        </w:rPr>
        <w:t xml:space="preserve">Table 2: </w:t>
      </w:r>
      <w:r>
        <w:rPr>
          <w:rFonts w:ascii="Cambria" w:cs="Cambria" w:eastAsia="Cambria" w:hAnsi="Cambria"/>
          <w:color w:val="0000CC"/>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900"/>
        <w:gridCol w:w="600"/>
        <w:gridCol w:w="4440"/>
        <w:gridCol w:w="1600"/>
      </w:tblGrid>
      <w:tr>
        <w:trPr>
          <w:tblHeader/>
        </w:trPr>
        <w:tc>
          <w:tcPr>
            <w:tcW w:type="dxa" w:w="8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Authors (Year)</w:t>
            </w:r>
          </w:p>
        </w:tc>
        <w:tc>
          <w:tcPr>
            <w:tcW w:type="dxa" w:w="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Ref.</w:t>
            </w:r>
          </w:p>
        </w:tc>
        <w:tc>
          <w:tcPr>
            <w:tcW w:type="dxa" w:w="4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Title</w:t>
            </w:r>
          </w:p>
        </w:tc>
        <w:tc>
          <w:tcPr>
            <w:tcW w:type="dxa" w:w="1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Review stream</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Abbasi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Enabling Secure, Scalable, and Decentralized Management of Electronic Health Records Using Threshold Cryptography and Public Blockchains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Akter and Sanam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Framework for Secure Healthcare Data Management Using Role-Based Access Control and Smart Contracts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Albalwy et al. (2021)</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dynamic consent architecture to support clinical genomic data sharing (ConsentChain): Proof-of-concept study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 Amin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as Patient Driven Policy for Clinical Diagnosis and Treatment: A Smart Contract Based Approach</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Bhalerao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Decentralized Cryptographic Governance for Cloud-Based Medical Record Infrastructure: A Distributed Ledger Framework for Cyber-Resilient Healthcare Data Sovereignty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 Set Intersection Protocol for Medical Data Security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Chockalingam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Improving Security and Privacy of Cognitive Digital Twins Through Dynamic Consent for Healthcare and Resilient Societies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Dhanraj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Blockchain-Augmented Federated Learning for Secure and Healthcare Diagnosis from Distributed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Ekholm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Implementing electronic informed consent in rare disease genomics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Eneh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Demo: EdgeConsent: On-Chain Attribute-Based Access Control for Data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Ferreira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Integration for Trust and Consent Management in MCP-Enabled FHIR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Ghosh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Hybrid Quantum-Safe Attribute-Based Access Control Scheme with Attribute Revocation Strategy for Smart Healthcare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Hagström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Minors' and guardian access to and use of a national patient portal: A retrospective comparative case study of Sweden and Finland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Gao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and Efficient ABSE Scheme for Secure Medical Data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Jaiman and Urovi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Zhao and Su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authorization scheme for data sharing in healthcare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Privacy-Preserving Fine-Grained EMR Access Control for IoMT: A Hybrid RBAC-Smart Contract Scheme With Attribute-Based Authorization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Luo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Privacy-Aware Proxy Re-Encryption With Traceability and Revocation for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Madine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Fully Decentralized Multi-Party Consent Management for Secure Sharing of Patient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Maruthi and Singh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Security and Privacy of IoMT Data for Unconscious Patient With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Efficient Dual-Revocation CP-ABE for Secure and Fine-Grained Data Sharing in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Efficient Encryption Scheme with Fully Hidden Access Policy for Medical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Panagoulias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Trust and Compliance for Clinical AI: Decentralized Governance Without Decentralized Data Storage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Enabling Cross-Institution Health Data Sharing in Norway: EUDI Wallets, On-Chain Consent, and openEHR-FHIR Translation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Architecture for Dynamic and Auditable Patient Consent in Secondary Use of Health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Prashanth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Health Record Security and Privacy with Blockchain-Based Access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Punia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access control system for cloud-based healthcare systems driven by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Qiao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 Over Cloud Based on Blockchain and Secure Multi-Party Computation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Román-Martínez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Blockchain-Based Service-Oriented Architecture for Consent Management, Access Control, and Auditing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Hema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Centric Cryptographic Protection of Cloud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Sawant and Gomes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Decentralized Solution for Smarter and Safer Healthcare Systems with FabricMedChain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Shanmugham and Senthilkumar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Enabled Self-Sovereign Identity and Consent Framework for Secure Healthcare Data Access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Soohoo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Development of the authentication and authorization processes for the iAgree portal, a platform for patient-controlled data sharing across health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Ranaweera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Ensuring Electronic Health Record (EHR) Privacy using Zero Knowledge Proofs (ZKP) and Secure Encryption Schemes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Tan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Secure and privacy-preserving sharing of personal health records with multi-party pre-authorization verification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Teeda and Subba 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Blockchain Based Electronic Health Records for Data Privacy and Confidentiality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Tith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consent management by a purpose-based consent model for electronic health record based on blockchain technology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Tremper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Ten years of pseudonymization, record linkage, and informed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Tseng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Decentralized Electronic Medical Record Exchange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Wagner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Trusted Third Party Software into an EDC System for Data Protection - Compliant Identity Management, Consent Management and Pseudonymization in Medical Research Studies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Apply Trust Computing and Privacy Preserving Smart Contracts to Manage, Share, and Analyze Multi-site Clinical Trial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and Zhang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An efficient and authorizable multi-party privacy-preserving EMR sharing system based on DID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Xu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Based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(2022)</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Patient-centered cross-enterprise document sharing and dynamic consent framework using consortium blockchain and ciphertext-policy attribute-based encryption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bl>
    <w:p>
      <w:pPr>
        <w:spacing w:after="180"/>
      </w:pPr>
    </w:p>
    <w:p>
      <w:pPr>
        <w:keepNext/>
        <w:spacing w:after="60" w:before="140"/>
        <w:jc w:val="center"/>
      </w:pPr>
      <w:r>
        <w:drawing>
          <wp:inline distT="0" distB="0" distL="0" distR="0">
            <wp:extent cx="5715000" cy="2076450"/>
            <wp:effectExtent t="0" r="0" b="0" l="0"/>
            <wp:docPr id="1" name="gfig2a.png" descr="Figure 3: Profile of the 44 included primary studies: distribution by publication year and by review stream. Each study is assigned to the stream of its strongest coded requirement." title="Figure 3: Profile of the 44 included primary studies: distribution by publication year and by review stream. Each study is assigned to the stream of its strongest coded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3: Profile of the 44 included primary studies: distribution by publication year and by review stream. Each study is assigned to the stream of its strongest coded requirement.</w:t>
      </w:r>
    </w:p>
    <w:p>
      <w:pPr>
        <w:pStyle w:val="Heading2"/>
        <w:spacing w:after="160" w:before="280"/>
      </w:pPr>
      <w:r>
        <w:rPr>
          <w:rFonts w:ascii="Cambria" w:cs="Cambria" w:eastAsia="Cambria" w:hAnsi="Cambria"/>
          <w:color w:val="0000CC"/>
          <w:sz w:val="24"/>
          <w:szCs w:val="24"/>
        </w:rPr>
        <w:t xml:space="preserve">2.4  Review</w:t>
      </w:r>
    </w:p>
    <w:p>
      <w:pPr>
        <w:spacing w:after="140" w:line="300"/>
        <w:jc w:val="both"/>
      </w:pPr>
      <w:r>
        <w:rPr>
          <w:rFonts w:ascii="Cambria" w:cs="Cambria" w:eastAsia="Cambria" w:hAnsi="Cambria"/>
          <w:color w:val="0000CC"/>
          <w:sz w:val="24"/>
          <w:szCs w:val="24"/>
        </w:rPr>
        <w:t xml:space="preserve">This section reviews the 44 primary studies that were shortlisted in Section 2.3.8. The review is organised by the six key requirements of Section 2.2, so that Sections 2.4.1 to 2.4.6 correspond to Req 1 to Req 6 respectively. Each subsection reviews the primary studies that were assigned to that stream, states their issues and limitations with respect to the requirement in question, and ends with a table that summarises the studies and records their commitment to all six requirements, where √ denotes that the requirement is satisfied, ~ denotes that it is partially satisfied and × denotes that it is not satisfied, as coded from the full texts using the codebook described in Section 2.3. It should be noted that each study is assigned to one stream only, according to the requirement to which its main contribution relates; a study assigned to one stream may nevertheless be discussed briefly in another subsection when its coding is relevant to that requirement. The background surveys and position papers [1]–[34] are used only for context and do not appear in the tables, which list the 44 primary studies only. In addition, a small number of studies outside the healthcare consent domain, concerning archival record-keeping [8], blockchain data integrity [17], attested execution environments [23] and decentralised decision-making [29], were consulted as background for the supporting requirements of Section 2.2 and are not part of the review corpus.</w:t>
      </w:r>
    </w:p>
    <w:p>
      <w:pPr>
        <w:keepNext/>
        <w:spacing w:after="60" w:before="140"/>
        <w:jc w:val="center"/>
      </w:pPr>
      <w:r>
        <w:drawing>
          <wp:inline distT="0" distB="0" distL="0" distR="0">
            <wp:extent cx="5334000" cy="4095750"/>
            <wp:effectExtent t="0" r="0" b="0" l="0"/>
            <wp:docPr id="1" name="gfig2b.png" descr="Figure 4: Correspondence between the seven review questions of Section 2.3.2 and the sections of the review in which they are addressed, ending in the synthesis that leads to the research questions of Chapter 3." title="Figure 4: Correspondence between the seven review questions of Section 2.3.2 and the sections of the review in which they are addressed, ending in the synthesis that leads to the research questions of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957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4: Correspondence between the seven review questions of Section 2.3.2 and the sections of the review in which they are addressed, ending in the synthesis that leads to the research questions of Chapter 3.</w:t>
      </w:r>
    </w:p>
    <w:p>
      <w:pPr>
        <w:pStyle w:val="Heading3"/>
        <w:spacing w:after="160" w:before="280"/>
      </w:pPr>
      <w:r>
        <w:rPr>
          <w:rFonts w:ascii="Cambria" w:cs="Cambria" w:eastAsia="Cambria" w:hAnsi="Cambria"/>
          <w:color w:val="0000CC"/>
          <w:sz w:val="24"/>
          <w:szCs w:val="24"/>
        </w:rPr>
        <w:t xml:space="preserve">2.4.1  Consent Representation and Blockchain-Based Consent Governance</w:t>
      </w:r>
    </w:p>
    <w:p>
      <w:pPr>
        <w:spacing w:after="140" w:line="300"/>
        <w:jc w:val="both"/>
      </w:pPr>
      <w:r>
        <w:rPr>
          <w:rFonts w:ascii="Cambria" w:cs="Cambria" w:eastAsia="Cambria" w:hAnsi="Cambria"/>
          <w:color w:val="0000CC"/>
          <w:sz w:val="24"/>
          <w:szCs w:val="24"/>
        </w:rPr>
        <w:t xml:space="preserve">This section reviews the twelve studies whose main contribution is the representation and governance of patient consent, in most cases on a blockchain. Req 1 requires that consent is represented as a structured object whose components, namely the participating identities, the authority requirements, the permitted purpose and data scope, the temporal validity, the jurisdiction and the supporting evidence, can be evaluated at the time of each request. Earlier consent-management research represented consent as a permission indicating whether a party may perform an operation, and dynamic consent and consent receipts added the possibility of changing preferences over time and of retaining evidence of how consent was obtained [13, 10]. The question examined in this stream is whether the reviewed systems go beyond a stored consent record and make the consent itself an object that the access decision evaluates. The full-text coding shows that all twelve studies were graded Partial on Req 1 and that none was graded Yes. In this context, three situations recur: consent that is represented but absent from the decision, consent that is present in the decision but reduced to a boolean flag, and consent that is held in a registry whose status is displayed or queried but never enforced.</w:t>
      </w:r>
    </w:p>
    <w:p>
      <w:pPr>
        <w:spacing w:after="140" w:line="300"/>
        <w:jc w:val="both"/>
      </w:pPr>
      <w:r>
        <w:rPr>
          <w:rFonts w:ascii="Cambria" w:cs="Cambria" w:eastAsia="Cambria" w:hAnsi="Cambria"/>
          <w:color w:val="0000CC"/>
          <w:sz w:val="24"/>
          <w:szCs w:val="24"/>
        </w:rPr>
        <w:t xml:space="preserve">The first group represents consent as a permission flag on a ledger. Akter and Sanam [36] implement a Hyperledger Fabric framework in which a stored consent record with an Active status is checked as the first conjunct of the access decision, followed by a role check, with a named deny path (ConsentNotGranted). The consent object is, however, a per-record boolean: it names no grantee, no purpose, no temporal bounds and no lifecycle operation, since no grant, revoke, withdraw or expiry operation is defined anywhere in the paper. The evaluation times the decision path (below 350 ms) but reports no denial, although three deny-log types are designed. Prashanth et al. [60] deploy a Solidity contract in which the decision is the conjunction of an owner whitelist and a per-(user, record) patient grant, with grantAccess and revokeAccess operations and events; the post-revocation denial is never demonstrated, no roles, purposes or temporal terms are evaluated, and the results consist of two gas figures and interface screenshots. Dhanraj et al. [42] combine federated learning with a Ganache testnet in which consent exists only as a Consent Logging contract call with a measured gas cost, and EHR Access Authorization exists only as a function name; no consent object, no authorisation predicate, no deny path and no identity mechanism are described, and the four contract operations are timed but never exercised as decisions. Sawant and Gomes [65] present FabricMedChain, a Fabric consortium with chaincode-enforced role-based access control and Caliper benchmarking; consent is mentioned repeatedly in the prose, yet the formal decision rule of the paper and the enforcement algorithm evaluate role-permission membership only, so consent is unrepresented in the decision despite the claims. The section titled formal security analysis contains a threat model and a simulated adversarial campaign but no formal method, and the broadest measurement campaign in the corpus never verifies the authorisation function it formalises.</w:t>
      </w:r>
    </w:p>
    <w:p>
      <w:pPr>
        <w:spacing w:after="140" w:line="300"/>
        <w:jc w:val="both"/>
      </w:pPr>
      <w:r>
        <w:rPr>
          <w:rFonts w:ascii="Cambria" w:cs="Cambria" w:eastAsia="Cambria" w:hAnsi="Cambria"/>
          <w:color w:val="0000CC"/>
          <w:sz w:val="24"/>
          <w:szCs w:val="24"/>
        </w:rPr>
        <w:t xml:space="preserve">The second group binds consent to cryptographic operations. Zhang et al. [78] combine a consortium Ethereum network with ciphertext-policy attribute-based encryption for cross-enterprise document sharing; the access policy is embedded once, at encryption time, by the hospital server from two fixed templates, and it is evaluated cryptographically at each decryption. The patient does not author the policy, no purpose term exists, the time-aware property is an integer date comparison against an attribute fixed in the key at key generation, so that an in-window key decrypts indefinitely after expiry, and revocation consists of asking the server to delete a key it holds. Teeda and Subba Rao [70] propose a patient-centric scheme with identity-based proxy re-encryption in which consent is a per-request triple of a ciphertext share, a re-encryption key and a session time; there is no consent object, no state and no record, nothing is implemented, no revocation exists, and the printed correctness derivation is algebraically inconsistent. Ranaweera et al. [68] implement a zero-knowledge-proof login, homomorphic encryption for research outsourcing and an Ethereum consent workflow; the insurance access purpose is a free-text comment that the patient reads and approves manually, the granular time-scoped role-based access layer is named but not specified, and although a manual revocation followed by a refused re-access is demonstrated, the claimed automatic expiry is untested and its enforcement locus is unspecified.</w:t>
      </w:r>
    </w:p>
    <w:p>
      <w:pPr>
        <w:spacing w:after="140" w:line="300"/>
        <w:jc w:val="both"/>
      </w:pPr>
      <w:r>
        <w:rPr>
          <w:rFonts w:ascii="Cambria" w:cs="Cambria" w:eastAsia="Cambria" w:hAnsi="Cambria"/>
          <w:color w:val="0000CC"/>
          <w:sz w:val="24"/>
          <w:szCs w:val="24"/>
        </w:rPr>
        <w:t xml:space="preserve">The third group consists of deployed platforms and research infrastructures. Soohoo et al. [67] describe the authentication and authorisation module of the iAgree portal, deployed across three United States health systems, with OAuth2, SMART on FHIR and one-time-password identity that was tested with matched and unmatched accounts. Consent is a preference matrix of data category by recipient type whose enforcement is outside the scope of the paper, a single patient decides, the one-hour window is a session token rather than a consent validity period, and revocation is append-only and untested. Tremper et al. [72] report ten years of the Mainzelliste pseudonymisation and consent-management service, an open-source production tool with modular FHIR consent directives scoped by use type and an automated consent-check capability. The paper specifies no check semantics, no term list and no allow or deny protocol; consent withdrawal is implemented at the registry level through an API delete, with no downstream enforcement shown; the reason for each request is captured for audit but not adjudicated; and the security evidence is an independent penetration test and a secure development process rather than a formal analysis. Wagner et al. [74] integrate the gICS consent service, E-PIX identity management and pseudonymisation into a REDCap electronic data capture system; consent is held as modular policies with consented and not-consented states that are displayed to study personnel and queried through an interface, but nothing in the system makes an access decision depend on that state, so that data-use governance remains organisational.</w:t>
      </w:r>
    </w:p>
    <w:p>
      <w:pPr>
        <w:spacing w:after="140" w:line="300"/>
        <w:jc w:val="both"/>
      </w:pPr>
      <w:r>
        <w:rPr>
          <w:rFonts w:ascii="Cambria" w:cs="Cambria" w:eastAsia="Cambria" w:hAnsi="Cambria"/>
          <w:color w:val="0000CC"/>
          <w:sz w:val="24"/>
          <w:szCs w:val="24"/>
        </w:rPr>
        <w:t xml:space="preserve">The fourth group is conceptual. Bhalerao [39] proposes a design-only blueprint combining symmetric encryption, attribute-based encryption and smart contracts for consent and policy checking; no code, deployment or dataset exists, the results are projected, formal verification is deferred to future work, and the paper's own gap analysis concedes that real-time revocation mechanisms remain underdeveloped. Chockalingam et al. [41] describe a dynamic-consent framework for cognitive digital twins with a context-aware decision engine that outputs grant, prompt or deny and escalates to a human; the engine has named inputs and example rules but no rule language, algorithm or enforcement, purpose enters only as a prompt to the user and not as an evaluated term, caregivers are recipients rather than co-authorisers, and the framework is explicitly unimplemented. It should be noted that this study unifies dynamic consent, trust and context in one design with the broadest vocabulary in the stream, while providing neither assurance nor evidence.</w:t>
      </w:r>
    </w:p>
    <w:p>
      <w:pPr>
        <w:spacing w:after="140" w:line="300"/>
        <w:jc w:val="both"/>
      </w:pPr>
      <w:r>
        <w:rPr>
          <w:rFonts w:ascii="Cambria" w:cs="Cambria" w:eastAsia="Cambria" w:hAnsi="Cambria"/>
          <w:color w:val="0000CC"/>
          <w:sz w:val="24"/>
          <w:szCs w:val="24"/>
        </w:rPr>
        <w:t xml:space="preserve">Taken together, the studies in this stream show that the representation of consent and the evaluation of consent have largely been developed apart. Where consent enters the access decision, it enters as a boolean [36, 60]; where the consent object is rich, as in the FHIR-based directives of Mainzelliste [72] and gICS [74], the evaluation semantics are unspecified or enforcement is left to the organisation; and where consent is bound to cryptography [78, 70], the conditions are fixed at encryption or key-issuance time and cannot be re-evaluated at the time of the request. In addition, none of the twelve studies verifies its own authorisation decisions: those that are implemented report latency, gas or throughput without a single allow or deny correctness case, and Req 6 is graded No for ten of them. No study in this stream involves more than one authorising party, and Req 3 is graded No for all twelve. The closest single-party analogues of the consent object C = (I, A, P, T, L, E) required by the proposed framework are found not here but in Section 2.4.2, in the on-chain consent object of Phuyal et al. [58] and the consent token of Shanmugham and Senthilkumar [66], and in the patient-driven policy of Al Amin et al. [38] in Section 2.4.3. Therefore, Req 1 is partially addressed throughout this stream, but consent as an object that is evaluated on every request against identity, authority, purpose, scope, time and jurisdiction is not provided by any of the reviewed consent-governance systems. Table 3 presents a summary of the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3: </w:t>
      </w:r>
      <w:r>
        <w:rPr>
          <w:rFonts w:ascii="Cambria" w:cs="Cambria" w:eastAsia="Cambria" w:hAnsi="Cambria"/>
          <w:color w:val="0000CC"/>
          <w:sz w:val="21"/>
          <w:szCs w:val="21"/>
        </w:rPr>
        <w:t xml:space="preserve">Descriptions, issues and limitations of existing studies on consent representation and blockchain-based consent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 [36]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Hyperledger Fabric framework with Go chaincode and IPFS storage in which a stored consent record with an Active status is checked as the first conjunct of the decision, followed by role-based authorisation, with a named ConsentNotGranted deny path; a simulated prototype reports sub-350 ms access validation.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a per-record boolean with no grantee, purpose, temporal bounds or lifecycle operations (no grant, revoke, withdraw or expiry defined); roles are self-selected at login; three deny-log types are designed but no denial is reported; no threat model or formal content; no dataset or code release.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 [39]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blueprint for cloud medical records combining AES-256-GCM, SHA-256 and CP-ABE with smart contracts for consent and policy checking; the decision flow validates attributes (role, department, clearance) against a policy before granting or denying and logging.</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Nothing is implemented and the reported results are projected estimates; no consent object structure, no multi-party approval (the key ceremony is genesis bootstrapping), one clause on time-based restrictions, revocation only as a design mention; formal verification is explicitly future work.</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 [41]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conceptual dynamic-consent framework for cognitive digital twins with a context-aware engine whose inputs include role, device, network, environment, time and human factors, and whose outputs are grant, prompt or deny with escalation; consent history and real-time revocation are narrated.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Self-declared conceptual with no implementation, simulation or evaluation; no rule language, algorithm or enforcement; purpose is a prompt to the user, not an engine input; caregivers are recipients, not co-authorisers; trust scores are named without any model; no security analysis of any kind.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 [42]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federated-learning diagnosis pipeline (TensorFlow Federated, three hospital nodes) anchored to a Ganache Ethereum testnet with four Solidity operations, including Consent Logging and EHR Access Authorization, whose gas and latency are measured on the UCI heart-disease dataset.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reduced to a logged event with a gas cost; no consent object, authorisation predicate, deny path or identity mechanism is described; the contract operations are timed but never exercised as decisions; no revocation or expiry; no security analysis; the hospital nodes are training parties, not authorisers.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 [60]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Solidity contract deployed in Remix for blockchain-based access management in which the decision is the conjunction of an owner whitelist and a per-(user, record) patient grant, with grantAccess and revokeAccess operations and on-chain events; deployment gas and interface panels are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is a boolean grant without roles, purpose, context or temporal terms; post-revocation denial is never demonstrated; wallet-address identity without credentials; no threat model or formal content; abstract-level benchmarking claims have no corresponding body evidence; no dataset, tests or code.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 [65]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FabricMedChain, a Hyperledger Fabric v2.4 consortium with chaincode-enforced role-based access control, attribute-based certificates, break-glass override tokens and a DPoS overlay, benchmarked with Caliper on MIMIC-III-derived workloads including fault injection and six simulated attack classes.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mentioned throughout but is absent from the decision decision function, which evaluates role-permission membership only; no purpose or scope; the formal security analysis is a threat model and simulated attacks without formal methods; the extensive measurement campaign verifies no allow or deny decision; abstract figures contradict the body.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authentication and authorisation module of the iAgree patient-controlled data-sharing portal, deployed at three health systems, with OAuth2, SMART on FHIR and one-time-password identity, a patient preference matrix of data category by recipient type, and a permissioned Ethereum audit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decides and multi-institution is not multi-party; authorisation is OAuth2 delegation with no separate authority evidence for researchers; enforcement of the preference matrix is out of scope; the one-hour window is a session token, not consent validity; revocation is append-only and untested; no formal methods; functional tests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 [68]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web application with a Circom/Plonk zero-knowledge-proof wallet login, BFV homomorphic encryption for research outsourcing, an Ethereum consent workflow for insurance access requests, and a manual single-click revocation that was shown to refuse subsequent re-access.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zero-knowledge proof authenticates wallet ownership only; the access reason is free text read by the patient, not an evaluated purpose; the time-scoped role layer is named without schema or algorithm; automatic expiry is claimed but untested with an unspecified locus; single-locus consent; no formal analysis, measurements, dataset or code.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 [70]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electronic health record scheme in which the record ciphertext is split between the chain and the patient wallet, and each access is authorised by the patient supplying a share, an identity-based proxy re-encryption key and a user-defined session time to a smart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implementation, simulation or measurement of any kind; consent is a per-request cryptographic act with no object, state or record; no policy, purpose, role or scope; no revocation; the session expiry is unenforceable after delivery because the doctor decrypts with a permanent key; the printed correctness derivation is defective.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an open-source pseudonymisation, record-linkage and consent-management service in production since 2015, with multi-tenant role-based access control, per-request token validation, modular FHIR consent directives scoped by use type, an automated consent-check capability and registry-level consent withdrawal.</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consent-check semantics, term list and allow or deny protocol are not specified in the paper; withdrawal is a registry operation whose downstream enforcement is not shown; no temporal validity; the secure multi-party computation parties perform record linkage, not authorisation; security evidence is a penetration test without formal analysis; no consent decision is verified.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 [74]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the gICS consent service, E-PIX identity management and a pseudonymisation dispatcher into the REDCap electronic data capture system, released as an open-source module, in which modular consent policies carry consented or not-consented states that study personnel can view and query.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state is displayed and queried but no access decision depends on it, so enforcement remains organisational; project-scoped roles without case-specific authority; the trusted third party is a pseudonymisation unit, not an authoriser; no temporal terms; withdrawal effect on downstream data not shown; no threat model; functional description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 [78]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cross-enterprise document-sharing and dynamic-consent framework on a consortium Ethereum network with a smart-contract registry, IPFS storage and ciphertext-policy attribute-based encryption in which a hospital server embeds one of two fixed access policies at encryption time and the patient issues decryption keys.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patient does not author the policy and no purpose term exists; the time-aware property compares a date fixed in the key at issuance, so an in-window key decrypts after expiry; revocation is honest-server key deletion and the custodial key is irrevocable; no credentials; no formal analysis; performance measured with no allow or deny or attack test.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2.4.2  Decentralised Identity and Authority Trust</w:t>
      </w:r>
    </w:p>
    <w:p>
      <w:pPr>
        <w:spacing w:after="140" w:line="300"/>
        <w:jc w:val="both"/>
      </w:pPr>
      <w:r>
        <w:rPr>
          <w:rFonts w:ascii="Cambria" w:cs="Cambria" w:eastAsia="Cambria" w:hAnsi="Cambria"/>
          <w:color w:val="0000CC"/>
          <w:sz w:val="24"/>
          <w:szCs w:val="24"/>
        </w:rPr>
        <w:t xml:space="preserve">This section reviews the five studies whose main contribution is the decentralised verification of the participants in a consent decision. Req 2 requires that the patient, the guardians, the healthcare professional and the institution can be identified without a single central identity provider, and that establishing who a participant is (identity) is treated separately from establishing what that participant may do (authority), each with its own evidence. Decentralised identifiers and verifiable credentials provide the first capability [20, 33, 4, 16], and the reviewed studies apply them, or national equivalents, to healthcare data exchange. It should be noted that the coding distinguishes T1 (identity established by DID, VC, PKI or certificate) from T2 (case-specific authority verified separately from authentication). Across the 44 primary studies, T2 was graded Yes in only 10 studies and Partial in 34; that is, in more than three quarters of the corpus a verified identity, a platform role or an administratively assigned attribute stands in for authority over a particular patient's data.</w:t>
      </w:r>
    </w:p>
    <w:p>
      <w:pPr>
        <w:spacing w:after="140" w:line="300"/>
        <w:jc w:val="both"/>
      </w:pPr>
      <w:r>
        <w:rPr>
          <w:rFonts w:ascii="Cambria" w:cs="Cambria" w:eastAsia="Cambria" w:hAnsi="Cambria"/>
          <w:color w:val="0000CC"/>
          <w:sz w:val="24"/>
          <w:szCs w:val="24"/>
        </w:rPr>
        <w:t xml:space="preserve">Phuyal et al. [58] present the most integrated system in the corpus, a simulated Norwegian cross-institution exchange in which patients and professionals hold EUDI-compatible wallets with W3C decentralised identifiers and verifiable credentials, consent is an executable on-chain object carrying the patient identifier, the requester identifier, the data scope and an expiry together with an ACTIVE or REVOKED state on a Hyperledger Besu ledger, and access proofs are generated with Groth16 circuits. Identity verification checks the issuer registry, the signature and the credential expiry, and, importantly for Req 2, a licensing-body credential asserts the professional's role, specialisation and scope of practice, which the system verifies separately from authentication. This is the strongest Req 2 evidence in the corpus. Revocation is enforced at run time in 1.45 seconds and subsequent access returns an error, and allow and deny cases are tested over 100 runs per workflow. The limitations are equally precise: a single patient grants a bilateral data-sharing agreement and there is no multi-party approval, the expiry field is stored on the ledger but the access algorithm checks only state and proof, purpose exists only at the user-interface level, and there is no threat model, formal verification or adversarial test. The companion architecture of Phuyal et al. [59] extends the design to secondary use with a FHIR Consent resource carrying purpose, scope, actors and validity period, and specifies validation of these constraints at decision time; however, the authors state that nothing is implemented or evaluated, so every dimension is capped at Partial, and the proxy or guardian delegation mentioned as an option is substitution rather than joint approval.</w:t>
      </w:r>
    </w:p>
    <w:p>
      <w:pPr>
        <w:spacing w:after="140" w:line="300"/>
        <w:jc w:val="both"/>
      </w:pPr>
      <w:r>
        <w:rPr>
          <w:rFonts w:ascii="Cambria" w:cs="Cambria" w:eastAsia="Cambria" w:hAnsi="Cambria"/>
          <w:color w:val="0000CC"/>
          <w:sz w:val="24"/>
          <w:szCs w:val="24"/>
        </w:rPr>
        <w:t xml:space="preserve">Ferreira et al. [45] integrate a permissioned ledger with a Model Context Protocol gateway over FHIR servers so that every entity holds a decentralised identifier, the requester's credential is verified at the consent check, and a single authorisation call conjoins the subject, the purpose, the scope and the time over the current consent state, with on-chain revocation lists invalidating cached grants. This is the widest designed predicate in the corpus. Nevertheless, case-specific authority reduces to the credential plus the consent state without separate authority evidence, the guardians named in the paper are a social key-recovery mechanism rather than co-authorisers, the contract interfaces are referenced but not shown, no code is released, the quantitative results are captioned as illustrative, and no allow or deny correctness matrix or attack test is reported. Shanmugham and Senthilkumar [66] propose a self-sovereign identity and consent framework in which the consent token carries the patient identifier, a role, a scope with permissions, a validity interval and a three-state lifecycle, and the decision conjoins a zero-knowledge proof of an issuer-signed provider credential with scope validity, temporal validity and lifecycle state. The token is the closest single-party structural analogue of the consent object required by the proposed framework, but the patient identifier is a self-generated key pair without proofing, the role-to-token match is described in prose rather than in the formal predicate, the issuer trust root is unspecified, the reported stack is internally inconsistent (Hyperledger Fabric with Solidity contracts, PBFT and gas in gwei), and no denial after revocation or expiry is tested.</w:t>
      </w:r>
    </w:p>
    <w:p>
      <w:pPr>
        <w:spacing w:after="140" w:line="300"/>
        <w:jc w:val="both"/>
      </w:pPr>
      <w:r>
        <w:rPr>
          <w:rFonts w:ascii="Cambria" w:cs="Cambria" w:eastAsia="Cambria" w:hAnsi="Cambria"/>
          <w:color w:val="0000CC"/>
          <w:sz w:val="24"/>
          <w:szCs w:val="24"/>
        </w:rPr>
        <w:t xml:space="preserve">Tseng et al. [73] present EMR-Chain, an open-source decentralised medical record exchange that combines an Ethereum identity chain with a Hyperledger Fabric record chain. The identifier is a government-endorsed hashed national identity bound to a wallet, which the authors call a DID although it is not a W3C decentralised identifier; professional identities are X.509 certificates issued by the ministry certificate authority, and roles are granted by the health authority, so that authority is verified separately from authentication. The system is benchmarked against national exchange statistics and the code is public. Its limitations with respect to the later requirements are that the patient and requester co-signature on a request is bilateral authentication rather than independent approval, purpose is logged in the transaction record but never evaluated, scope is at the hospital level, the token expiry enforced at the validator is a session bound rather than a consent validity window, revocation of the access list does not invalidate tokens already issued, and the security discussion is narrative.</w:t>
      </w:r>
    </w:p>
    <w:p>
      <w:pPr>
        <w:spacing w:after="140" w:line="300"/>
        <w:jc w:val="both"/>
      </w:pPr>
      <w:r>
        <w:rPr>
          <w:rFonts w:ascii="Cambria" w:cs="Cambria" w:eastAsia="Cambria" w:hAnsi="Cambria"/>
          <w:color w:val="0000CC"/>
          <w:sz w:val="24"/>
          <w:szCs w:val="24"/>
        </w:rPr>
        <w:t xml:space="preserve">In summary, identity is the strongest dimension of this stream, with T1 graded Yes in four of the five studies, but authority verified with its own evidence is found only in Phuyal et al. [58] through licensing-body credentials and in Tseng et al. [73] through authority-issued roles. The remaining eight Yes gradings for T2 in the corpus belong to other streams, and several of them do not use decentralised identifiers at all: Ekholm et al. [43] and Hagström et al. [47] verify legal guardianship against a national population register, Madine et al. [53] rely on a regulatory agency, and Punia et al. [61] bind roles, attributes and access tokens to their owners independently of the sender address. In addition, the studies of this stream that come closest to an evaluable consent object [58, 45, 66] are single-party designs, none of them is formally assured, and only Phuyal et al. [58] verify allow and deny outcomes. Therefore, the literature provides mature mechanisms for decentralised identity and increasingly for credential-based authority, but it does not yet combine separated identity and authority evidence with multi-party approval, policy evaluation and formal assurance in one decision. Table 4 presents a summary of the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4: </w:t>
      </w:r>
      <w:r>
        <w:rPr>
          <w:rFonts w:ascii="Cambria" w:cs="Cambria" w:eastAsia="Cambria" w:hAnsi="Cambria"/>
          <w:color w:val="0000CC"/>
          <w:sz w:val="21"/>
          <w:szCs w:val="21"/>
        </w:rPr>
        <w:t xml:space="preserve">Descriptions, issues and limitations of existing studies on decentralised identity and authority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 [45]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permissioned-ledger consent registry and provenance ledger integrated with a Model Context Protocol gateway over HAPI FHIR servers, in which every entity holds a W3C DID, requester credentials are verified at the consent check, one authorisation call conjoins subject, purpose, scope and time over the consent state, and on-chain revocation lists invalidate cached grants.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Authority reduces to the credential plus consent state with no separate authority evidence; the guardians are key recovery, not co-authorisers; single patient issues consent; contract interfaces are referenced but not shown and no code is released; results are captioned illustrative; no allow or deny matrix or attack test; threat model only, no proof.</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simulated Norwegian cross-institution exchange with EUDI-compatible wallets, W3C DIDs and VCs, an executable on-chain consent object (patient DID, requester DID, scope, expiry, state) on Hyperledger Besu, Groth16 access proofs, licensing-body credentials asserting role and scope of practice, run-time revocation (1.45 s) and an openEHR to FHIR bridge; allow and deny outcomes tested over 100 runs.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grants a bilateral agreement with no multi-party approval; the expiry field is stored but the access algorithm checks only state and proof; purpose is at the user-interface level with no policy engine; no threat model, formal verification or adversarial test; simulation only with a node-count inconsistency.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architecture for dynamic and auditable consent in secondary use in which a FHIR Consent resource carrying purpose, scope, actors and validity period is anchored on an Ethereum-compatible ledger, requester credentials are validated in three steps at a gateway, and validation of purpose, scope and duration at decision time is specified.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Explicitly not implemented and not evaluated, so no dimension is enforced; proxy or guardian delegation is a substitution option rather than joint approval; revocation is specified but not implemented; the STRIDE-style threat table is declared non-exhaustive with no proof or verification; same author group as [58].</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 [66]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self-sovereign identity and consent framework in which a patient-issued consent token carries identifier, role, scope and permissions, a validity interval and an ACTIVE, REVOKED or EXPIRED state, and the decision conjoins a ZoKrates zero-knowledge proof of an issuer-signed provider credential with scope, temporal and lifecycle validity; simulated on four peers with 100 to 10,000 synthetic records.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patient DID is a self-generated key pair without proofing and the issuer trust root is unspecified; the role-to-token match is prose, not part of the formal predicate; no purpose of use; no denial after revocation or expiry is tested; the stack is internally inconsistent (Fabric with Solidity, PBFT, gas in gwei); one qualitative threat paragraph; author-assigned comparator scores.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an open-source decentralised record exchange combining an Ethereum identity chain, on which a government-endorsed hashed national identity is bound to a wallet, with a Hyperledger Fabric record chain using X.509 identities from the ministry certificate authority, health-authority-granted roles, a patient-adjustable per-hospital access list and JWT validation, benchmarked against national exchange statistics.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identifier is not a W3C DID; the patient and requester co-signature is bilateral authentication, not independent approval; purpose is logged but never evaluated and scope is hospital-level; JWT expiry is a session bound rather than consent validity; access-list revocation does not invalidate issued tokens; narrative security discussion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2.4.3  Multi-Party Authorisation and Collaborative Consent</w:t>
      </w:r>
    </w:p>
    <w:p>
      <w:pPr>
        <w:spacing w:after="140" w:line="300"/>
        <w:jc w:val="both"/>
      </w:pPr>
      <w:r>
        <w:rPr>
          <w:rFonts w:ascii="Cambria" w:cs="Cambria" w:eastAsia="Cambria" w:hAnsi="Cambria"/>
          <w:color w:val="0000CC"/>
          <w:sz w:val="24"/>
          <w:szCs w:val="24"/>
        </w:rPr>
        <w:t xml:space="preserve">This section reviews the eight studies whose main contribution involves the participation of more than one party in a consent or access decision. Req 3 requires that, where a single party cannot lawfully authorise access on its own, a predefined number of designated parties must each provide an independently verifiable approval, and that this threshold condition is represented within the consent object and can be checked by any party at a later time. An earlier version of this review, which was based on the background corpus [1]–[34], stated that multi-party joint authorisation of patient data access had not been realised in the literature. The full-text coding of the present corpus does not support that statement, and it is withdrawn. Across the 44 primary studies, T3 (at least two distinct independent participants must approve) was graded Yes in 6 studies, Partial in 4 and No in 34, and the coding panel ratified six distinct mechanism classes of multi-party authorisation. It should be noted that the coding applied a strict word-sense discipline: blockchain consensus, endorsement policies, multi-authority attribute-based encryption, secure multi-party computation parties, requester co-signatures and social key-recovery guardians were not counted as multi-party authorisation, because none of them adds an independent authoriser to the decision. The purpose of this section is therefore to state precisely which forms of multi-party authorisation exist and which form does not.</w:t>
      </w:r>
    </w:p>
    <w:p>
      <w:pPr>
        <w:spacing w:after="140" w:line="300"/>
        <w:jc w:val="both"/>
      </w:pPr>
      <w:r>
        <w:rPr>
          <w:rFonts w:ascii="Cambria" w:cs="Cambria" w:eastAsia="Cambria" w:hAnsi="Cambria"/>
          <w:color w:val="0000CC"/>
          <w:sz w:val="24"/>
          <w:szCs w:val="24"/>
        </w:rPr>
        <w:t xml:space="preserve">The first class is joint approval on a contingency path. Madine et al. [53] propose a fully decentralised multi-party consent scheme on Ethereum in which an access request on the incapacitated path requires the approvals of a regulatory agency and of at least the minimum of ceil(0.7g) and five guardians on the same request, and an emergency request requires the agency's approval together with a hospital admission confirmation. This is a genuine N-of-M condition over independent parties, and it is combined with expiry enforced inside the decision predicate, since stale attestations stop counting, and with explicit revocation of claims and removal of guardians. However, on the normal path a single patient key authorises access, so that joint approval is an availability fallback conditioned on the absence of the principal rather than a condition of every decision. In addition, the guardians hold no key shares: the decryption key is split between the patient and the regulatory agency, which can decrypt with its own shares, so the joint guarantee holds at the smart-contract layer only and the claim of full decentralisation is asserted rather than demonstrated. The paper contains no formal analysis, no dataset and no allow or deny correctness matrix. Abbasi et al. [35] present Nexa, a public-blockchain record system in which a Shamir (5, 3) threshold protects each record key; a clinical access combines the requester's own share with two automated oracle shares that are released on the basis of the current on-chain role, so there is a single authorisation locus and no human co-approval, the patient's share is not required, and the institutional multi-signature for bulk access is proposed but outside the prototype. The prototype is public and measured, but no authorisation decision is verified. A related design in Section 2.4.6, Maruthi and Singh [54], releases the key of an unconscious patient through a t-of-n threshold over patient-designated relatives under proxy re-encryption with indistinguishability proofs, but with no policy or temporal term.</w:t>
      </w:r>
    </w:p>
    <w:p>
      <w:pPr>
        <w:spacing w:after="140" w:line="300"/>
        <w:jc w:val="both"/>
      </w:pPr>
      <w:r>
        <w:rPr>
          <w:rFonts w:ascii="Cambria" w:cs="Cambria" w:eastAsia="Cambria" w:hAnsi="Cambria"/>
          <w:color w:val="0000CC"/>
          <w:sz w:val="24"/>
          <w:szCs w:val="24"/>
        </w:rPr>
        <w:t xml:space="preserve">The second class places the threshold on the institution side. Wu et al. [75] present Soteria, a clinical-trial data platform on Hyperledger Fabric with trusted-execution chaincode in which a (t, n) threshold signature runs over named investigators. What the threshold gates is asymmetric: the admission of a trial record to the ledger requires a majority of investigators, and the revocation of a consent requires the approval of half of them, whereas the consent grant itself is submitted unilaterally by the patient. Moreover, each investigator's vote consists of recomputing and confirming the hash of the message, so the threshold is a threshold of integrity verifiers rather than of authorisers, and the voters are institution-side investigators rather than parties acting for the patient. </w:t>
      </w:r>
      <w:r>
        <w:rPr>
          <w:rFonts w:ascii="Cambria" w:cs="Cambria" w:eastAsia="Cambria" w:hAnsi="Cambria"/>
          <w:color w:val="E6007E"/>
          <w:sz w:val="24"/>
          <w:szCs w:val="24"/>
        </w:rPr>
        <w:t xml:space="preserve">The third class is institutional custodian approval conjoined with a policy engine.</w:t>
      </w:r>
      <w:r>
        <w:rPr>
          <w:rFonts w:ascii="Cambria" w:cs="Cambria" w:eastAsia="Cambria" w:hAnsi="Cambria"/>
          <w:color w:val="0000CC"/>
          <w:sz w:val="24"/>
          <w:szCs w:val="24"/>
        </w:rPr>
        <w:t xml:space="preserve"> Punia et al. [61] implement MedXBlock, a permissioned Ethereum access-control system in which an M-of-N multi-signature contract over registered doctors and administrators, for example two of three, governs high-sensitivity and cross-departmental requests, and in which an implemented hybrid attribute- and role-based policy engine evaluates a conjunctive grant predicate with deny-by-default over a stateful policy store. This is the only study in the corpus in which multi-party approval and an enforced policy predicate co-occur. Even so, the threshold is scoped, since ordinary access is token-only, it is defeasible, since a single emergency officer can bypass it, and it sits outside the grant predicate as a separate orchestration layer; the patient enters the predicate as a boolean consent attribute rather than as an authoriser; no purpose term exists; the assurance is a threat table and an asserted safety property; and the 100 measured transactions include no executed authorisation test.</w:t>
      </w:r>
    </w:p>
    <w:p>
      <w:pPr>
        <w:spacing w:after="140" w:line="300"/>
        <w:jc w:val="both"/>
      </w:pPr>
      <w:r>
        <w:rPr>
          <w:rFonts w:ascii="Cambria" w:cs="Cambria" w:eastAsia="Cambria" w:hAnsi="Cambria"/>
          <w:color w:val="0000CC"/>
          <w:sz w:val="24"/>
          <w:szCs w:val="24"/>
        </w:rPr>
        <w:t xml:space="preserve">The fourth class appoints witnesses. Tan et al. [69] propose a personal health record sharing scheme with multi-party pre-authorisation verification in which the patient fixes n verifiers and a threshold t, each verifier evaluates the patient-issued grant, its expiry and the revocation list before releasing its share of the decryption key, and without t shares no key and no plaintext exist. This is the first threshold in the corpus whose authorisers are appointed by the patient for the patient's own access decision, and expiry is checked at the point of approval. The joint approval is nevertheless a pre-delegated contingency mechanism for the case in which the patient is unable to act, the verifiers evaluate identity, grant, time and revocation but not purpose or data scope, since attribute-based policy is explicitly future work, only the secure multi-party computation layer of roughly 6500 lines is implemented while the identity, wallet and ledger layers are not, and the security argument is a STRIDE and LINDDUN enumeration with no proof over the authorisation protocol. </w:t>
      </w:r>
      <w:r>
        <w:rPr>
          <w:rFonts w:ascii="Cambria" w:cs="Cambria" w:eastAsia="Cambria" w:hAnsi="Cambria"/>
          <w:color w:val="E6007E"/>
          <w:sz w:val="24"/>
          <w:szCs w:val="24"/>
        </w:rPr>
        <w:t xml:space="preserve">The fifth class, reviewed in Section 2.4.6, is the consumer-side delegated threshold of Zhao and Su [50]</w:t>
      </w:r>
      <w:r>
        <w:rPr>
          <w:rFonts w:ascii="Cambria" w:cs="Cambria" w:eastAsia="Cambria" w:hAnsi="Cambria"/>
          <w:color w:val="0000CC"/>
          <w:sz w:val="24"/>
          <w:szCs w:val="24"/>
        </w:rPr>
        <w:t xml:space="preserve">, in which l of d already-authorised clinicians jointly authorise an out-of-policy requester and the threshold gate carries an indistinguishability proof; the delegates are consumer-side rather than patient-side parties, and the scheme has no time, lifecycle or purpose term.</w:t>
      </w:r>
    </w:p>
    <w:p>
      <w:pPr>
        <w:spacing w:after="140" w:line="300"/>
        <w:jc w:val="both"/>
      </w:pPr>
      <w:r>
        <w:rPr>
          <w:rFonts w:ascii="Cambria" w:cs="Cambria" w:eastAsia="Cambria" w:hAnsi="Cambria"/>
          <w:color w:val="0000CC"/>
          <w:sz w:val="24"/>
          <w:szCs w:val="24"/>
        </w:rPr>
        <w:t xml:space="preserve">The sixth class is register-verified guardian co-consent at consent registration, and it is the only class found in deployed systems. Ekholm et al. [43] report the implementation of electronic informed consent in rare disease genomics on a commercial platform used by three genomic medicine centres in Sweden: the consent of a minor is valid only when all legal guardians, one or two, have signed, and guardianship is verified in real time against the national Population Register, with 61 paediatric trio consents obtained under this rule. This is a deployed n-of-n guardian condition with authority verified separately from the national electronic identity used for authentication, and it is the cleanest separation of identity and authority in the corpus. Its locus is, however, the registration of consent and not the access decision: the only decision-time touchpoint is an interface that answers whether a valid consent exists, without purpose, scope or time parameters, the platform is centralised, and the paper provides no formal or authorisation-correctness evidence. Hagström et al. [47] examine, in a retrospective comparative case study of the national patient portals of Sweden and Finland, how guardian proxy access to a minor's record is gated jointly by a healthcare professional's assessment of the minor's capacity and by the minor's own consent, with register-verified guardianship and age windows whose enforcement is demonstrated by the absence of use within blocked windows and by the consent of 95.8 per cent of capable minors to disclosure. This is a second deployed instance of collective, consent-gated proxy governance, but it is documentation-time governance in centralised national systems with no formal assurance. Finally, Al Amin et al. [38] represent informed consent as a patient-driven policy IC = (U, O, OP, CON), an evaluable object whose contextual conditions include time, date, day, location, network address and access frequency, and whose enforcement conjoins the patient's consent with organisational and regulatory policies. The only multi-party element is a two-of-two multi-signature wallet in the experimental harness in which every member must sign to store a consent; the members are not named, the mechanism gates registration rather than access, it is absent from the model, no purpose term exists, and the Goerli deployment reports no measured result or allow or deny case. The panel recorded it as a candidate class only.</w:t>
      </w:r>
    </w:p>
    <w:p>
      <w:pPr>
        <w:spacing w:after="140" w:line="300"/>
        <w:jc w:val="both"/>
      </w:pPr>
      <w:r>
        <w:rPr>
          <w:rFonts w:ascii="Cambria" w:cs="Cambria" w:eastAsia="Cambria" w:hAnsi="Cambria"/>
          <w:color w:val="0000CC"/>
          <w:sz w:val="24"/>
          <w:szCs w:val="24"/>
        </w:rPr>
        <w:t xml:space="preserve">The position of the literature with respect to Req 3 can therefore be stated precisely. What exists is multi-party authorisation in six forms: joint approval on a contingency path when the principal is absent [53, 69]; guardian or bilateral co-consent at the time of consent registration [43, 47, 38]; institution-side thresholds over record admission and consent revocation [75]; custodial M-of-N approval around, but not inside, a policy predicate [61]; a patient-appointed witness threshold welded to key release [69]; and threshold key custody or delegation among custodians, relatives or clinicians [35, 54, 50]. In this context, the sentence that multi-party authorisation does not exist in the literature is no longer defensible and is not made in this review. What does not exist in any of the 44 studies is a threshold predicate over the guardian set G with threshold N that is constitutive of the access decision, that is, one evaluated on every access request, in a decentralised exchange, as a conjunct of the same predicate that evaluates the policy conditions of purpose and data scope, the temporal validity and the jurisdiction of the consent object C, with allow and deny correctness evidence and formal assurance of the conjunction. The coding supports each element of this statement. Only Punia et al. [61] combine T3 = Yes with an enforced policy predicate, and there the threshold is outside the predicate, the patient is an attribute and purpose is absent. Every T3-positive study in this stream is graded No or Partial on Req 6, and the two T3-positive studies elsewhere that carry a proof [50, 54] prove the threshold gate or confidentiality in isolation, so that the broadest multi-party systems carry the weakest assurance. In addition, the deployed guardian mechanisms [43, 47] establish guardian authority through a state register, which is the attestation pattern against which the guardian credentials of the proposed framework must be compared. Table 5 presents a summary of the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5: </w:t>
      </w:r>
      <w:r>
        <w:rPr>
          <w:rFonts w:ascii="Cambria" w:cs="Cambria" w:eastAsia="Cambria" w:hAnsi="Cambria"/>
          <w:color w:val="0000CC"/>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a public Avalanche blockchain record system with a public prototype and a Synthea-derived dataset, in which each record key is protected by a Shamir (5, 3) threshold; clinical access combines the requester's share with two automated oracle shares released on the current on-chain role, revocation of roles is checked at each request, and an institutional M-of-N multi-signature for bulk access is proposed.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over key custodians, not authorisers: a single authorisation locus with no human co-approval and the patient's share not required; the institutional multi-signature is outside the prototype; role-based only with no purpose, context or temporal term; no formal proof or tool; performance measured with no allow or deny or attack test; estimated competitor values.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represented as a patient-driven policy IC = (U, O, OP, CON) with hash integrity and contextual conditions (time, date, day, location, network address, frequency) that an authorisation module conjoins with organisational and regulatory policies; a Solidity consent-management contract is deployed on the Goerli testnet.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only multi-party element is a two-of-two multi-signature wallet in the test harness that gates consent registration, with unnamed members and no place in the model; no purpose term; lifecycle operations described but not specified; enforcement mechanisms explicitly not included; no measured result or allow or deny case; assumptions only, no security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Deployed electronic informed consent for rare disease genomics at three Swedish genomic medicine centres on a commercial platform: a minor's consent is valid only when all legal guardians sign, guardianship is verified in real time against the national Population Register, authentication uses the national electronic identity, and adoption is reported for 2,244 invited participants.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guardian condition applies at consent registration, not to the access decision; the only decision-time touchpoint answers whether a valid consent exists, without purpose, scope or time; study-level broad consent with no policy; withdrawal effect not described; centralised research platform described in little technical detail; no formal or authorisation-correctness evidence; vendor conflict of interest declared.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retrospective comparative case study of the Swedish and Finnish national patient portals in which guardian proxy access to a minor's record is gated jointly by a healthcare professional's capacity assessment and the minor's own consent, with register-verified guardianship and age windows whose enforcement is evidenced by no use within blocked windows and 95.8 per cent of capable minors consenting to disclosure.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collective condition is documentation-time governance in centralised national systems rather than a decision-time predicate in a decentralised exchange; consent is not an evaluable object with its own scope or purpose; the study is observational and offers no security analysis or formal assurance.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fully decentralised multi-party consent scheme on Ethereum in which incapacitated-path access requires regulatory-agency approvals and at least min(ceil(0.7g), 5) guardian approvals on one request, emergency access requires agency approval and hospital admission confirmation, attestation expiry is enforced inside the decision, and claims and guardians can be revoked; a testnet prototype with gas costs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On the normal path a single patient key authorises, so joint approval is a contingency fallback rather than a condition of every decision; guardians hold no key shares and the regulatory agency can decrypt alone, so the joint guarantee is contract-level only; no policy, purpose or data-category model; no formal analysis, dataset, attack test or allow or deny matrix.</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MedXBlock, a permissioned Ethereum access-control system with an implemented hybrid attribute- and role-based policy engine evaluating a conjunctive deny-by-default predicate over a stateful policy store, an M-of-N multi-signature contract over registered doctors and administrators for high-sensitivity and cross-departmental requests, token expiry checked at access, and 100 instrumented transactions.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institution-side, scoped to sensitive requests, bypassable by a single emergency officer and outside the grant predicate; patient consent is a boolean attribute, not an evaluable object with its own scope, validity or lifecycle; no purpose term; a threat table and an asserted safety property only; systems metrics with no executed authorisation, denial or attack test; gas figures internally inconsistent.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Personal health record sharing with multi-party pre-authorisation verification in which the patient appoints n verifiers and a threshold t; each verifier checks the patient-issued grant, its expiry and the revocation list before releasing a share of the decryption key, so that t validated shares are needed to obtain the record; the secure multi-party computation layer is implemented in Go on ten machines.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joint approval is a pre-delegated contingency for an incapable patient; verifiers evaluate identity, grant, time and revocation but not purpose or data scope (attribute policy is future work); the identity, wallet, credential and ledger layers are not implemented; no authorisation test, no expired or revoked credential rejection test; STRIDE and LINDDUN enumeration with no proof over the protocol.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Soteria, a multi-site clinical-trial data platform on Hyperledger Fabric with trusted-execution chaincode in which a (t, n) threshold signature over named investigators gates the admission of trial records to the ledger and the revocation of a consent, consents carry enumerated states with start and end times and a study-number binding validated at an endpoint, and fourteen endpoints are timed on a managed deployment.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grant is unilateral and the threshold governs record admission and revocation rather than the patient's access decision; each vote is a hash-integrity check by institution-side investigators; time is a stored attribute not shown to gate the decision; no policy engine; no theorem, proof or adversary model; performance only with borrowed latency figures and no correctness or attack evaluation.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2.4.4  Policy- and Context-Aware Access Control</w:t>
      </w:r>
    </w:p>
    <w:p>
      <w:pPr>
        <w:spacing w:after="140" w:line="300"/>
        <w:jc w:val="both"/>
      </w:pPr>
      <w:r>
        <w:rPr>
          <w:rFonts w:ascii="Cambria" w:cs="Cambria" w:eastAsia="Cambria" w:hAnsi="Cambria"/>
          <w:color w:val="0000CC"/>
          <w:sz w:val="24"/>
          <w:szCs w:val="24"/>
        </w:rPr>
        <w:t xml:space="preserve">Healthcare access-control research has developed a broad range of mechanisms for restricting access according to roles, attributes, risk conditions and usage constraints. Attribute-based encryption and decentralised key management protect healthcare data through cryptographic access policies [32], risk-aware usage-control models incorporate dynamic conditions beyond role-based permissions [11], and recent surveys of blockchain-based and IoT healthcare access control emphasise fine-grained, dynamic and privacy-preserving enforcement [28, 25]. This section reviews the five shortlisted studies of stream 4 against Req 4. The question asked of each study is not whether a policy exists, but whether purpose, data scope, requester role and contextual constraints influence the decision at the time of access, and whether the evaluated policy is bound to the consent object rather than to the requester alone. It should be noted that, under the coding rules of Section 2.3, a policy that is described in prose or stored on a ledger without being consulted by the decision does not satisfy Req 4.</w:t>
      </w:r>
    </w:p>
    <w:p>
      <w:pPr>
        <w:spacing w:after="140" w:line="300"/>
        <w:jc w:val="both"/>
      </w:pPr>
      <w:r>
        <w:rPr>
          <w:rFonts w:ascii="Cambria" w:cs="Cambria" w:eastAsia="Cambria" w:hAnsi="Cambria"/>
          <w:color w:val="0000CC"/>
          <w:sz w:val="24"/>
          <w:szCs w:val="24"/>
        </w:rPr>
        <w:t xml:space="preserve">Tith et al. [71] proposed one of the earliest purpose-based consent models for electronic health records on a Hyperledger Fabric consortium. Consent is represented as an evaluable four-tuple of role, doctor identifiers, action and intended purpose, in which the intended purpose is expressed through a purpose tree with allowed and prohibited purposes, and the tuple is matched by chaincode at request time with per-datum scope. The model therefore satisfies Req 1 and Req 4. However, the consent tuple carries no temporal element, withdrawal is implemented in chaincode but its effect on subsequent access is not tested, identity rests on the Fabric membership service without decentralised identifiers or authority credentials, and the prototype on four nodes reports functional targets without quantitative results, attack cases or a formal argument. Jaiman and Urovi [49] developed a consent model for blockchain-based health data sharing platforms in which the purpose of a request is matched inside the smart contract against the patient's consent using the Data Use Ontology and the Automatable Discovery and Access Matrix ontology, and denial is tested across several requester profiles. This is one of the few studies in the corpus in which purpose is evaluated in the decision and the denial path is exercised. Security assurance is explicitly placed outside the scope of the paper, the consent is granted by a single patient, and temporal validity and lifecycle transitions are not enforced in the decision. Albalwy et al. [37] presented ConsentChain, a dynamic consent architecture for clinical genomic data sharing on a permissioned Ethereum network. Consent is a machine-readable object of data type, role and purpose, combined into an access-policy tree that is hashed and evaluated by a checkConsent function, so that purpose, role and data type are jointly required. The evaluation is a rigid exact-match of hashes rather than a policy engine, the requester role is self-submitted and not verified against a credential, the consent tuple has no validity interval and time is applied only at the data-delivery layer through short-lived download links, revocation is a binary active or cancelled status, and the security analysis is qualitative. The proof of concept is deployed in a production environment with measured throughput and open source code, but no adversarial or systematic allow-and-deny tests are reported.</w:t>
      </w:r>
    </w:p>
    <w:p>
      <w:pPr>
        <w:spacing w:after="140" w:line="300"/>
        <w:jc w:val="both"/>
      </w:pPr>
      <w:r>
        <w:rPr>
          <w:rFonts w:ascii="Cambria" w:cs="Cambria" w:eastAsia="Cambria" w:hAnsi="Cambria"/>
          <w:color w:val="0000CC"/>
          <w:sz w:val="24"/>
          <w:szCs w:val="24"/>
        </w:rPr>
        <w:t xml:space="preserve">Román-Martínez et al. [63] proposed a blockchain-based service-oriented architecture for consent management, access control and auditing in which FHIR Consent purpose-of-use limits are evaluated per resource by an XACML policy decision point operating over Hyperledger Fabric. This is the most standards-native purpose enforcement in the corpus, and the architecture includes supervisory auditing. Nevertheless, no withdrawal or expiry path exists anywhere in the architecture, and the authors state that their experiments validate the blockchain component only, so the authorisation decision itself is not verified. Ghosh et al. [46] presented a quantum-safe attribute-based access control scheme with attribute revocation for smart healthcare, in which the patient-side data owner authors a linear secret-sharing access policy over hospital, department, role and emergency attributes, and a hospital attribute authority checks attribute status on a blockchain registry and policy satisfaction at every access before releasing the decryption material. The attribute policy therefore operates inside the decision. However, identity and authority are issued and verified by the same fully trusted authority, there is no purpose-of-use term, the scope is the whole record, revocation protects only newly encrypted data, denials are not logged, the security analysis is an argued multi-adversary model without a theorem or tool, and the simulation covers consensus and storage but not the access-decision path.</w:t>
      </w:r>
    </w:p>
    <w:p>
      <w:pPr>
        <w:spacing w:after="140" w:line="300"/>
        <w:jc w:val="both"/>
      </w:pPr>
      <w:r>
        <w:rPr>
          <w:rFonts w:ascii="Cambria" w:cs="Cambria" w:eastAsia="Cambria" w:hAnsi="Cambria"/>
          <w:color w:val="0000CC"/>
          <w:sz w:val="24"/>
          <w:szCs w:val="24"/>
        </w:rPr>
        <w:t xml:space="preserve">Across the whole corpus, T4 is coded Yes in 16 of the 44 studies, Partial in 22 and No in 6, so a policy or attribute condition influences the access decision in a substantial share of the reviewed systems and the requirement cannot be described as unaddressed. The nature of the policy is, however, narrower than Req 4 demands. In most of the T4-positive studies the evaluated policy is bound to the requester, namely to a role, a department, an institution or an attribute set, as in Ghosh et al. [46], Punia et al. [61], Li et al. [51] and the attribute-based encryption schemes of stream 6. Purpose-of-use enters the evaluated decision in only seven studies [37, 44, 45, 49, 57, 63, 71], and purpose and data scope are jointly present in the decision by design in fewer still, namely Albalwy et al. [37], Eneh et al. [44], Ferreira et al. [45] and Tith et al. [71]. Contextual constraints such as jurisdiction appear only as a rule field in Eneh et al. [44]. The gap verdicts recorded by the coding panel repeatedly note the absence of a purpose or data-category policy from the decision: Madine et al. [53] contain no purpose or policy term in the body of the paper, Tan et al. [69] defer attribute-based scope to future work, Punia et al. [61] evaluate role, department, record type and duty hours but no purpose, and Hema et al. [64] scope keys by role and workflow but carry no purpose-of-use term in the consent token. It should also be noted that every purpose-bearing study is coded T3 No, and that the single study which conjoins an implemented policy engine with a threshold approval, Punia et al. [61], consumes patient consent as a boolean attribute rather than as a consent object with its own scope. Therefore, the residual deficit for Req 4 is not the absence of a policy engine. It is the absence of purpose-of-use and data-scope constraints that are carried by the consent object C itself and evaluated together with the identity, authority and multi-party conditions, with evidence that requests outside the authorised scope are refused. Table 6 presents a summary of the stream-4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6: </w:t>
      </w:r>
      <w:r>
        <w:rPr>
          <w:rFonts w:ascii="Cambria" w:cs="Cambria" w:eastAsia="Cambria" w:hAnsi="Cambria"/>
          <w:color w:val="0000CC"/>
          <w:sz w:val="21"/>
          <w:szCs w:val="21"/>
        </w:rPr>
        <w:t xml:space="preserve">Descriptions, issues and limitations of existing studies on policy-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ConsentChain represents genomic-data consent as a machine-readable object of data type, role and purpose combined into an access-policy tree that is hashed and evaluated by a checkConsent function on a permissioned Ethereum network; the proof of concept is deployed with measured throughput and open source code.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evaluation is a rigid hash exact-match rather than a policy engine; the requester role is self-submitted without credential verification; the consent tuple has no validity interval and time is enforced only at the delivery layer; revocation is a binary status; a single patient consents; the security analysis is qualitative and no adversarial or allow-and-deny suite is reported.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 [46]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quantum-safe attribute-based access control scheme for smart healthcare in which a patient-authored linear secret-sharing policy over hospital, department, role and emergency attributes is checked, together with on-chain attribute status, by a hospital attribute authority at every access before decryption material is released.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Identity and authority are issued and verified by one fully trusted authority; no purpose-of-use term and whole-record scope; revocation is not retroactive and protects only new data; grants but not denials are logged; the security analysis is argued without theorem or tool; the simulation covers consensus and storage, not the access-decision path.</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 in which the requester's purpose is matched inside the smart contract against the patient's consent through DUO and ADA-M ontology terms, with denial tested across several requester profiles.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Security assurance is explicitly outside the scope of the paper; the consent is granted by a single patient without guardian or threshold approval; temporal validity and lifecycle states are not enforced in the decision; identity and authority verification is only partially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service-oriented architecture for consent management, access control and auditing in which FHIR Consent purpose-of-use limits are evaluated per resource by an XACML policy decision point over Hyperledger Fabric, with supervisory audit services.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withdrawal or expiry path exists anywhere in the architecture; the authors state that the experiments validate the blockchain component only, so the authorisation decision is not verified; no multi-party approval, identity and authority only partially verified, and no formal security argument.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purpose-based consent model for EHRs on Hyperledger Fabric in which consent is an evaluable tuple of role, doctor identifiers, action and intended purpose, matched by chaincode at request time against a purpose tree of allowed and prohibited purposes with per-datum scope.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tuple has no temporal element; withdrawal is implemented but its effect on later access is untested and there is no state machine; identity relies on Fabric membership certificates without DIDs, VCs or authority credentials; consensus endorsement is not multi-party consent; no formal verification or threat model; the four-node prototype reports functional targets without quantitative results or attack cases.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2.4.5  Temporal Validity and Consent Lifecycle</w:t>
      </w:r>
    </w:p>
    <w:p>
      <w:pPr>
        <w:spacing w:after="140" w:line="300"/>
        <w:jc w:val="both"/>
      </w:pPr>
      <w:r>
        <w:rPr>
          <w:rFonts w:ascii="Cambria" w:cs="Cambria" w:eastAsia="Cambria" w:hAnsi="Cambria"/>
          <w:color w:val="0000CC"/>
          <w:sz w:val="24"/>
          <w:szCs w:val="24"/>
        </w:rPr>
        <w:t xml:space="preserve">Req 5 requires that the validity interval of a consent and its lifecycle state are technically enforced inside the authorisation decision. Two distinctions from the codebook of Section 2.3 govern the reading of this stream. First, a timestamp that is written to a log or stored in a consent record is not temporal authorisation; the decision itself must read the clock. Second, a mention of revocation, or an operation that changes a status field, is not an implemented lifecycle unless the state is consulted by the decision and the transitions are constrained. This section reviews the five shortlisted studies of stream 5 and draws on the lifecycle evidence recorded for studies in the other streams.</w:t>
      </w:r>
    </w:p>
    <w:p>
      <w:pPr>
        <w:spacing w:after="140" w:line="300"/>
        <w:jc w:val="both"/>
      </w:pPr>
      <w:r>
        <w:rPr>
          <w:rFonts w:ascii="Cambria" w:cs="Cambria" w:eastAsia="Cambria" w:hAnsi="Cambria"/>
          <w:color w:val="0000CC"/>
          <w:sz w:val="24"/>
          <w:szCs w:val="24"/>
        </w:rPr>
        <w:t xml:space="preserve">Eneh et al. [44] presented EdgeConsent, an on-chain attribute-based access control engine for data consent management, demonstrated on a healthcare scenario. Consent rules carry not-before and not-after bounds together with roles, organisations, jurisdictions, data categories, sensitivity levels, purposes and actions, and the checkAccess function evaluates the requester attributes, the resource, the purpose and the current timestamp against these bounds with deny-by-default and deny-overrides semantics. Expiry therefore takes effect at decision time, and the demonstration shows that a request is denied again once its rule is revoked. This is the first study in the corpus in which temporal validity is enforced inside the decision predicate. The lifecycle is nevertheless limited to an active flag and the temporal bounds, without pending, suspended or renewed states; identity is a wallet address with an attribute registry whose issuance governance is unspecified; a single patient authors the rules; there is no threat model; and the evaluation is a two-page demonstration on a local network with gas measurements and an integration test suite. Hema et al. [64] took a different route in a patient-centric cryptographic protection scheme for cloud EHRs, in which the patient's signed consent token, the requester role and the expiry time are inputs to the key derivation function, so that once the expiry has passed the decryption key cannot be reconstructed and revocation likewise causes derivation to fail without re-encryption. Temporal validity is thus not merely evaluated but made cryptographically unreachable, and authority is separated from identity through role-scoped keys. However, there is no lifecycle state machine, the consent is issued by a single patient key, identity relies on a commercial authentication service without credentials, the security argument is an adversary model with a probabilistic statement rather than a proof, and only operation latency is measured. Panagoulias et al. [57] proposed a blockchain-enabled governance overlay for clinical artificial intelligence pipelines in which a formal policy object carries identifiers, roles, purposes, a validity window and a revoked flag with a version number, and access is allowed only if the policy is valid at time t and the role and purpose conditions hold. Revocation is enforced mid-stream at decision time and is verified through a consent-drift metric over 43,500 simulated attempts across nine scenarios, with denials recorded as ledger events. The temporal conjunct is implemented but interval-bound denials are not separately exercised, the lifecycle is a binary active or revoked state, the ledger is a single-node hash chain without consensus, identity is inherited from an existing clinical identity provider, and the authors explicitly declare that no formal verification was performed.</w:t>
      </w:r>
    </w:p>
    <w:p>
      <w:pPr>
        <w:spacing w:after="140" w:line="300"/>
        <w:jc w:val="both"/>
      </w:pPr>
      <w:r>
        <w:rPr>
          <w:rFonts w:ascii="Cambria" w:cs="Cambria" w:eastAsia="Cambria" w:hAnsi="Cambria"/>
          <w:color w:val="0000CC"/>
          <w:sz w:val="24"/>
          <w:szCs w:val="24"/>
        </w:rPr>
        <w:t xml:space="preserve">The remaining two studies illustrate a pattern that the coding panel describes as displacement, in which time is enforced on an artefact issued to the requester rather than on the consent itself. Li et al. [51] presented a hybrid role-based and smart-contract scheme with attribute-based authorisation for IoMT records, in which the expiry of a signed credential is compared with the current time at every sharing interaction and a grant ledger records authorisations; the credential window is enforced, but the consent or authorisation object itself carries no enforced validity window and there is no consent state machine. Xu et al. [77] proposed a privacy-preserving medical data sharing scheme with revocable attribute-based encryption organised in key epochs for hospital-to-hospital sharing; revocation is realised by key rollover, so a revoked user retains access until the epoch ends, the word consent does not appear, and the many-to-many matching of keywords and interests is a discovery mechanism rather than an approval. Together with the short-lived tokens of Tseng et al. [73], whose expiry is checked by the token validator while revocation of the access-control list does not invalidate tokens already issued, these three studies place the enforced time on a token, a key epoch or a credential, and leave the consent object without a validity interval of its own.</w:t>
      </w:r>
    </w:p>
    <w:p>
      <w:pPr>
        <w:spacing w:after="140" w:line="300"/>
        <w:jc w:val="both"/>
      </w:pPr>
      <w:r>
        <w:rPr>
          <w:rFonts w:ascii="Cambria" w:cs="Cambria" w:eastAsia="Cambria" w:hAnsi="Cambria"/>
          <w:color w:val="0000CC"/>
          <w:sz w:val="24"/>
          <w:szCs w:val="24"/>
        </w:rPr>
        <w:t xml:space="preserve">Across the corpus, T5 is coded Yes in 10 of the 44 studies and T6 in 11, while Req 5, which requires enforcement in the decision, is Yes in 8. The distinction between recorded and enforced time explains most of the Partial codes. Prashanth et al. [60] store a record timestamp that no decision reads; Albalwy et al. [37] store a struct timestamp and apply time only to the download link; Qiao et al. [62] log event timestamps while key freshness is a revocation state rather than a window; Ghosh et al. [46] use time only as a replay window; Zhang et al. [78] bake a visit date into the decryption key so that an in-window key decrypts indefinitely after the window closes; and Teeda and Subba Rao [70] and Ranaweera et al. [68] claim automatic expiry without specifying where the clock is read or testing it. A parallel distinction separates named state machines from ad hoc revocation flags. Named states with constrained transitions appear in Phuyal et al. [58] (active and revoked with an audited emergency override), Shanmugham and Senthilkumar [66] (active, revoked and expired gating the decision), Wu et al. [75] (approved, pending, completed and revoked with investigator-verified transitions) and Punia et al. [61], although in the last case the states belong to policies and tokens rather than to the consent. By contrast, Akter and Sanam [36] gate the decision on an active flag for which no grant, revoke or expiry operation is defined, Prashanth et al. [60] deploy a revoke function whose effect on access is never demonstrated, Abbasi et al. [35] enforce a role status without consent states, and even Madine et al. [53], with four transitions that affect the decision, define no named state set. Where revocation is enforced at scheme level, as in the immediate ciphertext update of Mei et al. [55] or the re-keying of Qiao et al. [62], its cost is measured but its effect on a revoked requester is usually not exercised; a post-revocation denial is actually demonstrated only by Phuyal et al. [58], Panagoulias et al. [57], Eneh et al. [44], Ferreira et al. [45] in results that the authors caption as illustrative, and, in a single narrated scenario, Ranaweera et al. [68]. In this context, the residual deficit for Req 5 is not the absence of decision-time temporal enforcement, which Eneh et al. [44], Hema et al. [64] and Panagoulias et al. [57] each achieve in isolation. It is the absence of verified temporal and lifecycle enforcement at the level of the consent object in a deployed multi-institution exchange, and </w:t>
      </w:r>
      <w:r>
        <w:rPr>
          <w:rFonts w:ascii="Cambria" w:cs="Cambria" w:eastAsia="Cambria" w:hAnsi="Cambria"/>
          <w:color w:val="E6007E"/>
          <w:sz w:val="24"/>
          <w:szCs w:val="24"/>
        </w:rPr>
        <w:t xml:space="preserve">the fact that the three stream-5 systems which enforce time inside the decision are all single-party, and that none of the eight studies coded Yes on Req 5, including the multi-party designs of Madine et al. [53] and Punia et al. [61], carries formal assurance</w:t>
      </w:r>
      <w:r>
        <w:rPr>
          <w:rFonts w:ascii="Cambria" w:cs="Cambria" w:eastAsia="Cambria" w:hAnsi="Cambria"/>
          <w:color w:val="0000CC"/>
          <w:sz w:val="24"/>
          <w:szCs w:val="24"/>
        </w:rPr>
        <w:t xml:space="preserve">. Table 7 presents a summary of the stream-5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7: </w:t>
      </w:r>
      <w:r>
        <w:rPr>
          <w:rFonts w:ascii="Cambria" w:cs="Cambria" w:eastAsia="Cambria" w:hAnsi="Cambria"/>
          <w:color w:val="0000CC"/>
          <w:sz w:val="21"/>
          <w:szCs w:val="21"/>
        </w:rPr>
        <w:t xml:space="preserve">Descriptions, issues and limitations of existing studies on temporal validity and consent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EdgeConsent implements an on-chain attribute-based access control engine in which consent rules with not-before and not-after bounds, purposes, data categories, sensitivity levels and jurisdictions are evaluated by checkAccess against the requester attributes and the current timestamp, with deny-by-default; revocation is enforced at the next block and every decision is logged.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Lifecycle limited to an active flag and temporal bounds without pending, suspended or renewed states; wallet-address identity with unspecified attribute issuance and no DIDs or VCs; single-patient rules with no threshold; no threat model or formal properties; two-page demonstration on a local network with gas measurements but no adversarial or correctness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[51]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hybrid RBAC and smart-contract scheme with attribute-based authorisation for IoMT records in which the expiry of a signed credential is checked against the current time at every sharing interaction and authorisations are recorded on a grant ledger.</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Time is enforced on the requester's credential rather than on the consent or authorisation object, which carries no validity window; no consent state machine; no multi-party approval; neither a formal proof of the authorisation decision nor decision-level correctness evidence is reported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blockchain-enabled governance overlay for clinical AI pipelines in which a formal policy object with roles, purposes, a validity window, a revoked flag and a version is evaluated so that access is allowed only if the policy is valid at time t and the role and purpose hold; mid-stream revocation is verified at scale through a consent-drift metric, with denials ledgered and the artefact publicly archived.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Interval-bound denials are not separately exercised and the lifecycle is a binary active or revoked state; single-node hash-chain ledger without consensus; identity inherited from an existing clinical identity provider; single policy administrator with no multi-party approval; purpose is requester-declared set membership without attestation or scope; the authors declare that no formal verification was performed.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cryptographic protection scheme for cloud EHRs in which the patient's signed consent token, the requester role, the expiry time and delegation are inputs to key derivation, so that an expired or revoked consent makes the decryption key unreachable without re-encryption and role-scoped keys separate authority from identity.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explicit lifecycle state machine; consent issued by a single patient key although the construction could accept a threshold; identity relies on a commercial authentication service and device keys without credentials; adversary model with a probabilistic statement but no proof or tool; only operation latency is measured, with literature values as baselines.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 [77]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with revocable attribute-based encryption organised in key epochs for hospital-to-hospital authorisation, with keyword and interest matching between institutions.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word consent never appears and there is no patient authorisation object; revocation by key rollover leaves a revoked user with access until the epoch ends; keyword matching is discovery, not approval; attribute-based policy without a consent object; no formal proof of the authorisation predicate and no decision-level correctness evidence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2.4.6  Formal Security Assurance and Empirical Validation</w:t>
      </w:r>
    </w:p>
    <w:p>
      <w:pPr>
        <w:spacing w:after="140" w:line="300"/>
        <w:jc w:val="both"/>
      </w:pPr>
      <w:r>
        <w:rPr>
          <w:rFonts w:ascii="Cambria" w:cs="Cambria" w:eastAsia="Cambria" w:hAnsi="Cambria"/>
          <w:color w:val="0000CC"/>
          <w:sz w:val="24"/>
          <w:szCs w:val="24"/>
        </w:rPr>
        <w:t xml:space="preserve">Req 6 has two components. The first is that the security properties of the authorisation mechanism are formally defined and demonstrated, through a security proof, a model, a verification tool or an explicit adversary model with a theorem; under the codebook, the statement that a system is secure is not evidence, and a threat discussion alone is coded Partial. The second is that the mechanism is validated empirically, through a prototype, a dataset, allow-and-deny test cases, attack cases or audit evidence; architecture diagrams alone are not empirical validation. In the workbook these two components are coded separately as Req6 and Req7, and they are combined into the report's Req 6 in the tables of this chapter. Stream 6 gathers the nine shortlisted studies in which formal argument is a principal contribution, most of them cryptographic constructions published in security and network journals.</w:t>
      </w:r>
    </w:p>
    <w:p>
      <w:pPr>
        <w:spacing w:after="140" w:line="300"/>
        <w:jc w:val="both"/>
      </w:pPr>
      <w:r>
        <w:rPr>
          <w:rFonts w:ascii="Cambria" w:cs="Cambria" w:eastAsia="Cambria" w:hAnsi="Cambria"/>
          <w:color w:val="0000CC"/>
          <w:sz w:val="24"/>
          <w:szCs w:val="24"/>
        </w:rPr>
        <w:t xml:space="preserve">Wu and Zhang [76] presented HealthDID, an authorisable multi-party privacy-preserving EMR sharing system based on decentralised identifiers. The authorisation proof is a non-interactive zero-knowledge proof that binds the data subject's commitment to the public key of a specific queryer, so that a verifier can check that this subject authorised this requester without learning the subject's identity; authorisation is thereby cleanly separated from the DID challenge-response authentication. The paper states three game-based security definitions and proves three theorems by reduction, namely anonymity from the hiding property of Pedersen commitments, unforgeability of the authorisation proof from the discrete logarithm assumption through the forking lemma, and search privacy from the decisional Diffie-Hellman assumption. This is the first complete formal assurance in the corpus. What is proven, however, concerns the identity and authority fragment only. There is no theorem of the form that access is granted only under stated conditions, and the proofs cannot cover policy, temporal or lifecycle conjuncts because the system has none: access is all-or-nothing per authorising owner, the only time values are index and document fields that no algorithm reads, and there is no revocation, withdrawal or state. The term multi-party denotes several stakeholders whose privacy requirements are satisfied simultaneously, not several parties authorising one decision. The evaluation is a rigorous and reproducible performance study with a public repository, but without allow-and-deny tests, executed attacks or a dataset. Zhao and Su [50] proposed a threshold traceable delegation authorisation scheme in which the data owner delegates to l of d already-authorised users, each of whom must run an authorisation algorithm bound to a private key before an out-of-policy requester can restore the data; unforgeability below the threshold rests on the bilinear Diffie-Hellman assumption and confidentiality is proven under an IND-CPA game with reduction. The proof covers the threshold gate in isolation, the delegates are consumer-side clinicians rather than patient-side stakeholders, there is no time, expiry, revocation or state, and the Java benchmark measures performance only. Maruthi and Singh [54] addressed the unconscious patient with a threshold proxy re-encryption scheme in which t of n patient-designated relatives contribute to re-encryption without the key ever being reassembled at a single point, the hospital and the relatives are authenticated on chain through non-interactive zero-knowledge proofs, and IND-CCA security is proven; a Solidity implementation is reported. The collective mechanism is genuine and decision-time, but policy and temporal conditions are both absent, so the proof again covers a narrow predicate.</w:t>
      </w:r>
    </w:p>
    <w:p>
      <w:pPr>
        <w:spacing w:after="140" w:line="300"/>
        <w:jc w:val="both"/>
      </w:pPr>
      <w:r>
        <w:rPr>
          <w:rFonts w:ascii="Cambria" w:cs="Cambria" w:eastAsia="Cambria" w:hAnsi="Cambria"/>
          <w:color w:val="0000CC"/>
          <w:sz w:val="24"/>
          <w:szCs w:val="24"/>
        </w:rPr>
        <w:t xml:space="preserve">Mei et al. [55] proposed a dual-revocation ciphertext-policy attribute-based encryption scheme for IoMT in which a direct mode terminates access immediately through a ciphertext update, a construction the authors motivate by patient consent withdrawal, with user-level and attribute-level granularity and an IND-CPA reduction under the q-BDHE assumption; the scheme has no audit element and no multi-party approval, and the proof concerns the static encryption predicate. Gao et al. [48] presented a revocable attribute-based searchable encryption scheme with a Pedersen threshold among authorisation nodes and a replayable chosen-ciphertext reduction under semi-honest nodes; the threshold is key-management resilience rather than approval, and the evaluation is a simulation. Luo et al. [52] proposed bilateral privacy-aware proxy re-encryption with traceability and revocation, in which the sender policy and the receiver origin are both matched, revocation lists are embedded in the ciphertext and benchmarked at a few milliseconds, and selective IND-CPA security is reduced to a known scheme; the bilateral matching is policy symmetry, not co-approval. Three further studies are coded Partial on formal assurance because the proofs do not reach the authorisation decision. Cao et al. [40] prove simulation-based privacy, a discrete-logarithm reduction and fairness for a private set intersection protocol among institutions, but there is no patient actor and no consent object, and the threshold shares are obligatory and penalised if withheld, so they cannot encode approval. Qiao et al. [62] give a full reduction for the static attribute predicate of a lightweight CP-ABE scheme while the paper's own contributions, the multi-authority setup and the revocation states, are argued informally. Zhang et al. [56] prove selective security of a policy-hiding encryption scheme for a static predicate but describe no identity mechanism and no audit element of any kind.</w:t>
      </w:r>
    </w:p>
    <w:p>
      <w:pPr>
        <w:spacing w:after="140" w:line="300"/>
        <w:jc w:val="both"/>
      </w:pPr>
      <w:r>
        <w:rPr>
          <w:rFonts w:ascii="Cambria" w:cs="Cambria" w:eastAsia="Cambria" w:hAnsi="Cambria"/>
          <w:color w:val="0000CC"/>
          <w:sz w:val="24"/>
          <w:szCs w:val="24"/>
        </w:rPr>
        <w:t xml:space="preserve">Two observations follow at corpus level. First, formal assurance in the sense of Req 6 is coded Yes in only 6 of the 44 studies, all of them in this stream, and in every case the proven property attaches to a narrow predicate: an identity-and-authority fragment in HealthDID [76], a threshold gate in Zhao and Su [50] and Maruthi and Singh [54], or a static attribute policy in the encryption schemes [48, 52, 55]. Conversely, the studies with the broadest decision predicates carry the weakest assurance. Punia et al. [61], with six of seven dimensions positive, offer a threat table and an asserted safety property; Madine et al. [53], the strongest multi-party system, contain no adversary model, property statement or proof; and Panagoulias et al. [57], whose decision is the best verified in the corpus, self-declare that no formal method was applied. The coding panel records this as an inverse relation between predicate breadth and assurance strength, and the quadrant in which a broad conjunctive predicate is also formally assured is empty. It should also be noted that formal vocabulary is sometimes inflated: the section that Sawant and Gomes [65] title formal security analysis is a simulated attack campaign, and the only formal content of Teeda and Subba Rao [70] is a correctness derivation that does not hold as printed. Structured threat models in the STRIDE or LINDDUN style, as in Tan et al. [69], Phuyal et al. [59] and Panagoulias et al. [57], are valuable but were coded Partial because they enumerate threats without demonstrating properties.</w:t>
      </w:r>
    </w:p>
    <w:p>
      <w:pPr>
        <w:spacing w:after="140" w:line="300"/>
        <w:jc w:val="both"/>
      </w:pPr>
      <w:r>
        <w:rPr>
          <w:rFonts w:ascii="Cambria" w:cs="Cambria" w:eastAsia="Cambria" w:hAnsi="Cambria"/>
          <w:color w:val="0000CC"/>
          <w:sz w:val="24"/>
          <w:szCs w:val="24"/>
        </w:rPr>
        <w:t xml:space="preserve">Second, empirical validation in the sense of Req7 is coded Yes in only 5 of the 44 studies, Partial in 35 and No in 4, and the meaning of evaluation in the corpus is instructive. In the large majority of the Partial cases, evaluation means throughput, latency, gas cost, block time or encryption timing. Abbasi et al. [35] measure hundreds to a thousand transactions per operation on a public test network with a published repository and a Synthea-generated dataset, yet execute no allow-or-deny test. Sawant and Gomes [65] run the broadest measurement campaign in the corpus, covering scalability, fault injection and simulated attacks on the infrastructure, without once reporting an outcome of the authorisation function they formalise. Punia et al. [61] instrument 100 transactions and narrate, but do not run, the single denial scenario. Akter and Sanam [36] design three named deny-log types and report zero denials. Dhanraj et al. [42] time an authorisation contract function that is never exercised as a decision. The pattern, described by the panel as built and measured but never validated as an authorisation decision, is the dominant form of evidence. Negative validation of the decision, that is, evidence that requests without sufficient authority, outside the authorised scope or after revocation are refused, is found in a small minority. Panagoulias et al. [57] report a blocked rate of 1.000 for unauthorised attempts and zero post-revocation drift across 43,500 attempts, in a single-node simulation; Phuyal et al. [58] test allow and deny paths over 100 runs per workflow and show that revocation yields a refused access within about 1.5 seconds, in a simulated hospital without adversarial tests; Jaiman and Urovi [49] test denial across requester profiles; Albalwy et al. [37] deploy a proof of concept with open code but without adversarial tests; Hagström et al. [47] show that age windows in a national portal are enforced in practice; and Ranaweera et al. [68] narrate a single post-revocation denial. No study executes an adversarial campaign against the authorisation decision itself; where adversarial testing exists it targets ledger integrity, as in Panagoulias et al. [57], network infrastructure, as in Sawant and Gomes [65], or the software surface through penetration testing, as in Tremper et al. [72]. Therefore, the residual deficit for Req 6 is the combination, within one system, of a formal argument over the conjoined identity, authority, multi-party, policy and temporal conditions and an audited set of allow and deny cases that includes the negative cases. Table 8 presents a summary of the stream-6 studies and their commitment to the key requirements.</w:t>
      </w:r>
    </w:p>
    <w:p>
      <w:pPr>
        <w:keepNext/>
        <w:spacing w:after="80" w:before="160"/>
        <w:jc w:val="center"/>
      </w:pPr>
      <w:r>
        <w:rPr>
          <w:rFonts w:ascii="Cambria" w:cs="Cambria" w:eastAsia="Cambria" w:hAnsi="Cambria"/>
          <w:b/>
          <w:bCs/>
          <w:color w:val="0000CC"/>
          <w:sz w:val="21"/>
          <w:szCs w:val="21"/>
        </w:rPr>
        <w:t xml:space="preserve">Table 8: </w:t>
      </w:r>
      <w:r>
        <w:rPr>
          <w:rFonts w:ascii="Cambria" w:cs="Cambria" w:eastAsia="Cambria" w:hAnsi="Cambria"/>
          <w:color w:val="0000CC"/>
          <w:sz w:val="21"/>
          <w:szCs w:val="21"/>
        </w:rPr>
        <w:t xml:space="preserve">Descriptions, issues and limitations of existing studies on formal security assurance and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 [40]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private set intersection protocol for medical data sharing among institutions with threshold homomorphic encryption, an on-chain attribute access policy and protocol-phase deadlines enforced by block time, proven secure through a simulation-based theorem, a discrete-logarithm reduction and a fairness theorem, with a Python prototype on a local Ethereum chain.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patient actor and no consent object anywhere; the threshold shares are obligatory and penalised if withheld, so they encode fairness rather than approval; attribute policy terms are unspecified and there is no purpose or scope; no validity window on any grant; the theorems cover PSI privacy and fairness, not the authorisation predicate; runtime and gas measured without allow-and-deny or attack tests on synthetic sets.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 [48]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attribute-based searchable encryption scheme for medical data sharing with a Pedersen threshold among authorisation nodes and a replayable chosen-ciphertext reduction proof under semi-honest nodes.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among authorisation nodes is key-management resilience, not multi-party approval; the proof covers a narrow encryption predicate; no temporal validity in the decision and lifecycle limited to revocation; simulation-only evaluation with no decision-level correctness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authorisation scheme in which the data owner delegates to l of d already-authorised users, each running a private-key-bound authorisation algorithm before an out-of-policy requester can restore the data, with IND-CPA security reduced to the bilinear Diffie-Hellman assumption and unforgeability argued by reference.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Delegates are consumer-side clinicians rather than patient-side stakeholders and the owner's own decision is unilateral; identity is an escrowed identity-based key without authentication protocol or credentials; no purpose term and out-of-policy requesters bypass the policy by delegation; no time, expiry, revocation or states; accountability signature verifiable by the owner only; Java benchmark against the authors' own baseline with no system prototype or allow-and-deny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 [52]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bilateral privacy-aware proxy re-encryption scheme for IoMT in which the sender policy and the receiver origin are both matched, with white-box traceability, revocation lists embedded in the ciphertext benchmarked at a few milliseconds, and selective IND-CPA security reduced to a known scheme.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matching is policy symmetry rather than co-approval; no consent object and no validity window in the decision; identity and authority only partially established; the proof concerns the static encryption predicate; library-level benchmark without decision-level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scheme for IoMT data of unconscious patients in which t of n patient-designated relatives contribute to threshold proxy re-encryption without the key being reassembled at any single point, the hospital and relatives are authenticated on chain through non-interactive zero-knowledge proofs, IND-CCA security is proven and a Solidity implementation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policy, purpose or data-scope condition and no temporal validity in the decision; lifecycle limited to the emergency path without consent states; the proof covers the threshold and encryption predicate only; empirical validation is limited to an in-paper implementation (Req7 Partial) without a verified allow-and-deny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dual-revocation ciphertext-policy attribute-based encryption scheme for IoMT in which a direct mode terminates access immediately through a ciphertext update, motivated by patient consent withdrawal, with user-level and attribute-level granularity and an IND-CPA reduction under the q-BDHE assumption.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audit element; attribute policy without a consent object; no multi-party approval; identity and authority only partially established; the proof concerns the static encryption predicate; scheme-level revocation is measured for cost, and enforcement at the consent object in a multi-institution exchange is not shown.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 [56]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encryption scheme with a fully hidden access policy for medical data in which staff set a linear secret-sharing policy concealed by an attribute Bloom filter, with a pre-decryption membership test, selective security proven for the static predicate and a Java prototype timed on a public medical dataset.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registration, identity or authentication mechanism is described; no patient role or consent; policy hiding is a confidentiality property rather than policy richness and there is no purpose, scope or context; revocation, update and expiry are entirely absent; no logging, ledger or audit element of any kind; timing-only evaluation without correctness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 [62]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EHRs over cloud in which several attribute authorities compute the master secret through secure multi-party computation at setup, the data owner sets a linear secret-sharing policy, key hashes and revocation events are anchored on a private chain, and chosen-plaintext security of the static predicate is proven under DBDH.</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Multi-authority setup is computation-party sharing, not multi-party consent; consent is not a distinct object; attribute terms only, without purpose or context; timestamps are event logs and there is no validity window; revocation cost is measured but a revoked user receiving a denial is never exercised; the proof excludes the paper's own contributions; no dataset, no code and no allow-and-deny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 DID-based EMR sharing system in which a zero-knowledge authorisation proof binds the data subject's commitment to a specific queryer's public key, separating authorisation from authentication, with three game-based definitions and three reduction theorems for anonymity, unforgeability and search privacy, and a reproducible performance evaluation with a public repository.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theorems cover the identity and authority fragment only and no theorem states the conditions under which access is granted; no purpose, role or data-category policy; no time value is read by any algorithm; no revocation, withdrawal or states; multi-party denotes multiple stakeholders' privacy, not joint authorisation; no allow-and-deny suite, executed attacks or dataset, and self-scored feature tables.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2.4.7  Comparative Analysis of Existing Approaches</w:t>
      </w:r>
    </w:p>
    <w:p>
      <w:pPr>
        <w:spacing w:after="140" w:line="300"/>
        <w:jc w:val="both"/>
      </w:pPr>
      <w:r>
        <w:rPr>
          <w:rFonts w:ascii="Cambria" w:cs="Cambria" w:eastAsia="Cambria" w:hAnsi="Cambria"/>
          <w:color w:val="0000CC"/>
          <w:sz w:val="24"/>
          <w:szCs w:val="24"/>
        </w:rPr>
        <w:t xml:space="preserve">The reviewed literature demonstrates that existing approaches provide strong solutions for individual dimensions of trustworthy consent authorisation. Evaluable consent objects that are consulted at the time of a request have existed since 2020 in the purpose-based models of Tith et al. [71] and Jaiman and Urovi [49], and are now realised with richer attributes in Eneh et al. [44], Panagoulias et al. [57] and Phuyal et al. [58]. The separation of identity from authority is achieved through licensing-body credentials in Phuyal et al. [58], through a national population register in Ekholm et al. [43], through a requester-bound zero-knowledge authorisation proof in HealthDID [76] and through role-scoped key derivation in Hema et al. [64]. Multi-party mechanisms exist in six distinct classes, from the guardian and agency approvals of Madine et al. [53] and the patient-appointed verifiers of Tan et al. [69] to the delegated threshold of Zhao and Su [50], the institutional multi-signature of Punia et al. [61], the kin threshold of Maruthi and Singh [54] and the deployed guardian co-consent of Ekholm et al. [43]. Policy engines operate inside the decision in Punia et al. [61], Ghosh et al. [46] and Román-Martínez et al. [63]; temporal validity is enforced inside the decision by Eneh et al. [44], Hema et al. [64] and Madine et al. [53]; formal proofs are given for the identity fragment of HealthDID [76] and for several threshold and encryption schemes; and verified allow-and-deny behaviour is reported by Panagoulias et al. [57] and Phuyal et al. [58].</w:t>
      </w:r>
    </w:p>
    <w:p>
      <w:pPr>
        <w:spacing w:after="140" w:line="300"/>
        <w:jc w:val="both"/>
      </w:pPr>
      <w:r>
        <w:rPr>
          <w:rFonts w:ascii="Cambria" w:cs="Cambria" w:eastAsia="Cambria" w:hAnsi="Cambria"/>
          <w:color w:val="0000CC"/>
          <w:sz w:val="24"/>
          <w:szCs w:val="24"/>
        </w:rPr>
        <w:t xml:space="preserve">However, these contributions address different layers of the same problem, and the strength of each study on one requirement coincides with an absence on another. The systems that enforce purpose and time inside the decision are authored by a single patient and prove nothing; the systems that provide multi-party approval carry no purpose or data-scope condition and no formal argument; and the schemes that prove security properties do so for predicates that contain no policy, no temporal validity and no lifecycle. A blockchain record does not establish participant authority, a valid identifier does not establish permission, an approval threshold does not guarantee that the request lies within the authorised scope, and a proof of unforgeability does not state the conditions under which access is granted. Consequently, no reviewed study establishes that a healthcare data-access decision is trustworthy in the conjunctive sense required by Section 2.2, namely that the identity, authority, multi-party, policy and temporal conditions hold together and that this conjunction is both formally argued and empirically tested.</w:t>
      </w:r>
    </w:p>
    <w:p>
      <w:pPr>
        <w:spacing w:after="140" w:line="300"/>
        <w:jc w:val="both"/>
      </w:pPr>
      <w:r>
        <w:rPr>
          <w:rFonts w:ascii="Cambria" w:cs="Cambria" w:eastAsia="Cambria" w:hAnsi="Cambria"/>
          <w:color w:val="0000CC"/>
          <w:sz w:val="24"/>
          <w:szCs w:val="24"/>
        </w:rPr>
        <w:t xml:space="preserve">Table 9 summarises the position of the 23 core studies against the six key requirements and positions the proposed framework relative to the existing literature. The core studies are those whose coding narrows, weakens or contradicts one of the deficits of the gap statement, or which carry a multi-party signal (T3 Yes or Partial); the supporting studies of Tables 3 to 8 are excluded from the matrix so that the comparison rests on the studies closest to the research problem. The ticks are taken from the coding of Section 2.3, with Req 6 combining the coding scheme's formal-assurance and empirical-validation codes as explained in Section 2.4.6.</w:t>
      </w:r>
    </w:p>
    <w:p>
      <w:pPr>
        <w:keepNext/>
        <w:spacing w:after="80" w:before="160"/>
        <w:jc w:val="center"/>
      </w:pPr>
      <w:r>
        <w:rPr>
          <w:rFonts w:ascii="Cambria" w:cs="Cambria" w:eastAsia="Cambria" w:hAnsi="Cambria"/>
          <w:b/>
          <w:bCs/>
          <w:color w:val="0000CC"/>
          <w:sz w:val="21"/>
          <w:szCs w:val="21"/>
        </w:rPr>
        <w:t xml:space="preserve">Table 9: </w:t>
      </w:r>
      <w:r>
        <w:rPr>
          <w:rFonts w:ascii="Cambria" w:cs="Cambria" w:eastAsia="Cambria" w:hAnsi="Cambria"/>
          <w:color w:val="0000CC"/>
          <w:sz w:val="21"/>
          <w:szCs w:val="21"/>
        </w:rPr>
        <w:t xml:space="preserve">Comparison of the core studies and the proposed framework against the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 Abbasi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 Al Amin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 Ekholm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 Eneh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 Hagström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 Jaiman and Urovi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 Zhao and Su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 Madine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 Maruthi and Singh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 Mei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 Panagoulias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 Punia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 Román-Martínez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 Hema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 Soohoo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 Tan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 Tith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 Tremper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 Tseng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 Wu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 Wu and Zhang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Proposed framework (HALAH)</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spacing w:after="140" w:line="300"/>
        <w:jc w:val="both"/>
      </w:pPr>
      <w:r>
        <w:rPr>
          <w:rFonts w:ascii="Cambria" w:cs="Cambria" w:eastAsia="Cambria" w:hAnsi="Cambria"/>
          <w:color w:val="0000CC"/>
          <w:sz w:val="24"/>
          <w:szCs w:val="24"/>
        </w:rPr>
        <w:t xml:space="preserve">The matrix supports four observations. First, counting only full satisfaction, Req 1 is met by 11 of the 23 core studies, Req 2 by 7, Req 3 by 6, Req 4 by 8, Req 5 by 7 and Req 6 by 8; no requirement is unaddressed, but none is met by a majority of the core studies, and Req 1, at 11 of 23, comes closest. Second, no study satisfies all six requirements together. The largest number of requirements fully satisfied by a single study is four, reached by Madine et al. [53] on Req 1, Req 2, Req 3 and Req 5 and by Panagoulias et al. [57] on Req 1, Req 4, Req 5 and Req 6; six studies (Abbasi, Al Amin, Hagström, Madine, Punia and Wu et al. [75]) carry no cross in any column, but each of them relies on Partial codes for at least two requirements. Third, the pairs of requirements that co-occur most often are Req 1 with Req 4 (six studies: Eneh, Jaiman and Urovi, </w:t>
      </w:r>
      <w:r>
        <w:rPr>
          <w:rFonts w:ascii="Cambria" w:cs="Cambria" w:eastAsia="Cambria" w:hAnsi="Cambria"/>
          <w:color w:val="E6007E"/>
          <w:sz w:val="24"/>
          <w:szCs w:val="24"/>
        </w:rPr>
        <w:t xml:space="preserve">Panagoulias, Román-Martínez, Hema and Tith)</w:t>
      </w:r>
      <w:r>
        <w:rPr>
          <w:rFonts w:ascii="Cambria" w:cs="Cambria" w:eastAsia="Cambria" w:hAnsi="Cambria"/>
          <w:color w:val="0000CC"/>
          <w:sz w:val="24"/>
          <w:szCs w:val="24"/>
        </w:rPr>
        <w:t xml:space="preserve"> and Req 4 with Req 5 (five studies: </w:t>
      </w:r>
      <w:r>
        <w:rPr>
          <w:rFonts w:ascii="Cambria" w:cs="Cambria" w:eastAsia="Cambria" w:hAnsi="Cambria"/>
          <w:color w:val="E6007E"/>
          <w:sz w:val="24"/>
          <w:szCs w:val="24"/>
        </w:rPr>
        <w:t xml:space="preserve">Eneh, Mei, Panagoulias, Punia and Hema)</w:t>
      </w:r>
      <w:r>
        <w:rPr>
          <w:rFonts w:ascii="Cambria" w:cs="Cambria" w:eastAsia="Cambria" w:hAnsi="Cambria"/>
          <w:color w:val="0000CC"/>
          <w:sz w:val="24"/>
          <w:szCs w:val="24"/>
        </w:rPr>
        <w:t xml:space="preserve">, which reflects the maturity of single-party consent objects with purpose and time conditions. By contrast, Req 2 and Req 4 never co-occur in full, Req 3 co-occurs with Req 4 only in Punia et al. [61], and Req 3 co-occurs with Req 6 only in the two cryptographic threshold schemes of Zhao and Su [50] and Maruthi and Singh [54], both of which have no policy or temporal enforcement. The most frequent triple is Req 1 with Req 4 and Req 5, found in Eneh et al. [44], Panagoulias et al. [57] and Hema et al. [64], all of them single-party systems without formal assurance; </w:t>
      </w:r>
      <w:r>
        <w:rPr>
          <w:rFonts w:ascii="Cambria" w:cs="Cambria" w:eastAsia="Cambria" w:hAnsi="Cambria"/>
          <w:color w:val="E6007E"/>
          <w:sz w:val="24"/>
          <w:szCs w:val="24"/>
        </w:rPr>
        <w:t xml:space="preserve">the triples that include Req 3 are Req 1, Req 2 and Req 3 in Madine et al. [53] and Tan et al. [69], neither of which enforces purpose or data scope or provides a formal argument, and Req 3, Req 4 and Req 5 in Punia et al. [61], where the threshold lies outside the policy predicate and no purpose term exists</w:t>
      </w:r>
      <w:r>
        <w:rPr>
          <w:rFonts w:ascii="Cambria" w:cs="Cambria" w:eastAsia="Cambria" w:hAnsi="Cambria"/>
          <w:color w:val="0000CC"/>
          <w:sz w:val="24"/>
          <w:szCs w:val="24"/>
        </w:rPr>
        <w:t xml:space="preserve">. Fourth, the two quadruples in the corpus are disjoint in exactly the way the gap predicts: Madine et al. [53] combine multi-party approval with identity, consent representation and time but not with policy or assurance, while Panagoulias et al. [57] combine consent representation, policy, time and validation but not with multi-party approval or identity depth.</w:t>
      </w:r>
    </w:p>
    <w:p>
      <w:pPr>
        <w:spacing w:after="140" w:line="300"/>
        <w:jc w:val="both"/>
      </w:pPr>
      <w:r>
        <w:rPr>
          <w:rFonts w:ascii="Cambria" w:cs="Cambria" w:eastAsia="Cambria" w:hAnsi="Cambria"/>
          <w:color w:val="0000CC"/>
          <w:sz w:val="24"/>
          <w:szCs w:val="24"/>
        </w:rPr>
        <w:t xml:space="preserve">The comparison therefore indicates that the principal contribution of the proposed framework is not the replacement of existing technologies, each of which the literature has developed to a high standard in isolation. Rather, it lies in establishing an explicit and verifiable relationship among them, so that the consent object C carries the identity, authority, multi-party threshold, purpose and data-scope, temporal and lifecycle conditions together, the authorisation decision is the conjunction of their independent verification, and this conjunction is both formally argued and validated through positive and negative test cases. It is this integrated position, represented by the final row of Table 9, that no reviewed study occupies, and the next section states the resulting research gap requirement by requirement.</w:t>
      </w:r>
    </w:p>
    <w:p>
      <w:pPr>
        <w:pStyle w:val="Heading2"/>
        <w:spacing w:after="160" w:before="280"/>
      </w:pPr>
      <w:r>
        <w:rPr>
          <w:rFonts w:ascii="Cambria" w:cs="Cambria" w:eastAsia="Cambria" w:hAnsi="Cambria"/>
          <w:color w:val="0000CC"/>
          <w:sz w:val="24"/>
          <w:szCs w:val="24"/>
        </w:rPr>
        <w:t xml:space="preserve">2.5  Synthesis and Research Gap</w:t>
      </w:r>
    </w:p>
    <w:p>
      <w:pPr>
        <w:spacing w:after="140" w:line="300"/>
        <w:jc w:val="both"/>
      </w:pPr>
      <w:r>
        <w:rPr>
          <w:rFonts w:ascii="Cambria" w:cs="Cambria" w:eastAsia="Cambria" w:hAnsi="Cambria"/>
          <w:color w:val="0000CC"/>
          <w:sz w:val="24"/>
          <w:szCs w:val="24"/>
        </w:rPr>
        <w:t xml:space="preserve">This section synthesises the review of the 44 primary studies presented in Section 2.4 against the six requirements defined in Section 2.2. Across the corpus, the requirement that is most often satisfied is the representation of consent as an evaluable authorisation object (Req 1), which 14 studies satisfy fully and 30 satisfy in part. Policy- and context-aware enforcement (Req 4) is satisfied fully by 13 studies, in part by 25 and not at all by 6, and temporal validity and lifecycle control (Req 5) is satisfied fully by 8 studies, in part by 26 and not at all by 10. Decentralised verification of identity and authority (Req 2) is satisfied fully by 7 studies and in part by 35, and only 2 studies describe no identity mechanism at all. Multi-party authorisation through a verifiable threshold (Req 3) is the least satisfied requirement: 6 studies satisfy it fully, 4 satisfy it in part and 34 do not address it. With respect to Req 6, formal security assurance of the authorisation decision is provided by 6 studies and argued informally by 17, while 21 studies offer no security analysis beyond assertion; empirical validation is complete in 5 studies, partial in 35 and absent in 4. It should be noted that these proportions are consistent with the signal prevalence in the </w:t>
      </w:r>
      <w:r>
        <w:rPr>
          <w:rFonts w:ascii="Cambria" w:cs="Cambria" w:eastAsia="Cambria" w:hAnsi="Cambria"/>
          <w:color w:val="E6007E"/>
          <w:sz w:val="24"/>
          <w:szCs w:val="24"/>
        </w:rPr>
        <w:t xml:space="preserve">wider full-text pool of 1,800 records described in Section 2.3.6</w:t>
      </w:r>
      <w:r>
        <w:rPr>
          <w:rFonts w:ascii="Cambria" w:cs="Cambria" w:eastAsia="Cambria" w:hAnsi="Cambria"/>
          <w:color w:val="0000CC"/>
          <w:sz w:val="24"/>
          <w:szCs w:val="24"/>
        </w:rPr>
        <w:t xml:space="preserve">, in which only 8% of the records carry a multi-party signal, 2% a temporal-validity signal and 1% a formal-verification signal, compared with 74% for audit or evidence and 69% for a prototype or experiment. The scarcity observed among the included studies is therefore a property of the field and not an artefact of the selection.</w:t>
      </w:r>
    </w:p>
    <w:p>
      <w:pPr>
        <w:spacing w:after="140" w:line="300"/>
        <w:jc w:val="both"/>
      </w:pPr>
      <w:r>
        <w:rPr>
          <w:rFonts w:ascii="Cambria" w:cs="Cambria" w:eastAsia="Cambria" w:hAnsi="Cambria"/>
          <w:color w:val="0000CC"/>
          <w:sz w:val="24"/>
          <w:szCs w:val="24"/>
        </w:rPr>
        <w:t xml:space="preserve">The most important correction that the review imposes on the framing of this research concerns multi-party authorisation. An earlier version of this chapter, built on a smaller corpus, stated that multi-party authorisation of patient consent does not exist in the literature. That statement is withdrawn. The coding panel identified six distinct mechanism classes in which more than one party participates in an authorisation-related decision. Madine et al. [53] require regulator and guardian approvals on a single access request, but only on the incapacitated and emergency paths; on the normal path a single patient key authorises, so that joint approval is a contingency rather than a standing condition. Wu et al. [75] apply a (t, n) threshold of investigators, but the threshold governs the admission of a trial record to the ledger and the revocation of a consent rather than the grant, and the vote itself reduces to a hash-integrity check. Zhao and Su [50] place the threshold among consumer-side delegates who are already within the access policy, and Tan et al. [69] place it among patient-appointed witnesses who act for a patient who is unable to act. Punia et al. [61] conjoin an institutional M-of-N signature with an attribute policy, but the signature is reserved for high-sensitivity and cross-departmental requests, lies outside the decision predicate and can be bypassed by a single emergency officer. Ekholm et al. [43] and Hagström et al. [47] </w:t>
      </w:r>
      <w:r>
        <w:rPr>
          <w:rFonts w:ascii="Cambria" w:cs="Cambria" w:eastAsia="Cambria" w:hAnsi="Cambria"/>
          <w:color w:val="E6007E"/>
          <w:sz w:val="24"/>
          <w:szCs w:val="24"/>
        </w:rPr>
        <w:t xml:space="preserve">report deployed platforms in which all legal guardians must</w:t>
      </w:r>
      <w:r>
        <w:rPr>
          <w:rFonts w:ascii="Cambria" w:cs="Cambria" w:eastAsia="Cambria" w:hAnsi="Cambria"/>
          <w:color w:val="0000CC"/>
          <w:sz w:val="24"/>
          <w:szCs w:val="24"/>
        </w:rPr>
        <w:t xml:space="preserve"> co-</w:t>
      </w:r>
      <w:r>
        <w:rPr>
          <w:rFonts w:ascii="Cambria" w:cs="Cambria" w:eastAsia="Cambria" w:hAnsi="Cambria"/>
          <w:color w:val="E6007E"/>
          <w:sz w:val="24"/>
          <w:szCs w:val="24"/>
        </w:rPr>
        <w:t xml:space="preserve">sign at consent registration, on a commercial research platform in [43] and, in [47], as a condition of guardian proxy access in national patient portals that is gated also by a professional's capacity assessment and the minor's own consent, and guardianship is verified against a population register</w:t>
      </w:r>
      <w:r>
        <w:rPr>
          <w:rFonts w:ascii="Cambria" w:cs="Cambria" w:eastAsia="Cambria" w:hAnsi="Cambria"/>
          <w:color w:val="0000CC"/>
          <w:sz w:val="24"/>
          <w:szCs w:val="24"/>
        </w:rPr>
        <w:t xml:space="preserve">; the co-consent is a validity condition of the registered consent and not a predicate evaluated on each subsequent access request. In addition, Maruthi and Singh [54] distribute a threshold key among patient-designated relatives, and Abbasi et al. [35] among automated oracles, so that the threshold protects key custody rather than expressing an authorisation judgement. Therefore, multi-party approval exists in the reviewed literature as a contingency path, a registration-time co-consent, an institution-side admission gate, a custodial M-of-N, a witness or notary threshold, or a key-share reconstruction. In no reviewed study is it a constitutive predicate that every access decision must satisfy together with the identity, policy and temporal conditions, and in no study is the approving set both defined by the patient and evaluated on every request.</w:t>
      </w:r>
    </w:p>
    <w:p>
      <w:pPr>
        <w:spacing w:after="140" w:line="300"/>
        <w:jc w:val="both"/>
      </w:pPr>
      <w:r>
        <w:rPr>
          <w:rFonts w:ascii="Cambria" w:cs="Cambria" w:eastAsia="Cambria" w:hAnsi="Cambria"/>
          <w:color w:val="0000CC"/>
          <w:sz w:val="24"/>
          <w:szCs w:val="24"/>
        </w:rPr>
        <w:t xml:space="preserve">A similar qualification applies to Req 4 and Req 5. Purpose of use is evaluated inside the decision in several studies. Tith et al. [71] and Albalwy et al. [37] match a purpose tree or a purpose tuple, Jaiman and Urovi [49] match ontology terms, Román-Martínez et al. [63] evaluate the FHIR purpose-of-use through an XACML decision point, Eneh et al. [44] evaluate purpose, data category and jurisdiction in an on-chain rule set, and Panagoulias et al. [57] verify a purpose conjunct at scale. However, every one of these studies is single-party, and the one study that conjoins a policy engine with a multi-party signature, Punia et al. [61], carries no purpose term and consumes consent as a Boolean attribute. In the cryptographic schemes the policy is bound to the ciphertext or to the requester's attributes rather than to the consent [78, 46, 56], and in the deployed research infrastructures the purpose is displayed or logged rather than evaluated [72, 74, 73]. Purpose and data-scope policy that is bound to the consent object and conjoined with multi-party approval is therefore largely absent. Temporal enforcement inside the decision is rare. Eneh et al. [44] evaluate the validity bounds of a rule at request time, the key-derivation scheme in [64] binds the expiry into the key so that decryption after expiry is unreachable, Madine et al. [53] discount stale attestations, and Punia et al. [61] check token expiry on access. In most other studies the time element is a stored timestamp [37, 71], an expiry field that the decision algorithm never reads [58], a session or token lifetime rather than a consent validity window [73, 67, 51], or a claimed auto-expiry with no enforcement locus [68, 70]. </w:t>
      </w:r>
      <w:r>
        <w:rPr>
          <w:rFonts w:ascii="Cambria" w:cs="Cambria" w:eastAsia="Cambria" w:hAnsi="Cambria"/>
          <w:color w:val="E6007E"/>
          <w:sz w:val="24"/>
          <w:szCs w:val="24"/>
        </w:rPr>
        <w:t xml:space="preserve">Verified revocation with an observed denial is reported by Panagoulias et al. [57] and Phuyal et al. [58], in a demonstration by Eneh et al. [44], and in a single narrated scenario in [68]</w:t>
      </w:r>
      <w:r>
        <w:rPr>
          <w:rFonts w:ascii="Cambria" w:cs="Cambria" w:eastAsia="Cambria" w:hAnsi="Cambria"/>
          <w:color w:val="0000CC"/>
          <w:sz w:val="24"/>
          <w:szCs w:val="24"/>
        </w:rPr>
        <w:t xml:space="preserve">; elsewhere revocation is specified and its cost measured, but its effect on a subsequent request is not exercised [61, 62, 60]. The gap under Req 5 is therefore not the absence of temporal mechanisms but the enforcement, at the consent object itself and verified at decision time, of the validity interval, revocation and state transitions in a multi-institution exchange.</w:t>
      </w:r>
    </w:p>
    <w:p>
      <w:pPr>
        <w:spacing w:after="140" w:line="300"/>
        <w:jc w:val="both"/>
      </w:pPr>
      <w:r>
        <w:rPr>
          <w:rFonts w:ascii="Cambria" w:cs="Cambria" w:eastAsia="Cambria" w:hAnsi="Cambria"/>
          <w:color w:val="0000CC"/>
          <w:sz w:val="24"/>
          <w:szCs w:val="24"/>
        </w:rPr>
        <w:t xml:space="preserve">Formal assurance of the authorisation decision is almost absent, and where it exists it is narrow. The six studies with a formal proof, Wu and Zhang [76], Zhao and Su [50], Maruthi and Singh [54], Mei et al. [55], Gao et al. [48] and Luo et al. [52], prove anonymity, unforgeability, confidentiality or revocation properties of a cryptographic gate over one or two conditions. None of them contains a theorem stating that access is granted only if a conjunction of identity, authority, policy, temporal and lifecycle conditions holds, because none of them implements such a conjunction. Conversely, the studies with the broadest decision predicates, Punia et al. [61], Madine et al. [53], Ferreira et al. [45], Phuyal et al. [58], Shanmugham and Senthilkumar [66] and Panagoulias et al. [57], provide at most a threat table or a structured adversary model. Across the corpus, therefore, the breadth of the decision predicate and the strength of its assurance vary inversely, and no study occupies the position in which a broad predicate is formally proved. The empirical evidence shows the same pattern from the other side. Five studies report a complete empirical evaluation [37, 47, 49, 57, 58], and only Panagoulias et al. [57] and Phuyal et al. [58] verify ALLOW and DENY outcomes systematically, the former in a single-node simulation and the latter without adversarial tests. A larger group of studies builds and measures a decision path without verifying a single authorisation decision [61, 35, 65, 72, 78, 36]; Sawant and Gomes [65] run the broadest measurement campaign in the corpus and report no outcome for the access-control function that they formalise. When the formal and empirical halves of Req 6 are combined, eleven studies reach a tick in the combined column of the tables of Section 2.4, but no study combines a formal proof of its decision with a systematic empirical test of that decision.</w:t>
      </w:r>
    </w:p>
    <w:p>
      <w:pPr>
        <w:spacing w:after="140" w:line="300"/>
        <w:jc w:val="both"/>
      </w:pPr>
      <w:r>
        <w:rPr>
          <w:rFonts w:ascii="Cambria" w:cs="Cambria" w:eastAsia="Cambria" w:hAnsi="Cambria"/>
          <w:color w:val="0000CC"/>
          <w:sz w:val="24"/>
          <w:szCs w:val="24"/>
        </w:rPr>
        <w:t xml:space="preserve">Taken together, the review establishes two gaps rather than one. The first is a conjunction gap. Identity and authority verification, collective approval, purpose and data-scope policy, temporal validity and lifecycle control each exist in the literature, several of them in mature form, and a number of studies combine three or four of them in one design [58, 61, 45, 66, 57]. No study, however, conjoins identity, authority, threshold, policy, temporal and jurisdictional and lifecycle conditions in one decision predicate in which multi-party approval is a standing condition of every access decision and in which the patient, rather than an institution, defines the approving set. The second is an assurance gap. Where the conditions do co-exist they are neither proved nor tested as an authorisation decision, and where a proof exists it covers a fragment of the predicate. The proposed framework is positioned against these two gaps. The consent object C carries the guardian set G and the threshold N together with the identity, policy, temporal, jurisdictional and lifecycle components; the access decision is the conjunction of the corresponding predicates; and the conjunction, rather than any single component, is the object of both formal and empirical assurance. It should be noted that the framework is not positioned on the idea of an evaluable consent object, which the literature has provided since 2020 [71, 37], nor on the existence of a threshold mechanism, which the six classes above provide, but on the conjunction of the conditions and on the assurance of that conjunction.</w:t>
      </w:r>
    </w:p>
    <w:p>
      <w:pPr>
        <w:pStyle w:val="Heading3"/>
        <w:spacing w:after="160" w:before="280"/>
      </w:pPr>
      <w:r>
        <w:rPr>
          <w:rFonts w:ascii="Cambria" w:cs="Cambria" w:eastAsia="Cambria" w:hAnsi="Cambria"/>
          <w:color w:val="0000CC"/>
          <w:sz w:val="24"/>
          <w:szCs w:val="24"/>
        </w:rPr>
        <w:t xml:space="preserve">2.5.1  Research Gaps in the Existing Studies from the Requirement Perspective</w:t>
      </w:r>
    </w:p>
    <w:p>
      <w:pPr>
        <w:spacing w:after="140" w:line="300"/>
        <w:jc w:val="both"/>
      </w:pPr>
      <w:r>
        <w:rPr>
          <w:rFonts w:ascii="Cambria" w:cs="Cambria" w:eastAsia="Cambria" w:hAnsi="Cambria"/>
          <w:color w:val="0000CC"/>
          <w:sz w:val="24"/>
          <w:szCs w:val="24"/>
        </w:rPr>
        <w:t xml:space="preserve">Gap 1 (Req 1): The strongest evaluable consent objects in the reviewed studies are the purpose-based tuple of Tith et al. [71], the ontology object of Albalwy et al. [37], the on-chain consent object of Phuyal et al. [58], the consent token of Shanmugham and Senthilkumar [66], the rule structure of Eneh et al. [44] and the policy object of Panagoulias et al. [57]. Each of them carries a subset of the required components: Tith et al. [71] and Albalwy et al. [37] carry no temporal component, Eneh et al. [44] and Shanmugham and Senthilkumar [66] carry no authority requirement beyond the single patient, and Phuyal et al. [58] store an expiry that the decision algorithm does not read. In the 30 studies coded as partial, the consent is a Boolean flag, a logged event or a status that is displayed rather than evaluated [36, 60, 65, 74], and in Punia et al. [61] the object that carries a lifecycle is the policy rather than the consent. What remains open is a consent object that represents the participating identities, the authority requirement including the guardian set and the threshold, the purpose and data scope, the validity interval, the jurisdiction, the lifecycle state and the evidence as separately evaluable components. This gap corresponds to research question RQ1 of Chapter 3.</w:t>
      </w:r>
    </w:p>
    <w:p>
      <w:pPr>
        <w:spacing w:after="140" w:line="300"/>
        <w:jc w:val="both"/>
      </w:pPr>
      <w:r>
        <w:rPr>
          <w:rFonts w:ascii="Cambria" w:cs="Cambria" w:eastAsia="Cambria" w:hAnsi="Cambria"/>
          <w:color w:val="0000CC"/>
          <w:sz w:val="24"/>
          <w:szCs w:val="24"/>
        </w:rPr>
        <w:t xml:space="preserve">Gap 2 (Req 2): The clearest separations of identity from authority are found in Ekholm et al. [43] and Hagström et al. [47], where guardianship is verified against a national population register independently of the eID login, in Phuyal et al. [58], where a licensing-body credential asserts role and scope of practice separately from the wallet identity, in Wu and Zhang [76], where a zero-knowledge proof binds the owner's authorisation to a specific requester key, and in Tan et al. [69], Madine et al. [53] and Tseng et al. [73]. In the 35 studies coded as partial the identity is a wallet address or a platform certificate, the role is administratively assigned or self-selected at login [36, 44], and the authority to act on behalf of a patient is not evidenced at all. The register-based guardian verification of [43, 47] is centralised, and the DID and VC designs [58, 45, 66] carry no guardian credential. What remains open is decentralised evidence of both identity and authority for every participant in a consent, including the guardians, with the two conditions evaluated separately. This gap corresponds to research question RQ2 of Chapter 3.</w:t>
      </w:r>
    </w:p>
    <w:p>
      <w:pPr>
        <w:spacing w:after="140" w:line="300"/>
        <w:jc w:val="both"/>
      </w:pPr>
      <w:r>
        <w:rPr>
          <w:rFonts w:ascii="Cambria" w:cs="Cambria" w:eastAsia="Cambria" w:hAnsi="Cambria"/>
          <w:color w:val="0000CC"/>
          <w:sz w:val="24"/>
          <w:szCs w:val="24"/>
        </w:rPr>
        <w:t xml:space="preserve">Gap 3 (Req 3): The strongest multi-party mechanisms are those of Madine et al. [53], Tan et al. [69], Punia et al. [61], Zhao and Su [50], Maruthi and Singh [54] and Ekholm et al. [43], with partial mechanisms in Wu et al. [75], Hagström et al. [47], Al Amin et al. [38] and Abbasi et al. [35]. As set out above, the joint approval in these studies is contingent on the absence of the patient [53, 69, 54], reserved for particular request classes and bypassable in an emergency [61], placed among consumer-side delegates or institution-side investigators rather than patient-side parties [50, 75], or applied at consent registration rather than at each access decision [43, 47, 38]. None of the six mechanism classes is conjoined with a purpose or data-scope condition, and the two threshold gates that are formally proved [50, 54] are proved in isolation from any policy, temporal or lifecycle condition. What remains open is a verifiable threshold over a patient-defined approving set that is a standing component of the access-decision predicate and is evaluated on every request. This gap corresponds to research question RQ3 of Chapter 3.</w:t>
      </w:r>
    </w:p>
    <w:p>
      <w:pPr>
        <w:spacing w:after="140" w:line="300"/>
        <w:jc w:val="both"/>
      </w:pPr>
      <w:r>
        <w:rPr>
          <w:rFonts w:ascii="Cambria" w:cs="Cambria" w:eastAsia="Cambria" w:hAnsi="Cambria"/>
          <w:color w:val="0000CC"/>
          <w:sz w:val="24"/>
          <w:szCs w:val="24"/>
        </w:rPr>
        <w:t xml:space="preserve">Gap 4 (Req 4): The strongest policy enforcement is found in Eneh et al. [44], whose on-chain rules evaluate purpose, data category, sensitivity, jurisdiction and action with deny-by-default, in Panagoulias et al. [57], who verify a purpose conjunct over thousands of requests, in Román-Martínez et al. [63], Tith et al. [71], Albalwy et al. [37] and Jaiman and Urovi [49], who evaluate purpose against the consent, in the key-derivation scheme of [64], which binds role and consent into the key, and in Punia et al. [61], whose attribute policy is evaluated in a conjunctive predicate. In the remaining studies the policy is bound to the requester's role or attributes or to the ciphertext rather than to what the patient authorised [46, 56, 78, 36], the purpose is captured for audit but not adjudicated [72, 73], or the policy is described but not enforced [39, 41, 59]. Jurisdiction appears as a rule attribute only in Eneh et al. [44], and the declared purpose is never attested. What remains open is a purpose and data-scope policy that is bound to the consent object, evaluated together with the jurisdiction on every request, and conjoined with the multi-party approval condition. This gap corresponds to research question RQ4 of Chapter 3.</w:t>
      </w:r>
    </w:p>
    <w:p>
      <w:pPr>
        <w:spacing w:after="140" w:line="300"/>
        <w:jc w:val="both"/>
      </w:pPr>
      <w:r>
        <w:rPr>
          <w:rFonts w:ascii="Cambria" w:cs="Cambria" w:eastAsia="Cambria" w:hAnsi="Cambria"/>
          <w:color w:val="0000CC"/>
          <w:sz w:val="24"/>
          <w:szCs w:val="24"/>
        </w:rPr>
        <w:t xml:space="preserve">Gap 5 (Req 5): Temporal validity is enforced inside the decision by Eneh et al. [44], the scheme in [64], Madine et al. [53], Punia et al. [61] and Panagoulias et al. [57], credential or attribute expiry is enforced by Li et al. [51] and Mei et al. [55], and age windows are demonstrably enforced in the national portal studied by Hagström et al. [47]. Explicit lifecycle state machines are found in Phuyal et al. [58], Wu et al. [75] and Shanmugham and Senthilkumar [66], and verified revocation in Panagoulias et al. [57] and Phuyal et al. [58]. However, the enforced window is usually attached to a token, a key or a credential rather than to the consent [73, 51, 77], the stored expiry of the consent is not read by the decision [58], revocation does not invalidate tokens already issued [73], and no study verifies expiry, revocation and state transition together at the consent level in a multi-institution exchange. What remains open is the enforcement of the validity interval, immediate and verifiable revocation, and controlled transitions between lifecycle states of the consent object itself at every access decision. This gap corresponds to research question RQ5 of Chapter 3.</w:t>
      </w:r>
    </w:p>
    <w:p>
      <w:pPr>
        <w:spacing w:after="140" w:line="300"/>
        <w:jc w:val="both"/>
      </w:pPr>
      <w:r>
        <w:rPr>
          <w:rFonts w:ascii="Cambria" w:cs="Cambria" w:eastAsia="Cambria" w:hAnsi="Cambria"/>
          <w:color w:val="0000CC"/>
          <w:sz w:val="24"/>
          <w:szCs w:val="24"/>
        </w:rPr>
        <w:t xml:space="preserve">Gap 6 (Req 6): Formal proofs are provided by Wu and Zhang [76], Zhao and Su [50], Maruthi and Singh [54], Mei et al. [55], Gao et al. [48] and Luo et al. [52], in each case for a cryptographic property of a narrow predicate. Complete empirical evaluations are provided by Panagoulias et al. [57], Phuyal et al. [58], Albalwy et al. [37], Jaiman and Urovi [49] and Hagström et al. [47], and systematic adversarial testing without formal content by Tremper et al. [72] and Sawant and Gomes [65]. No study provides both, and </w:t>
      </w:r>
      <w:r>
        <w:rPr>
          <w:rFonts w:ascii="Cambria" w:cs="Cambria" w:eastAsia="Cambria" w:hAnsi="Cambria"/>
          <w:color w:val="E6007E"/>
          <w:sz w:val="24"/>
          <w:szCs w:val="24"/>
        </w:rPr>
        <w:t xml:space="preserve">the studies with the broadest predicates [61, 53, 45, 66] provide neither a proof nor an ALLOW and DENY test of the decision, and Phuyal et al. [58], which does test both outcomes, provides no formal argument</w:t>
      </w:r>
      <w:r>
        <w:rPr>
          <w:rFonts w:ascii="Cambria" w:cs="Cambria" w:eastAsia="Cambria" w:hAnsi="Cambria"/>
          <w:color w:val="0000CC"/>
          <w:sz w:val="24"/>
          <w:szCs w:val="24"/>
        </w:rPr>
        <w:t xml:space="preserve">. What remains open is the formal definition and proof of the properties of the conjoined predicate, namely identity correctness, authorisation integrity, threshold security, temporal safety and lifecycle safety, together with an empirical evaluation that demonstrates the refusal of the negative cases. This gap corresponds to research question RQ6 of Chapter 3.</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w:t>
      </w:r>
      <w:r>
        <w:rPr>
          <w:rFonts w:ascii="Cambria" w:cs="Cambria" w:eastAsia="Cambria" w:hAnsi="Cambria"/>
          <w:color w:val="E6007E"/>
          <w:sz w:val="24"/>
          <w:szCs w:val="24"/>
        </w:rPr>
        <w:t xml:space="preserve">both predicates are enforced in the implemented Consent Engine and are evaluated empirically in the later chapters of this report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color w:val="E6007E"/>
          <w:sz w:val="24"/>
          <w:szCs w:val="24"/>
        </w:rPr>
        <w:t xml:space="preserve">The present research therefore establishes the relationship between trust-centric consent modelling, decentralised identity and authority verification, multi-party authorisation, policy-aware access control and temporal and lifecycle trust, and subjects the resulting conjunction to formal security assurance and empirical validation, in accordance with RO1 to RO6.</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w:t>
      </w:r>
      <w:r>
        <w:rPr>
          <w:rFonts w:ascii="Cambria" w:cs="Cambria" w:eastAsia="Cambria" w:hAnsi="Cambria"/>
          <w:color w:val="E6007E"/>
          <w:sz w:val="24"/>
          <w:szCs w:val="24"/>
        </w:rPr>
        <w:t xml:space="preserve">according to whether the combined identity, authority, collective authorisation, policy, temporal and jurisdictional conditions required for access have been satisfied</w:t>
      </w:r>
      <w:r>
        <w:rPr>
          <w:rFonts w:ascii="Cambria" w:cs="Cambria" w:eastAsia="Cambria" w:hAnsi="Cambria"/>
          <w:sz w:val="24"/>
          <w:szCs w:val="24"/>
        </w:rPr>
        <w:t xml:space="preserve">.</w:t>
      </w:r>
    </w:p>
    <w:p>
      <w:pPr>
        <w:pStyle w:val="Heading2"/>
        <w:spacing w:after="160" w:before="280"/>
      </w:pPr>
      <w:r>
        <w:rPr>
          <w:rFonts w:ascii="Cambria" w:cs="Cambria" w:eastAsia="Cambria" w:hAnsi="Cambria"/>
          <w:color w:val="000000"/>
          <w:sz w:val="24"/>
          <w:szCs w:val="24"/>
        </w:rPr>
        <w:t xml:space="preserve">2.6  Conclusion</w:t>
      </w:r>
    </w:p>
    <w:p>
      <w:pPr>
        <w:spacing w:after="140" w:line="300"/>
        <w:jc w:val="both"/>
      </w:pPr>
      <w:r>
        <w:rPr>
          <w:rFonts w:ascii="Cambria" w:cs="Cambria" w:eastAsia="Cambria" w:hAnsi="Cambria"/>
          <w:color w:val="0000CC"/>
          <w:sz w:val="24"/>
          <w:szCs w:val="24"/>
        </w:rPr>
        <w:t xml:space="preserve">This chapter has presented a systematic literature review, conducted and reported in accordance with PRISMA 2020, of the studies that address the authorisation of patient consent in decentralised healthcare data sharing. Six requirements for a trustworthy multi-party consent authorisation framework were defined in Section 2.2 and used as the basis of comparison throughout the chapter. </w:t>
      </w:r>
      <w:r>
        <w:rPr>
          <w:rFonts w:ascii="Cambria" w:cs="Cambria" w:eastAsia="Cambria" w:hAnsi="Cambria"/>
          <w:color w:val="E6007E"/>
          <w:sz w:val="24"/>
          <w:szCs w:val="24"/>
        </w:rPr>
        <w:t xml:space="preserve">Seven frozen database searches, supplemented by a Google Scholar discovery arm, identified 9,256 records,</w:t>
      </w:r>
      <w:r>
        <w:rPr>
          <w:rFonts w:ascii="Cambria" w:cs="Cambria" w:eastAsia="Cambria" w:hAnsi="Cambria"/>
          <w:color w:val="0000CC"/>
          <w:sz w:val="24"/>
          <w:szCs w:val="24"/>
        </w:rPr>
        <w:t xml:space="preserve"> of which 6,039 unique records were screened by title. After abstract screening, full-text assessment and quality appraisal, 44 primary studies published between 2020 and 2026 were retained, together with three secondary studies that were used as background only. The studies were reviewed in six streams corresponding to the six requirements, and each study was assessed against all six requirements in the tables of Section 2.4.</w:t>
      </w:r>
    </w:p>
    <w:p>
      <w:pPr>
        <w:spacing w:after="140" w:line="300"/>
        <w:jc w:val="both"/>
      </w:pPr>
      <w:r>
        <w:rPr>
          <w:rFonts w:ascii="Cambria" w:cs="Cambria" w:eastAsia="Cambria" w:hAnsi="Cambria"/>
          <w:color w:val="0000CC"/>
          <w:sz w:val="24"/>
          <w:szCs w:val="24"/>
        </w:rPr>
        <w:t xml:space="preserve">It should be noted that the review has limitations. The 588 pending-abstract records described in Section 2.3.6 were not screened, the full-text pool of 1,800 records was read in a prioritised order under the saturation rule rather than exhaustively, and the coding was performed by a single panel, so that a small number of relevant studies may have been missed. The consistency between the coding of the included studies and the signal prevalence of the wider pool, reported in Section 2.5, limits but does not remove this risk.</w:t>
      </w:r>
    </w:p>
    <w:p>
      <w:pPr>
        <w:spacing w:after="140" w:line="300"/>
        <w:jc w:val="both"/>
      </w:pPr>
      <w:r>
        <w:rPr>
          <w:rFonts w:ascii="Cambria" w:cs="Cambria" w:eastAsia="Cambria" w:hAnsi="Cambria"/>
          <w:color w:val="0000CC"/>
          <w:sz w:val="24"/>
          <w:szCs w:val="24"/>
        </w:rPr>
        <w:t xml:space="preserve">The review found that the individual conditions of a trustworthy authorisation decision are each represented in the literature. Evaluable consent objects have existed since 2020, purpose-based and attribute-based policy engines operate inside the decision in a number of systems, temporal validity and revocation are enforced at decision time in a few, identity and authority are separated most clearly where guardianship or professional licensing is verified against an external register or credential, and multi-party approval exists in six mechanism classes. The review also found that these conditions are not conjoined. Multi-party approval appears as a contingency path, a registration-time co-consent, an institution-side gate, a custodial threshold, a witness threshold or a key-share reconstruction rather than as a standing condition of every access decision; the purpose and data-scope policy is never conjoined with multi-party approval; temporal and lifecycle enforcement at the consent level is rarely verified; and formal assurance, where it exists, covers a narrow cryptographic predicate while the broadest predicates are neither proved nor tested. The research gap is therefore a conjunction gap and an assurance gap, as stated in Section 2.5 and decomposed by requirement in Section 2.5.1.</w:t>
      </w:r>
    </w:p>
    <w:p>
      <w:pPr>
        <w:spacing w:after="140" w:line="300"/>
        <w:jc w:val="both"/>
      </w:pPr>
      <w:r>
        <w:rPr>
          <w:rFonts w:ascii="Cambria" w:cs="Cambria" w:eastAsia="Cambria" w:hAnsi="Cambria"/>
          <w:color w:val="0000CC"/>
          <w:sz w:val="24"/>
          <w:szCs w:val="24"/>
        </w:rPr>
        <w:t xml:space="preserve">These two gaps define the research undertaken in the remainder of this report. The conjunction gap motivates a consent object whose components, namely the participating identities, the guardian set G and the threshold N, the purpose and data scope, the validity interval, the jurisdiction, the lifecycle state and the evidence, are evaluated as separate predicates whose conjunction determines every access decision. The assurance gap motivates the formal definition of the security properties of that conjunction and their empirical validation in the HALAH prototype. In this context, the six requirements of Section 2.2 and the six gaps of Section 2.5.1 correspond one to one to the six sub-research questions and the six research objectives that follow. Chapter 3 defines the key terms and states the research questions.</w:t>
      </w:r>
    </w:p>
    <w:p>
      <w:pPr>
        <w:spacing w:after="140" w:line="300"/>
        <w:jc w:val="both"/>
      </w:pPr>
      <w:r>
        <w:rPr>
          <w:rFonts w:ascii="Cambria" w:cs="Cambria" w:eastAsia="Cambria" w:hAnsi="Cambria"/>
          <w:color w:val="0000CC"/>
          <w:sz w:val="24"/>
          <w:szCs w:val="24"/>
        </w:rPr>
        <w:t xml:space="preserve">Figure 5 summarises this synthesis, showing that each requirement is satisfied by some of the 44 studies while no study conjoins all six conditions in one assured access decision.</w:t>
      </w:r>
    </w:p>
    <w:p>
      <w:pPr>
        <w:keepNext/>
        <w:spacing w:after="60" w:before="140"/>
        <w:jc w:val="center"/>
      </w:pPr>
      <w:r>
        <w:drawing>
          <wp:inline distT="0" distB="0" distL="0" distR="0">
            <wp:extent cx="5715000" cy="2838450"/>
            <wp:effectExtent t="0" r="0" b="0" l="0"/>
            <wp:docPr id="1" name="gfig2c.png" descr="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titl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w:t>
      </w:r>
    </w:p>
    <w:p>
      <w:pPr>
        <w:pStyle w:val="Heading1"/>
        <w:pageBreakBefore/>
        <w:spacing w:after="160" w:before="400"/>
      </w:pPr>
      <w:r>
        <w:rPr>
          <w:rFonts w:ascii="Cambria" w:cs="Cambria" w:eastAsia="Cambria" w:hAnsi="Cambria"/>
          <w:sz w:val="24"/>
          <w:szCs w:val="24"/>
        </w:rPr>
        <w:t xml:space="preserve">3  Research Gaps and Questions</w:t>
      </w:r>
    </w:p>
    <w:p>
      <w:pPr>
        <w:pStyle w:val="Heading2"/>
        <w:spacing w:after="160" w:before="280"/>
      </w:pPr>
      <w:r>
        <w:rPr>
          <w:rFonts w:ascii="Cambria" w:cs="Cambria" w:eastAsia="Cambria" w:hAnsi="Cambria"/>
          <w:sz w:val="24"/>
          <w:szCs w:val="24"/>
        </w:rPr>
        <w:t xml:space="preserve">3.1  Research Gap</w:t>
      </w:r>
    </w:p>
    <w:p>
      <w:pPr>
        <w:spacing w:after="140" w:line="300"/>
        <w:jc w:val="both"/>
      </w:pPr>
      <w:r>
        <w:rPr>
          <w:rFonts w:ascii="Cambria" w:cs="Cambria" w:eastAsia="Cambria" w:hAnsi="Cambria"/>
          <w:color w:val="E6007E"/>
          <w:sz w:val="24"/>
          <w:szCs w:val="24"/>
        </w:rPr>
        <w:t xml:space="preserve">The systematic literature review of 44 primary studies presented in Chapter 2 (Section 2.5) indicates that substantial research</w:t>
      </w:r>
      <w:r>
        <w:rPr>
          <w:rFonts w:ascii="Cambria" w:cs="Cambria" w:eastAsia="Cambria" w:hAnsi="Cambria"/>
          <w:color w:val="E6007E"/>
          <w:sz w:val="24"/>
          <w:szCs w:val="24"/>
        </w:rPr>
        <w:t xml:space="preserve"> has been conducted</w:t>
      </w:r>
      <w:r>
        <w:rPr>
          <w:rFonts w:ascii="Cambria" w:cs="Cambria" w:eastAsia="Cambria" w:hAnsi="Cambria"/>
          <w:sz w:val="24"/>
          <w:szCs w:val="24"/>
        </w:rPr>
        <w:t xml:space="preserve"> on individual mechanisms for securing healthcare data sharing, including blockchain-based consent management, decentralised identity, verifiable credentials, cryptographic access control, </w:t>
      </w:r>
      <w:r>
        <w:rPr>
          <w:rFonts w:ascii="Cambria" w:cs="Cambria" w:eastAsia="Cambria" w:hAnsi="Cambria"/>
          <w:color w:val="E6007E"/>
          <w:sz w:val="24"/>
          <w:szCs w:val="24"/>
        </w:rPr>
        <w:t xml:space="preserve">policy-based authorisation, and multi-party approval [1, 13, 20, 25, 32, 53, 61, 69].</w:t>
      </w:r>
      <w:r>
        <w:rPr>
          <w:rFonts w:ascii="Cambria" w:cs="Cambria" w:eastAsia="Cambria" w:hAnsi="Cambria"/>
          <w:sz w:val="24"/>
          <w:szCs w:val="24"/>
        </w:rPr>
        <w:t xml:space="preserve">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w:t>
      </w:r>
      <w:r>
        <w:rPr>
          <w:rFonts w:ascii="Cambria" w:cs="Cambria" w:eastAsia="Cambria" w:hAnsi="Cambria"/>
          <w:color w:val="E6007E"/>
          <w:sz w:val="24"/>
          <w:szCs w:val="24"/>
        </w:rPr>
        <w:t xml:space="preserve">They are commonly investigated as independent technical solutions; the few studies that coordinate several of them in one decision [58, 61, 45, 66, 57] do not make multi-party approval a standing condition of that decision and do not assure the conjunction formally or empirically.</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w:t>
      </w:r>
      <w:r>
        <w:rPr>
          <w:rFonts w:ascii="Cambria" w:cs="Cambria" w:eastAsia="Cambria" w:hAnsi="Cambria"/>
          <w:color w:val="E6007E"/>
          <w:sz w:val="24"/>
          <w:szCs w:val="24"/>
        </w:rPr>
        <w:t xml:space="preserve">In particular, many consent-oriented approaches still treat consent primarily as a record or a Boolean flag [36, 60, 65], and even the evaluable consent objects reported since 2020 [71, 37, 44, 58, 66] carry only a subset of the conditions and are issued by a single party, as established in Section 2.5.</w:t>
      </w:r>
      <w:r>
        <w:rPr>
          <w:rFonts w:ascii="Cambria" w:cs="Cambria" w:eastAsia="Cambria" w:hAnsi="Cambria"/>
          <w:sz w:val="24"/>
          <w:szCs w:val="24"/>
        </w:rPr>
        <w:t xml:space="preserve">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w:t>
      </w:r>
      <w:r>
        <w:rPr>
          <w:rFonts w:ascii="Cambria" w:cs="Cambria" w:eastAsia="Cambria" w:hAnsi="Cambria"/>
          <w:color w:val="E6007E"/>
          <w:sz w:val="24"/>
          <w:szCs w:val="24"/>
        </w:rPr>
        <w:t xml:space="preserve">A blockchain may provide an immutable representation of a consent event [2, 28], but immutability does not establish the legitimacy of the entities involved in that event.</w:t>
      </w:r>
      <w:r>
        <w:rPr>
          <w:rFonts w:ascii="Cambria" w:cs="Cambria" w:eastAsia="Cambria" w:hAnsi="Cambria"/>
          <w:sz w:val="24"/>
          <w:szCs w:val="24"/>
        </w:rPr>
        <w:t xml:space="preserve"> </w:t>
      </w:r>
      <w:r>
        <w:rPr>
          <w:rFonts w:ascii="Cambria" w:cs="Cambria" w:eastAsia="Cambria" w:hAnsi="Cambria"/>
          <w:color w:val="E6007E"/>
          <w:sz w:val="24"/>
          <w:szCs w:val="24"/>
        </w:rPr>
        <w:t xml:space="preserve">Similarly, a valid decentralised identity can establish who a participant is [20], but it does not necessarily establish what that participant is authorised to do.</w:t>
      </w:r>
      <w:r>
        <w:rPr>
          <w:rFonts w:ascii="Cambria" w:cs="Cambria" w:eastAsia="Cambria" w:hAnsi="Cambria"/>
          <w:sz w:val="24"/>
          <w:szCs w:val="24"/>
        </w:rPr>
        <w:t xml:space="preserve"> </w:t>
      </w:r>
      <w:r>
        <w:rPr>
          <w:rFonts w:ascii="Cambria" w:cs="Cambria" w:eastAsia="Cambria" w:hAnsi="Cambria"/>
          <w:color w:val="E6007E"/>
          <w:sz w:val="24"/>
          <w:szCs w:val="24"/>
        </w:rPr>
        <w:t xml:space="preserve">Multi-party approval can strengthen collective decision-making, but in the reviewed studies it is never conjoined with a purpose or data-scope condition [61, 53, 69], and approval alone does not guarantee that the resulting access request conforms to the patient’s authorised purpose or data scope.</w:t>
      </w:r>
      <w:r>
        <w:rPr>
          <w:rFonts w:ascii="Cambria" w:cs="Cambria" w:eastAsia="Cambria" w:hAnsi="Cambria"/>
          <w:sz w:val="24"/>
          <w:szCs w:val="24"/>
        </w:rPr>
        <w:t xml:space="preserv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w:t>
      </w:r>
      <w:r>
        <w:rPr>
          <w:rFonts w:ascii="Cambria" w:cs="Cambria" w:eastAsia="Cambria" w:hAnsi="Cambria"/>
          <w:color w:val="E6007E"/>
          <w:sz w:val="24"/>
          <w:szCs w:val="24"/>
        </w:rPr>
        <w:t xml:space="preserve">there remains a need for an authorisation framework in which the consent object carries identity, authority, threshold, policy, temporal, jurisdictional and lifecycle conditions, in which multi-party approval is a standing condition of every access decision, and in which the conjunction of these conditions is formally and empirically assured.</w:t>
      </w:r>
      <w:r>
        <w:rPr>
          <w:rFonts w:ascii="Cambria" w:cs="Cambria" w:eastAsia="Cambria" w:hAnsi="Cambria"/>
          <w:sz w:val="24"/>
          <w:szCs w:val="24"/>
        </w:rPr>
        <w:t xml:space="preserve">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color w:val="0000CC"/>
          <w:sz w:val="24"/>
          <w:szCs w:val="24"/>
        </w:rPr>
        <w:t xml:space="preserve">In the terms of Section 2.5, these two requirements correspond to the conjunction gap and the assurance gap respectively. It should be noted that the approving set must be defined by the patient rather than by an institution, since in the reviewed studies the approving parties are contingent, institutional or custodial rather than patient-designated [53, 61, 50].</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spacing w:after="140" w:line="300"/>
        <w:jc w:val="both"/>
      </w:pPr>
      <w:r>
        <w:rPr>
          <w:rFonts w:ascii="Cambria" w:cs="Cambria" w:eastAsia="Cambria" w:hAnsi="Cambria"/>
          <w:color w:val="0000CC"/>
          <w:sz w:val="24"/>
          <w:szCs w:val="24"/>
        </w:rPr>
        <w:t xml:space="preserve">For clarity, the following terms are used throughout the remaining chapters. The patient is the data subject who creates the consent object C. The guardian set G is the set of designated participants whose independent approval is required, and the threshold N is the number of valid guardian approvals needed for activation. The authorised doctor D is the requester whose access request R is evaluated against C.</w:t>
      </w:r>
    </w:p>
    <w:p>
      <w:pPr>
        <w:pStyle w:val="Heading2"/>
        <w:spacing w:after="160" w:before="280"/>
      </w:pPr>
      <w:r>
        <w:rPr>
          <w:rFonts w:ascii="Cambria" w:cs="Cambria" w:eastAsia="Cambria" w:hAnsi="Cambria"/>
          <w:sz w:val="24"/>
          <w:szCs w:val="24"/>
        </w:rPr>
        <w:t xml:space="preserve">3.2  Main Research Question</w:t>
      </w:r>
    </w:p>
    <w:p>
      <w:pPr>
        <w:spacing w:after="140" w:line="300"/>
        <w:jc w:val="both"/>
      </w:pPr>
      <w:r>
        <w:rPr>
          <w:rFonts w:ascii="Cambria" w:cs="Cambria" w:eastAsia="Cambria" w:hAnsi="Cambria"/>
          <w:color w:val="E6007E"/>
          <w:sz w:val="24"/>
          <w:szCs w:val="24"/>
        </w:rPr>
        <w:t xml:space="preserve">Before the question is stated, the scope of the current stage should be noted. Temporal and lifecycle trust has been operationalised in the current</w:t>
      </w:r>
      <w:r>
        <w:rPr>
          <w:rFonts w:ascii="Cambria" w:cs="Cambria" w:eastAsia="Cambria" w:hAnsi="Cambria"/>
          <w:color w:val="000000"/>
          <w:sz w:val="24"/>
          <w:szCs w:val="24"/>
        </w:rPr>
        <w:t xml:space="preserve"> prototype, and empirical validation has been partially completed through automated and live negative testing. </w:t>
      </w:r>
      <w:r>
        <w:rPr>
          <w:rFonts w:ascii="Cambria" w:cs="Cambria" w:eastAsia="Cambria" w:hAnsi="Cambria"/>
          <w:color w:val="E6007E"/>
          <w:sz w:val="24"/>
          <w:szCs w:val="24"/>
        </w:rPr>
        <w:t xml:space="preserve">Consequently, formal security assurance forms the subsequent research scope and is developed further in the next stage of the research (Section 9.2).</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rPr>
          <w:rFonts w:ascii="Cambria" w:cs="Cambria" w:eastAsia="Cambria" w:hAnsi="Cambria"/>
          <w:sz w:val="24"/>
          <w:szCs w:val="24"/>
        </w:rP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spacing w:after="140" w:line="300"/>
        <w:jc w:val="both"/>
      </w:pPr>
      <w:r>
        <w:rPr>
          <w:rFonts w:ascii="Cambria" w:cs="Cambria" w:eastAsia="Cambria" w:hAnsi="Cambria"/>
          <w:color w:val="0000CC"/>
          <w:sz w:val="24"/>
          <w:szCs w:val="24"/>
        </w:rPr>
        <w:t xml:space="preserve">Each sub-research question corresponds to one of the six requirements defined in Section 2.2 (Req 1 to Req 6) and to the associated gap identified in Section 2.5, so that SRQ1 to SRQ6 address, respectively, the representation, identity, threshold, policy, lifecycle and assurance requirements that no reviewed study satisfies together. For brevity, the sub-research questions SRQ1 to SRQ6 are referred to as RQ1 to RQ6 in Chapter 4 and in the remaining chapters.</w:t>
      </w:r>
    </w:p>
    <w:p>
      <w:pPr>
        <w:pStyle w:val="Heading3"/>
        <w:spacing w:after="160" w:before="280"/>
      </w:pPr>
      <w:r>
        <w:rPr>
          <w:rFonts w:ascii="Cambria" w:cs="Cambria" w:eastAsia="Cambria" w:hAnsi="Cambria"/>
          <w:sz w:val="24"/>
          <w:szCs w:val="24"/>
        </w:rP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C = (I, A, P, E),</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where I represents identity information, A represents authority and authorisation requirements, P represents policy and data-scope constraints, and E represents authorisation evidence.</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rPr>
          <w:rFonts w:ascii="Cambria" w:cs="Cambria" w:eastAsia="Cambria" w:hAnsi="Cambria"/>
          <w:sz w:val="24"/>
          <w:szCs w:val="24"/>
        </w:rP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t>
      </w:r>
      <w:r>
        <w:rPr>
          <w:rFonts w:ascii="Cambria" w:cs="Cambria" w:eastAsia="Cambria" w:hAnsi="Cambria"/>
          <w:color w:val="E6007E"/>
          <w:sz w:val="24"/>
          <w:szCs w:val="24"/>
        </w:rPr>
        <w:t xml:space="preserve">while a verifiable credential provides evidence concerning the participant’s role or authority [20, 16].</w:t>
      </w:r>
      <w:r>
        <w:rPr>
          <w:rFonts w:ascii="Cambria" w:cs="Cambria" w:eastAsia="Cambria" w:hAnsi="Cambria"/>
          <w:sz w:val="24"/>
          <w:szCs w:val="24"/>
        </w:rPr>
        <w:t xml:space="preserve">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rPr>
          <w:rFonts w:ascii="Cambria" w:cs="Cambria" w:eastAsia="Cambria" w:hAnsi="Cambria"/>
          <w:sz w:val="24"/>
          <w:szCs w:val="24"/>
        </w:rP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spacing w:after="140" w:line="300"/>
        <w:jc w:val="both"/>
      </w:pPr>
      <w:r>
        <w:rPr>
          <w:rFonts w:ascii="Cambria" w:cs="Cambria" w:eastAsia="Cambria" w:hAnsi="Cambria"/>
          <w:color w:val="0000CC"/>
          <w:sz w:val="24"/>
          <w:szCs w:val="24"/>
        </w:rPr>
        <w:t xml:space="preserve">In this context, A</w:t>
      </w:r>
      <w:r>
        <w:rPr>
          <w:rFonts w:ascii="Cambria" w:cs="Cambria" w:eastAsia="Cambria" w:hAnsi="Cambria"/>
          <w:color w:val="0000CC"/>
          <w:sz w:val="24"/>
          <w:szCs w:val="24"/>
          <w:vertAlign w:val="subscript"/>
        </w:rPr>
        <w:t xml:space="preserve">v</w:t>
      </w:r>
      <w:r>
        <w:rPr>
          <w:rFonts w:ascii="Cambria" w:cs="Cambria" w:eastAsia="Cambria" w:hAnsi="Cambria"/>
          <w:color w:val="0000CC"/>
          <w:sz w:val="24"/>
          <w:szCs w:val="24"/>
        </w:rPr>
        <w:t xml:space="preserve"> is the subset of the guardian set G whose approvals have been independently verified, so that A</w:t>
      </w:r>
      <w:r>
        <w:rPr>
          <w:rFonts w:ascii="Cambria" w:cs="Cambria" w:eastAsia="Cambria" w:hAnsi="Cambria"/>
          <w:color w:val="0000CC"/>
          <w:sz w:val="24"/>
          <w:szCs w:val="24"/>
          <w:vertAlign w:val="subscript"/>
        </w:rPr>
        <w:t xml:space="preserve">v</w:t>
      </w:r>
      <w:r>
        <w:rPr>
          <w:rFonts w:ascii="Cambria" w:cs="Cambria" w:eastAsia="Cambria" w:hAnsi="Cambria"/>
          <w:color w:val="0000CC"/>
          <w:sz w:val="24"/>
          <w:szCs w:val="24"/>
        </w:rPr>
        <w:t xml:space="preserve"> ⊆ G and 1 ≤ N ≤ |G|.</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rPr>
          <w:rFonts w:ascii="Cambria" w:cs="Cambria" w:eastAsia="Cambria" w:hAnsi="Cambria"/>
          <w:sz w:val="24"/>
          <w:szCs w:val="24"/>
        </w:rP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w:t>
      </w:r>
      <w:r>
        <w:rPr>
          <w:rFonts w:ascii="Cambria" w:cs="Cambria" w:eastAsia="Cambria" w:hAnsi="Cambria"/>
          <w:color w:val="E6007E"/>
          <w:sz w:val="24"/>
          <w:szCs w:val="24"/>
        </w:rPr>
        <w:t xml:space="preserve">A represents the authority requirements, namely the guardian set G and the approval threshold N</w:t>
      </w:r>
      <w:r>
        <w:rPr>
          <w:rFonts w:ascii="Cambria" w:cs="Cambria" w:eastAsia="Cambria" w:hAnsi="Cambria"/>
          <w:color w:val="000000"/>
          <w:sz w:val="24"/>
          <w:szCs w:val="24"/>
        </w:rPr>
        <w:t xml:space="preserve">, P represents the purpose and data-scope constraints, T represents the temporal validity window, L represents the jurisdictional constraint, and </w:t>
      </w:r>
      <w:r>
        <w:rPr>
          <w:rFonts w:ascii="Cambria" w:cs="Cambria" w:eastAsia="Cambria" w:hAnsi="Cambria"/>
          <w:color w:val="0000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It should be noted that the question names four dimensions, namely identity, authority requirements, policy constraints and authorisation evidence, whereas the consent object contains six components. The temporal component T and the jurisdictional </w:t>
      </w:r>
      <w:r>
        <w:rPr>
          <w:rFonts w:ascii="Cambria" w:cs="Cambria" w:eastAsia="Cambria" w:hAnsi="Cambria"/>
          <w:color w:val="E6007E"/>
          <w:sz w:val="24"/>
          <w:szCs w:val="24"/>
        </w:rPr>
        <w:t xml:space="preserve">component L are required by Gap 1 of Section 2.5.1 and were made explicit during implementation as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constraints of the policy dimension; the jurisdictional constraint is motivated by Gap 4 and the temporal constraint by Gap 5 of Section 2.5.1, and both are evaluated as the separate predicates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defined in Section 6.5</w:t>
      </w:r>
      <w:r>
        <w:rPr>
          <w:rFonts w:ascii="Cambria" w:cs="Cambria" w:eastAsia="Cambria" w:hAnsi="Cambria"/>
          <w:color w:val="0000CC"/>
          <w:sz w:val="24"/>
          <w:szCs w:val="24"/>
        </w:rPr>
        <w:t xml:space="preserve"> rather than as an additional sub-research question.</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rPr>
          <w:rFonts w:ascii="Cambria" w:cs="Cambria" w:eastAsia="Cambria" w:hAnsi="Cambria"/>
          <w:sz w:val="24"/>
          <w:szCs w:val="24"/>
        </w:rP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w:t>
      </w:r>
      <w:r>
        <w:rPr>
          <w:rFonts w:ascii="Cambria" w:cs="Cambria" w:eastAsia="Cambria" w:hAnsi="Cambria"/>
          <w:color w:val="E6007E"/>
          <w:sz w:val="24"/>
          <w:szCs w:val="24"/>
        </w:rPr>
        <w:t xml:space="preserve">cannot necessarily be assumed to remain valid indefinitely, as recognised in the dynamic consent literature [24, 13].</w:t>
      </w:r>
      <w:r>
        <w:rPr>
          <w:rFonts w:ascii="Cambria" w:cs="Cambria" w:eastAsia="Cambria" w:hAnsi="Cambria"/>
          <w:sz w:val="24"/>
          <w:szCs w:val="24"/>
        </w:rPr>
        <w:t xml:space="preserve">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E6007E"/>
          <w:sz w:val="24"/>
          <w:szCs w:val="24"/>
        </w:rPr>
        <w:t xml:space="preserve">In the implemented framework, N is instantiated as |G|, the number of designated guardians,</w:t>
      </w:r>
      <w:r>
        <w:rPr>
          <w:rFonts w:ascii="Cambria" w:cs="Cambria" w:eastAsia="Cambria" w:hAnsi="Cambria"/>
          <w:color w:val="000000"/>
          <w:sz w:val="24"/>
          <w:szCs w:val="24"/>
        </w:rPr>
        <w:t xml:space="preserve">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S</w:t>
      </w:r>
      <w:r>
        <w:rPr>
          <w:rFonts w:ascii="Cambria Math" w:cs="Cambria Math" w:eastAsia="Cambria Math" w:hAnsi="Cambria Math"/>
          <w:i/>
          <w:iCs/>
          <w:color w:val="0000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E6007E"/>
          <w:sz w:val="24"/>
          <w:szCs w:val="24"/>
        </w:rPr>
        <w:t xml:space="preserve">In the implemented framework, the state and revocation conditions of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are evaluated as part of the collective authorisation predicate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whereas Section 6.5 additionally evaluates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as a composite temporal and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that includes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This is important because only a consent in the ACTIVE state can satisfy the authorisation condition. Consequently, the symbol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is reserved for the jurisdictional predicate, which corresponds to the component L of the consent object.</w:t>
      </w:r>
    </w:p>
    <w:p>
      <w:pPr>
        <w:spacing w:after="140" w:line="300"/>
        <w:jc w:val="both"/>
      </w:pPr>
      <w:r>
        <w:rPr>
          <w:rFonts w:ascii="Cambria" w:cs="Cambria" w:eastAsia="Cambria" w:hAnsi="Cambria"/>
          <w:color w:val="0000CC"/>
          <w:sz w:val="24"/>
          <w:szCs w:val="24"/>
        </w:rPr>
        <w:t xml:space="preserve">It should be noted that Section 6.4 also writes the data-scope condition of Equation (9) as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R); for this reason the lifecycle predicate is written with three arguments,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t, q), wherever the two could be confused.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rPr>
          <w:rFonts w:ascii="Cambria" w:cs="Cambria" w:eastAsia="Cambria" w:hAnsi="Cambria"/>
          <w:sz w:val="24"/>
          <w:szCs w:val="24"/>
        </w:rP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 DENY, otherwise. }</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rPr>
          <w:rFonts w:ascii="Cambria" w:cs="Cambria" w:eastAsia="Cambria" w:hAnsi="Cambria"/>
          <w:sz w:val="24"/>
          <w:szCs w:val="24"/>
        </w:rP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0000"/>
          <w:sz w:val="24"/>
          <w:szCs w:val="24"/>
        </w:rPr>
        <w:t xml:space="preserve">jurisdictional compliance, while lifecycle validity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is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This five-predicate conjunction constitutes the decision rule of the implemented Consent Engine; the three-predicate formulation of Equation (24) represents the foundational core of RO1 to RO4, which the implemented rule extends with the temporal and jurisdictional predicates.</w:t>
      </w:r>
    </w:p>
    <w:p>
      <w:pPr>
        <w:spacing w:after="140" w:line="300"/>
        <w:jc w:val="both"/>
      </w:pPr>
      <w:r>
        <w:rPr>
          <w:rFonts w:ascii="Cambria" w:cs="Cambria" w:eastAsia="Cambria" w:hAnsi="Cambria"/>
          <w:color w:val="0000CC"/>
          <w:sz w:val="24"/>
          <w:szCs w:val="24"/>
        </w:rPr>
        <w:t xml:space="preserve">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is satisfied when the jurisdiction declared in the access request R matches the jurisdiction L recorded in the consent object, or when no jurisdiction is recorded; its formal definition is given in Equation (59) in Section 6.5.</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rPr>
          <w:rFonts w:ascii="Cambria" w:cs="Cambria" w:eastAsia="Cambria" w:hAnsi="Cambria"/>
          <w:sz w:val="24"/>
          <w:szCs w:val="24"/>
        </w:rP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w:t>
      </w:r>
      <w:r>
        <w:rPr>
          <w:rFonts w:ascii="Cambria" w:cs="Cambria" w:eastAsia="Cambria" w:hAnsi="Cambria"/>
          <w:color w:val="E6007E"/>
          <w:sz w:val="24"/>
          <w:szCs w:val="24"/>
        </w:rPr>
        <w:t xml:space="preserve">The first four objectives establish the foundational trust-oriented authorisation mechanisms investigated during the current stage, RO5 has been operationalised in the current prototype, and the empirical component of RO6 has been delivered, so that only the formal component of RO6 remains for the next stage.</w:t>
      </w:r>
    </w:p>
    <w:p>
      <w:pPr>
        <w:pStyle w:val="Heading2"/>
        <w:spacing w:after="160" w:before="280"/>
      </w:pPr>
      <w:r>
        <w:rPr>
          <w:rFonts w:ascii="Cambria" w:cs="Cambria" w:eastAsia="Cambria" w:hAnsi="Cambria"/>
          <w:sz w:val="24"/>
          <w:szCs w:val="24"/>
        </w:rP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rPr>
          <w:rFonts w:ascii="Cambria" w:cs="Cambria" w:eastAsia="Cambria" w:hAnsi="Cambria"/>
          <w:sz w:val="24"/>
          <w:szCs w:val="24"/>
        </w:rP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rPr>
          <w:rFonts w:ascii="Cambria" w:cs="Cambria" w:eastAsia="Cambria" w:hAnsi="Cambria"/>
          <w:sz w:val="24"/>
          <w:szCs w:val="24"/>
        </w:rP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rPr>
          <w:rFonts w:ascii="Cambria" w:cs="Cambria" w:eastAsia="Cambria" w:hAnsi="Cambria"/>
          <w:sz w:val="24"/>
          <w:szCs w:val="24"/>
        </w:rPr>
        <w:t xml:space="preserve">4.4  RO4 - Policy- and Context-Aware Access Control</w:t>
      </w:r>
    </w:p>
    <w:p>
      <w:pPr>
        <w:spacing w:after="140" w:line="300"/>
        <w:jc w:val="both"/>
      </w:pPr>
      <w:r>
        <w:rPr>
          <w:rFonts w:ascii="Cambria" w:cs="Cambria" w:eastAsia="Cambria" w:hAnsi="Cambria"/>
          <w:color w:val="E6007E"/>
          <w:sz w:val="24"/>
          <w:szCs w:val="24"/>
        </w:rPr>
        <w:t xml:space="preserve">In the implemented framework, the policy mechanism evaluates whether the requested purpose is consistent with the consent</w:t>
      </w:r>
      <w:r>
        <w:rPr>
          <w:rFonts w:ascii="Cambria" w:cs="Cambria" w:eastAsia="Cambria" w:hAnsi="Cambria"/>
          <w:color w:val="000000"/>
          <w:sz w:val="24"/>
          <w:szCs w:val="24"/>
        </w:rPr>
        <w:t xml:space="preserve">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rPr>
          <w:rFonts w:ascii="Cambria" w:cs="Cambria" w:eastAsia="Cambria" w:hAnsi="Cambria"/>
          <w:sz w:val="24"/>
          <w:szCs w:val="24"/>
        </w:rP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t>
      </w:r>
      <w:r>
        <w:rPr>
          <w:rFonts w:ascii="Cambria" w:cs="Cambria" w:eastAsia="Cambria" w:hAnsi="Cambria"/>
          <w:color w:val="E6007E"/>
          <w:sz w:val="24"/>
          <w:szCs w:val="24"/>
        </w:rPr>
        <w:t xml:space="preserve">work therefore concerns hardening these controls and extending them to consent modification, delegation and guardian-set changes (Section 9.2), rather than introducing</w:t>
      </w:r>
      <w:r>
        <w:rPr>
          <w:rFonts w:ascii="Cambria" w:cs="Cambria" w:eastAsia="Cambria" w:hAnsi="Cambria"/>
          <w:color w:val="000000"/>
          <w:sz w:val="24"/>
          <w:szCs w:val="24"/>
        </w:rPr>
        <w:t xml:space="preserve">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rPr>
          <w:rFonts w:ascii="Cambria" w:cs="Cambria" w:eastAsia="Cambria" w:hAnsi="Cambria"/>
          <w:sz w:val="24"/>
          <w:szCs w:val="24"/>
        </w:rP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E6007E"/>
          <w:sz w:val="24"/>
          <w:szCs w:val="24"/>
        </w:rPr>
        <w:t xml:space="preserve">In particular,</w:t>
      </w:r>
      <w:r>
        <w:rPr>
          <w:rFonts w:ascii="Cambria" w:cs="Cambria" w:eastAsia="Cambria" w:hAnsi="Cambria"/>
          <w:color w:val="000000"/>
          <w:sz w:val="24"/>
          <w:szCs w:val="24"/>
        </w:rPr>
        <w:t xml:space="preserve">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rPr>
          <w:rFonts w:ascii="Cambria" w:cs="Cambria" w:eastAsia="Cambria" w:hAnsi="Cambria"/>
          <w:sz w:val="24"/>
          <w:szCs w:val="24"/>
        </w:rP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w:t>
      </w:r>
      <w:r>
        <w:rPr>
          <w:rFonts w:ascii="Cambria" w:cs="Cambria" w:eastAsia="Cambria" w:hAnsi="Cambria"/>
          <w:color w:val="E6007E"/>
          <w:sz w:val="24"/>
          <w:szCs w:val="24"/>
        </w:rPr>
        <w:t xml:space="preserve">together with the systematic performance study and the identified prototype hardening (Sections 7.6 and 9.2)</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E6007E"/>
          <w:sz w:val="24"/>
          <w:szCs w:val="24"/>
        </w:rPr>
        <w:t xml:space="preserve">The relationship between the six research questions and the six research objectives is summarised in Table 10 and Table 11, in which the last column names the section of this report where each objective is realised.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Because each research question corresponds to one requirement of Section 2.2 and to one gap of Section 2.5.1, the tables also trace each objective to the gap that motivates it, so that RO1 addresses Gap 1, RO2 addresses Gap 2, and so on to RO6 and Gap 6.</w:t>
      </w:r>
    </w:p>
    <w:p>
      <w:pPr>
        <w:spacing w:after="140" w:line="300"/>
        <w:jc w:val="both"/>
      </w:pPr>
      <w:r>
        <w:rPr>
          <w:rFonts w:ascii="Cambria" w:cs="Cambria" w:eastAsia="Cambria" w:hAnsi="Cambria"/>
          <w:color w:val="E6007E"/>
          <w:sz w:val="24"/>
          <w:szCs w:val="24"/>
        </w:rPr>
        <w:t xml:space="preserve">The formal component of RO6 constitutes the principal research agenda for the next stage of the research, whereas RO5 has already been operationalised in the current prototype.</w:t>
      </w:r>
      <w:r>
        <w:rPr>
          <w:rFonts w:ascii="Cambria" w:cs="Cambria" w:eastAsia="Cambria" w:hAnsi="Cambria"/>
          <w:sz w:val="24"/>
          <w:szCs w:val="24"/>
        </w:rPr>
        <w:t xml:space="preserve">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w:t>
      </w:r>
      <w:r>
        <w:rPr>
          <w:rFonts w:ascii="Cambria" w:cs="Cambria" w:eastAsia="Cambria" w:hAnsi="Cambria"/>
          <w:color w:val="E6007E"/>
          <w:sz w:val="24"/>
          <w:szCs w:val="24"/>
        </w:rPr>
        <w:t xml:space="preserve">The current stage establishes the foundational mechanisms, their conceptual relationships and their operational lifecycle controls, whereas the next stage investigates whether these mechanisms satisfy the formally defined security properties and whether their security and practical effectiveness can be formally and empirically demonstrated.</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E6007E"/>
          <w:sz w:val="21"/>
          <w:szCs w:val="21"/>
        </w:rPr>
        <w:t xml:space="preserve">Research Questions, Research Objectives, and Report Sections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6.1 (progress in Section 7.1)</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6.2 (progress in Section 7.2)</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6.3 (progress in Section 7.3)</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E6007E"/>
          <w:sz w:val="21"/>
          <w:szCs w:val="21"/>
        </w:rPr>
        <w:t xml:space="preserve">Research Questions, Research Objectives, and Report Sections (RQ4 to RQ6)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6.4 (progress in Section 7.4)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6.5 (progress in Section 7.5)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6.6 (progress in Section 7.6)</w:t>
            </w:r>
          </w:p>
        </w:tc>
      </w:tr>
    </w:tbl>
    <w:p>
      <w:pPr>
        <w:spacing w:after="180"/>
      </w:pPr>
    </w:p>
    <w:p>
      <w:pPr>
        <w:spacing w:after="140" w:line="300"/>
        <w:jc w:val="both"/>
      </w:pPr>
      <w:r>
        <w:rPr>
          <w:rFonts w:ascii="Cambria" w:cs="Cambria" w:eastAsia="Cambria" w:hAnsi="Cambria"/>
          <w:sz w:val="24"/>
          <w:szCs w:val="24"/>
        </w:rP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w:t>
      </w:r>
      <w:r>
        <w:rPr>
          <w:rFonts w:ascii="Cambria" w:cs="Cambria" w:eastAsia="Cambria" w:hAnsi="Cambria"/>
          <w:color w:val="E6007E"/>
          <w:sz w:val="24"/>
          <w:szCs w:val="24"/>
        </w:rPr>
        <w:t xml:space="preserve">The implemented decision model incorporates the temporal and jurisdictional conditions as follows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(25)</w:t>
      </w:r>
    </w:p>
    <w:p>
      <w:pPr>
        <w:spacing w:after="140" w:line="300"/>
        <w:jc w:val="both"/>
      </w:pPr>
      <w:r>
        <w:rPr>
          <w:rFonts w:ascii="Cambria" w:cs="Cambria" w:eastAsia="Cambria" w:hAnsi="Cambria"/>
          <w:color w:val="E6007E"/>
          <w:sz w:val="24"/>
          <w:szCs w:val="24"/>
        </w:rPr>
        <w:t xml:space="preserve">where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(C, t) represents temporal validity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 represents jurisdictional compliance, while the lifecycle state and its transitions are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 as stated in Section 3.4 and Section 6.5.</w:t>
      </w:r>
      <w:r>
        <w:rPr>
          <w:rFonts w:ascii="Cambria" w:cs="Cambria" w:eastAsia="Cambria" w:hAnsi="Cambria"/>
          <w:sz w:val="24"/>
          <w:szCs w:val="24"/>
        </w:rPr>
        <w:t xml:space="preserve"> </w:t>
      </w:r>
      <w:r>
        <w:rPr>
          <w:rFonts w:ascii="Cambria" w:cs="Cambria" w:eastAsia="Cambria" w:hAnsi="Cambria"/>
          <w:color w:val="E6007E"/>
          <w:sz w:val="24"/>
          <w:szCs w:val="24"/>
        </w:rPr>
        <w:t xml:space="preserve">This formulation provides a consistent connection between the foundational objectives RO1 to RO4, the operational lifecycle controls of RO5 and the assurance objective RO6, whose formal component is planned for the next stage of the research.</w:t>
      </w:r>
    </w:p>
    <w:p>
      <w:pPr>
        <w:pStyle w:val="Heading1"/>
        <w:pageBreakBefore/>
        <w:spacing w:after="160" w:before="400"/>
      </w:pPr>
      <w:r>
        <w:rPr>
          <w:rFonts w:ascii="Cambria" w:cs="Cambria" w:eastAsia="Cambria" w:hAnsi="Cambria"/>
          <w:sz w:val="24"/>
          <w:szCs w:val="24"/>
        </w:rP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rPr>
          <w:rFonts w:ascii="Cambria" w:cs="Cambria" w:eastAsia="Cambria" w:hAnsi="Cambria"/>
          <w:sz w:val="24"/>
          <w:szCs w:val="24"/>
        </w:rP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w:t>
      </w:r>
      <w:r>
        <w:rPr>
          <w:rFonts w:ascii="Cambria" w:cs="Cambria" w:eastAsia="Cambria" w:hAnsi="Cambria"/>
          <w:color w:val="E6007E"/>
          <w:sz w:val="24"/>
          <w:szCs w:val="24"/>
        </w:rPr>
        <w:t xml:space="preserve">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spacing w:after="140" w:line="300"/>
        <w:jc w:val="both"/>
      </w:pPr>
      <w:r>
        <w:rPr>
          <w:rFonts w:ascii="Cambria" w:cs="Cambria" w:eastAsia="Cambria" w:hAnsi="Cambria"/>
          <w:color w:val="0000CC"/>
          <w:sz w:val="24"/>
          <w:szCs w:val="24"/>
        </w:rPr>
        <w:t xml:space="preserve">MVC was selected in preference to a purely on-chain design because the authorisation decision must combine identity, threshold, policy, temporal and jurisdictional evaluation performed by the Controller with the anchoring of consent state on the blockchain, and because the pattern allows each stakeholder interface to be replaced without altering the enforcement logic, which is necessary for evaluating the trust predicates independently of any particular user interface.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w:t>
      </w:r>
      <w:r>
        <w:rPr>
          <w:rFonts w:ascii="Cambria" w:cs="Cambria" w:eastAsia="Cambria" w:hAnsi="Cambria"/>
          <w:color w:val="E6007E"/>
          <w:sz w:val="24"/>
          <w:szCs w:val="24"/>
        </w:rPr>
        <w:t xml:space="preserve">deployed on Sepolia alongside the application audit ledger,</w:t>
      </w:r>
      <w:r>
        <w:rPr>
          <w:rFonts w:ascii="Cambria" w:cs="Cambria" w:eastAsia="Cambria" w:hAnsi="Cambria"/>
          <w:color w:val="000000"/>
          <w:sz w:val="24"/>
          <w:szCs w:val="24"/>
        </w:rPr>
        <w:t xml:space="preserve"> a revocation path flows from the Patient interface through the Controller to both the ledger and the contract, </w:t>
      </w:r>
      <w:r>
        <w:rPr>
          <w:rFonts w:ascii="Cambria" w:cs="Cambria" w:eastAsia="Cambria" w:hAnsi="Cambria"/>
          <w:color w:val="E6007E"/>
          <w:sz w:val="24"/>
          <w:szCs w:val="24"/>
        </w:rPr>
        <w:t xml:space="preserve">and an external independent verification tool, described in Section 6.8.9,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 </w:t>
      </w:r>
      <w:r>
        <w:rPr>
          <w:rFonts w:ascii="Cambria" w:cs="Cambria" w:eastAsia="Cambria" w:hAnsi="Cambria"/>
          <w:color w:val="0000CC"/>
          <w:sz w:val="24"/>
          <w:szCs w:val="24"/>
        </w:rPr>
        <w:t xml:space="preserve">Guardian approvals are nevertheless verified cryptographically in the prototype through EIP-712 typed-data signatures bound to the consent identifier, so that the multi-party threshold of Section 5.6 is enforced over signed approvals rather than over interface actions, as described in Section 6.8.</w:t>
      </w:r>
    </w:p>
    <w:p>
      <w:pPr>
        <w:pStyle w:val="Heading3"/>
        <w:spacing w:after="160" w:before="280"/>
      </w:pPr>
      <w:r>
        <w:rPr>
          <w:rFonts w:ascii="Cambria" w:cs="Cambria" w:eastAsia="Cambria" w:hAnsi="Cambria"/>
          <w:sz w:val="24"/>
          <w:szCs w:val="24"/>
        </w:rPr>
        <w:t xml:space="preserve">5.1.1  MVC Component Decomposition</w:t>
      </w:r>
    </w:p>
    <w:p>
      <w:pPr>
        <w:spacing w:after="140" w:line="300"/>
        <w:jc w:val="both"/>
      </w:pPr>
      <w:r>
        <w:rPr>
          <w:rFonts w:ascii="Cambria" w:cs="Cambria" w:eastAsia="Cambria" w:hAnsi="Cambria"/>
          <w:color w:val="E6007E"/>
          <w:sz w:val="24"/>
          <w:szCs w:val="24"/>
        </w:rPr>
        <w:t xml:space="preserve">In the implemented prototype the Controller layer comprises eight principal functions rather than the six of the conceptual model described below, the two additional functions being</w:t>
      </w:r>
      <w:r>
        <w:rPr>
          <w:rFonts w:ascii="Cambria" w:cs="Cambria" w:eastAsia="Cambria" w:hAnsi="Cambria"/>
          <w:color w:val="000000"/>
          <w:sz w:val="24"/>
          <w:szCs w:val="24"/>
        </w:rPr>
        <w:t xml:space="preserve">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w:t>
      </w:r>
      <w:r>
        <w:rPr>
          <w:rFonts w:ascii="Cambria" w:cs="Cambria" w:eastAsia="Cambria" w:hAnsi="Cambria"/>
          <w:color w:val="E6007E"/>
          <w:sz w:val="24"/>
          <w:szCs w:val="24"/>
        </w:rPr>
        <w:t xml:space="preserve">The Controller is decomposed into six principal security functions in the conceptual model, which the implemented prototype extends to the eight functions noted above.</w:t>
      </w:r>
      <w:r>
        <w:rPr>
          <w:rFonts w:ascii="Cambria" w:cs="Cambria" w:eastAsia="Cambria" w:hAnsi="Cambria"/>
          <w:sz w:val="24"/>
          <w:szCs w:val="24"/>
        </w:rPr>
        <w:t xml:space="preserve">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rPr>
          <w:rFonts w:ascii="Cambria" w:cs="Cambria" w:eastAsia="Cambria" w:hAnsi="Cambria"/>
          <w:sz w:val="24"/>
          <w:szCs w:val="24"/>
        </w:rP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w:t>
      </w:r>
      <w:r>
        <w:rPr>
          <w:rFonts w:ascii="Cambria" w:cs="Cambria" w:eastAsia="Cambria" w:hAnsi="Cambria"/>
          <w:color w:val="E6007E"/>
          <w:sz w:val="24"/>
          <w:szCs w:val="24"/>
        </w:rPr>
        <w:t xml:space="preserve">introduced by RQ1–RQ5 is illustrated in Figure 8.</w:t>
      </w:r>
      <w:r>
        <w:rPr>
          <w:rFonts w:ascii="Cambria" w:cs="Cambria" w:eastAsia="Cambria" w:hAnsi="Cambria"/>
          <w:sz w:val="24"/>
          <w:szCs w:val="24"/>
        </w:rPr>
        <w:t xml:space="preserve">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The integrated decision can therefore be expressed as Eq. (26).</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Consequently, the corresponding component in Figure 8 is depicted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j), the jurisdiction verification function, where j = Jur(R) is the jurisdiction declared in the request; this is the same predicate written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in Eq. (59) and abbreviated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Eq. (26).</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(27)</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rPr>
          <w:rFonts w:ascii="Cambria" w:cs="Cambria" w:eastAsia="Cambria" w:hAnsi="Cambria"/>
          <w:sz w:val="24"/>
          <w:szCs w:val="24"/>
        </w:rP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rPr>
          <w:rFonts w:ascii="Cambria" w:cs="Cambria" w:eastAsia="Cambria" w:hAnsi="Cambria"/>
          <w:sz w:val="24"/>
          <w:szCs w:val="24"/>
        </w:rP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spacing w:after="140" w:line="300"/>
        <w:jc w:val="both"/>
      </w:pPr>
      <w:r>
        <w:rPr>
          <w:rFonts w:ascii="Cambria" w:cs="Cambria" w:eastAsia="Cambria" w:hAnsi="Cambria"/>
          <w:color w:val="0000CC"/>
          <w:sz w:val="24"/>
          <w:szCs w:val="24"/>
        </w:rPr>
        <w:t xml:space="preserve">It should also be noted that, in the present prototype, the Controller is realised as a single trusted server that both evaluates the predicates and writes the audit ledger. Therefore, the on-chain anchoring of consent state </w:t>
      </w:r>
      <w:r>
        <w:rPr>
          <w:rFonts w:ascii="Cambria" w:cs="Cambria" w:eastAsia="Cambria" w:hAnsi="Cambria"/>
          <w:color w:val="E6007E"/>
          <w:sz w:val="24"/>
          <w:szCs w:val="24"/>
        </w:rPr>
        <w:t xml:space="preserve">and the independent verification tool described in Section 6.8.9 provide</w:t>
      </w:r>
      <w:r>
        <w:rPr>
          <w:rFonts w:ascii="Cambria" w:cs="Cambria" w:eastAsia="Cambria" w:hAnsi="Cambria"/>
          <w:color w:val="0000CC"/>
          <w:sz w:val="24"/>
          <w:szCs w:val="24"/>
        </w:rPr>
        <w:t xml:space="preserve"> the external evidence against which the Controller's own records can be checked.</w:t>
      </w:r>
    </w:p>
    <w:p>
      <w:pPr>
        <w:pStyle w:val="Heading2"/>
        <w:spacing w:after="160" w:before="280"/>
      </w:pPr>
      <w:r>
        <w:rPr>
          <w:rFonts w:ascii="Cambria" w:cs="Cambria" w:eastAsia="Cambria" w:hAnsi="Cambria"/>
          <w:sz w:val="24"/>
          <w:szCs w:val="24"/>
        </w:rP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w:t>
      </w:r>
      <w:r>
        <w:rPr>
          <w:rFonts w:ascii="Cambria" w:cs="Cambria" w:eastAsia="Cambria" w:hAnsi="Cambria"/>
          <w:color w:val="E6007E"/>
          <w:sz w:val="24"/>
          <w:szCs w:val="24"/>
        </w:rPr>
        <w:t xml:space="preserve">The workflow operationalises the central premise of this research</w:t>
      </w:r>
      <w:r>
        <w:rPr>
          <w:rFonts w:ascii="Cambria" w:cs="Cambria" w:eastAsia="Cambria" w:hAnsi="Cambria"/>
          <w:sz w:val="24"/>
          <w:szCs w:val="24"/>
        </w:rPr>
        <w:t xml:space="preserve">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w:t>
      </w:r>
      <w:r>
        <w:rPr>
          <w:rFonts w:ascii="Cambria" w:cs="Cambria" w:eastAsia="Cambria" w:hAnsi="Cambria"/>
          <w:color w:val="E6007E"/>
          <w:sz w:val="24"/>
          <w:szCs w:val="24"/>
        </w:rPr>
        <w:t xml:space="preserve">using Decentralised Identifiers (DIDs) and Verifiable Credentials (VCs) [20].</w:t>
      </w:r>
      <w:r>
        <w:rPr>
          <w:rFonts w:ascii="Cambria" w:cs="Cambria" w:eastAsia="Cambria" w:hAnsi="Cambria"/>
          <w:sz w:val="24"/>
          <w:szCs w:val="24"/>
        </w:rPr>
        <w:t xml:space="preserve">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w:t>
      </w:r>
      <w:r>
        <w:rPr>
          <w:rFonts w:ascii="Cambria" w:cs="Cambria" w:eastAsia="Cambria" w:hAnsi="Cambria"/>
          <w:color w:val="E6007E"/>
          <w:sz w:val="24"/>
          <w:szCs w:val="24"/>
        </w:rPr>
        <w:t xml:space="preserve">Multi-party authorisation is satisfied when the threshold condition of Eq. (28) holds.</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spacing w:after="140" w:line="300"/>
        <w:jc w:val="both"/>
      </w:pPr>
      <w:r>
        <w:rPr>
          <w:rFonts w:ascii="Cambria" w:cs="Cambria" w:eastAsia="Cambria" w:hAnsi="Cambria"/>
          <w:color w:val="E6007E"/>
          <w:sz w:val="24"/>
          <w:szCs w:val="24"/>
        </w:rPr>
        <w:t xml:space="preserve">Figure 9 further shows that, once all |G| guardians have signed and the N-of-N condition of Eq. (28) is satisfied, the consent token is minted in the local ledger</w:t>
      </w:r>
      <w:r>
        <w:rPr>
          <w:rFonts w:ascii="Cambria" w:cs="Cambria" w:eastAsia="Cambria" w:hAnsi="Cambria"/>
          <w:color w:val="000000"/>
          <w:sz w:val="24"/>
          <w:szCs w:val="24"/>
        </w:rPr>
        <w:t xml:space="preserve">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w:t>
      </w:r>
      <w:r>
        <w:rPr>
          <w:rFonts w:ascii="Cambria" w:cs="Cambria" w:eastAsia="Cambria" w:hAnsi="Cambria"/>
          <w:color w:val="E6007E"/>
          <w:sz w:val="24"/>
          <w:szCs w:val="24"/>
        </w:rPr>
        <w:t xml:space="preserve">a Groth16 proof is generated and verified before access is granted,</w:t>
      </w:r>
      <w:r>
        <w:rPr>
          <w:rFonts w:ascii="Cambria" w:cs="Cambria" w:eastAsia="Cambria" w:hAnsi="Cambria"/>
          <w:color w:val="000000"/>
          <w:sz w:val="24"/>
          <w:szCs w:val="24"/>
        </w:rPr>
        <w:t xml:space="preserve"> and after the audit evidence is recorded the flow continues through patient-initiated revocation, the corresponding on-chain revoke transaction, </w:t>
      </w:r>
      <w:r>
        <w:rPr>
          <w:rFonts w:ascii="Cambria" w:cs="Cambria" w:eastAsia="Cambria" w:hAnsi="Cambria"/>
          <w:color w:val="E6007E"/>
          <w:sz w:val="24"/>
          <w:szCs w:val="24"/>
        </w:rPr>
        <w:t xml:space="preserve">and finally auditor review together with independent verification by the verification tool of Section 6.8.9.</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(29)</w:t>
      </w:r>
    </w:p>
    <w:p>
      <w:pPr>
        <w:spacing w:after="140" w:line="300"/>
        <w:jc w:val="both"/>
      </w:pPr>
      <w:r>
        <w:rPr>
          <w:rFonts w:ascii="Cambria" w:cs="Cambria" w:eastAsia="Cambria" w:hAnsi="Cambria"/>
          <w:sz w:val="24"/>
          <w:szCs w:val="24"/>
        </w:rPr>
        <w:t xml:space="preserve">where SR represents the requested data scope and SC represents the consent-</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w:t>
      </w:r>
      <w:r>
        <w:rPr>
          <w:rFonts w:ascii="Cambria" w:cs="Cambria" w:eastAsia="Cambria" w:hAnsi="Cambria"/>
          <w:color w:val="E6007E"/>
          <w:sz w:val="24"/>
          <w:szCs w:val="24"/>
        </w:rPr>
        <w:t xml:space="preserve">For the foundational authorisation core established by RO1–RO4,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spacing w:after="140" w:line="300"/>
        <w:jc w:val="both"/>
      </w:pPr>
      <w:r>
        <w:rPr>
          <w:rFonts w:ascii="Cambria" w:cs="Cambria" w:eastAsia="Cambria" w:hAnsi="Cambria"/>
          <w:color w:val="0000CC"/>
          <w:sz w:val="24"/>
          <w:szCs w:val="24"/>
        </w:rPr>
        <w:t xml:space="preserve">It should be noted that Eq. (30) expresses the foundational core only. In the complete model,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(C, t) and 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(C) introduced by RO5 are conjoined with these three conditions, as shown in Eq. (26), and the implemented Controller evaluates all five predicates at every access request.</w:t>
      </w:r>
    </w:p>
    <w:p>
      <w:pPr>
        <w:pStyle w:val="Heading2"/>
        <w:spacing w:after="160" w:before="280"/>
      </w:pPr>
      <w:r>
        <w:rPr>
          <w:rFonts w:ascii="Cambria" w:cs="Cambria" w:eastAsia="Cambria" w:hAnsi="Cambria"/>
          <w:sz w:val="24"/>
          <w:szCs w:val="24"/>
        </w:rPr>
        <w:t xml:space="preserve">5.3  Model: Trust-Aware Consent and Authorisation Representation</w:t>
      </w:r>
    </w:p>
    <w:p>
      <w:pPr>
        <w:spacing w:after="140" w:line="300"/>
        <w:jc w:val="both"/>
      </w:pPr>
      <w:r>
        <w:rPr>
          <w:rFonts w:ascii="Cambria" w:cs="Cambria" w:eastAsia="Cambria" w:hAnsi="Cambria"/>
          <w:color w:val="E6007E"/>
          <w:sz w:val="24"/>
          <w:szCs w:val="24"/>
        </w:rPr>
        <w:t xml:space="preserve">The implemented prototype described in Section 6.8 realises the consent representation defined in this section in full, including temporal validity, expiration, on-chain revocation and an explicit lifecycle state machine.</w:t>
      </w:r>
      <w:r>
        <w:rPr>
          <w:rFonts w:ascii="Cambria" w:cs="Cambria" w:eastAsia="Cambria" w:hAnsi="Cambria"/>
          <w:color w:val="000000"/>
          <w:sz w:val="24"/>
          <w:szCs w:val="24"/>
        </w:rPr>
        <w:t xml:space="preserv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color w:val="E6007E"/>
          <w:sz w:val="24"/>
          <w:szCs w:val="24"/>
        </w:rPr>
        <w:t xml:space="preserve">In this representation, I represents identity-related information associated with the relevant participants,</w:t>
      </w:r>
      <w:r>
        <w:rPr>
          <w:rFonts w:ascii="Cambria" w:cs="Cambria" w:eastAsia="Cambria" w:hAnsi="Cambria"/>
          <w:sz w:val="24"/>
          <w:szCs w:val="24"/>
        </w:rPr>
        <w:t xml:space="preserve">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w:t>
      </w:r>
      <w:r>
        <w:rPr>
          <w:rFonts w:ascii="Cambria" w:cs="Cambria" w:eastAsia="Cambria" w:hAnsi="Cambria"/>
          <w:color w:val="E6007E"/>
          <w:sz w:val="24"/>
          <w:szCs w:val="24"/>
        </w:rPr>
        <w:t xml:space="preserve">Let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denote the set of approvals submitted by participants whose identities and authority have been successfully verified,</w:t>
      </w:r>
      <w:r>
        <w:rPr>
          <w:rFonts w:ascii="Cambria" w:cs="Cambria" w:eastAsia="Cambria" w:hAnsi="Cambria"/>
          <w:sz w:val="24"/>
          <w:szCs w:val="24"/>
        </w:rPr>
        <w:t xml:space="preserve"> and let N denote the minimum required approval threshold. The authorisation condition can then be represented as</w:t>
      </w:r>
    </w:p>
    <w:p>
      <w:pPr>
        <w:spacing w:after="140" w:line="300"/>
        <w:jc w:val="both"/>
      </w:pPr>
      <w:r>
        <w:rPr>
          <w:rFonts w:ascii="Cambria" w:cs="Cambria" w:eastAsia="Cambria" w:hAnsi="Cambria"/>
          <w:color w:val="0000CC"/>
          <w:sz w:val="24"/>
          <w:szCs w:val="24"/>
        </w:rPr>
        <w:t xml:space="preserve">It should be noted that the lifecycle state of the consent, State(C), is not an element of the tuple itself but is maintained by the Lifecycle component of the Model alongside C, and it is evaluated within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(C), as stated in Section 6.5.</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(32)</w:t>
      </w:r>
    </w:p>
    <w:p>
      <w:pPr>
        <w:spacing w:after="140" w:line="300"/>
        <w:jc w:val="both"/>
      </w:pPr>
      <w:r>
        <w:rPr>
          <w:rFonts w:ascii="Cambria" w:cs="Cambria" w:eastAsia="Cambria" w:hAnsi="Cambria"/>
          <w:color w:val="E6007E"/>
          <w:sz w:val="24"/>
          <w:szCs w:val="24"/>
        </w:rPr>
        <w:t xml:space="preserve">This mechanism differs from the reviewed systems, in which joint approval is either a contingency path [53], a witness or notary threshold [69], a registration-time co-consent [43, 47], an institution-side admission gate [75], a custodial M-of-N signature [61] or a key-share reconstruction [35, 54]; in a single-owner model, compromise, error, or misuse of one privileged account may be sufficient to produce an authorisation decision.</w:t>
      </w:r>
      <w:r>
        <w:rPr>
          <w:rFonts w:ascii="Cambria" w:cs="Cambria" w:eastAsia="Cambria" w:hAnsi="Cambria"/>
          <w:sz w:val="24"/>
          <w:szCs w:val="24"/>
        </w:rPr>
        <w:t xml:space="preserve">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w:t>
      </w:r>
      <w:r>
        <w:rPr>
          <w:rFonts w:ascii="Cambria" w:cs="Cambria" w:eastAsia="Cambria" w:hAnsi="Cambria"/>
          <w:color w:val="E6007E"/>
          <w:sz w:val="24"/>
          <w:szCs w:val="24"/>
        </w:rPr>
        <w:t xml:space="preserve">A conventional immutable record may demonstrate that a transaction was stored [2, 28],</w:t>
      </w:r>
      <w:r>
        <w:rPr>
          <w:rFonts w:ascii="Cambria" w:cs="Cambria" w:eastAsia="Cambria" w:hAnsi="Cambria"/>
          <w:sz w:val="24"/>
          <w:szCs w:val="24"/>
        </w:rPr>
        <w:t xml:space="preserve">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rPr>
          <w:rFonts w:ascii="Cambria" w:cs="Cambria" w:eastAsia="Cambria" w:hAnsi="Cambria"/>
          <w:sz w:val="24"/>
          <w:szCs w:val="24"/>
        </w:rP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rPr>
          <w:rFonts w:ascii="Cambria" w:cs="Cambria" w:eastAsia="Cambria" w:hAnsi="Cambria"/>
          <w:sz w:val="24"/>
          <w:szCs w:val="24"/>
        </w:rP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(36)</w:t>
      </w:r>
    </w:p>
    <w:p>
      <w:pPr>
        <w:spacing w:after="140" w:line="300"/>
        <w:jc w:val="both"/>
      </w:pPr>
      <w:r>
        <w:rPr>
          <w:rFonts w:ascii="Cambria" w:cs="Cambria" w:eastAsia="Cambria" w:hAnsi="Cambria"/>
          <w:color w:val="E6007E"/>
          <w:sz w:val="24"/>
          <w:szCs w:val="24"/>
        </w:rPr>
        <w:t xml:space="preserve">The foundational authorisation decision for RO1–RO4 is therefore determined by the conjunction of the three core trust conditions, to which the temporal and jurisdictional predicates of Eq. (26) are added in the complete model:</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rPr>
          <w:rFonts w:ascii="Cambria" w:cs="Cambria" w:eastAsia="Cambria" w:hAnsi="Cambria"/>
          <w:sz w:val="24"/>
          <w:szCs w:val="24"/>
        </w:rP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w:t>
      </w:r>
      <w:r>
        <w:rPr>
          <w:rFonts w:ascii="Cambria" w:cs="Cambria" w:eastAsia="Cambria" w:hAnsi="Cambria"/>
          <w:color w:val="E6007E"/>
          <w:sz w:val="24"/>
          <w:szCs w:val="24"/>
        </w:rPr>
        <w:t xml:space="preserve">In the reviewed approval mechanisms, multiple signatures may be appended at consent registration [38, 43] or collected as hash-integrity confirmations on a ledger transaction [75].</w:t>
      </w:r>
      <w:r>
        <w:rPr>
          <w:rFonts w:ascii="Cambria" w:cs="Cambria" w:eastAsia="Cambria" w:hAnsi="Cambria"/>
          <w:sz w:val="24"/>
          <w:szCs w:val="24"/>
        </w:rPr>
        <w:t xml:space="preserve">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spacing w:after="140" w:line="300"/>
        <w:jc w:val="both"/>
      </w:pPr>
      <w:r>
        <w:rPr>
          <w:rFonts w:ascii="Cambria" w:cs="Cambria" w:eastAsia="Cambria" w:hAnsi="Cambria"/>
          <w:color w:val="0000CC"/>
          <w:sz w:val="24"/>
          <w:szCs w:val="24"/>
        </w:rPr>
        <w:t xml:space="preserve">In Eq. (40),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(ai) denotes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(u) of Eq. (34) evaluated for the participant u who submitted approval ai, and Authority(ai) = Valid denotes that the role of that participant matches the role required by the consent, corresponding to the Authority(u, C) condition of Section 6.2.</w:t>
      </w:r>
    </w:p>
    <w:p>
      <w:pPr>
        <w:pStyle w:val="Heading2"/>
        <w:spacing w:after="160" w:before="280"/>
      </w:pPr>
      <w:r>
        <w:rPr>
          <w:rFonts w:ascii="Cambria" w:cs="Cambria" w:eastAsia="Cambria" w:hAnsi="Cambria"/>
          <w:sz w:val="24"/>
          <w:szCs w:val="24"/>
        </w:rP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t>
      </w:r>
      <w:r>
        <w:rPr>
          <w:rFonts w:ascii="Cambria" w:cs="Cambria" w:eastAsia="Cambria" w:hAnsi="Cambria"/>
          <w:color w:val="E6007E"/>
          <w:sz w:val="24"/>
          <w:szCs w:val="24"/>
        </w:rPr>
        <w:t xml:space="preserve">without adequately considering the specific policy conditions associated with an individual patient’s consent [11, 25].</w:t>
      </w:r>
      <w:r>
        <w:rPr>
          <w:rFonts w:ascii="Cambria" w:cs="Cambria" w:eastAsia="Cambria" w:hAnsi="Cambria"/>
          <w:sz w:val="24"/>
          <w:szCs w:val="24"/>
        </w:rPr>
        <w:t xml:space="preserve">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rPr>
          <w:rFonts w:ascii="Cambria" w:cs="Cambria" w:eastAsia="Cambria" w:hAnsi="Cambria"/>
          <w:sz w:val="24"/>
          <w:szCs w:val="24"/>
        </w:rP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w:t>
      </w:r>
      <w:r>
        <w:rPr>
          <w:rFonts w:ascii="Cambria" w:cs="Cambria" w:eastAsia="Cambria" w:hAnsi="Cambria"/>
          <w:color w:val="E6007E"/>
          <w:sz w:val="24"/>
          <w:szCs w:val="24"/>
        </w:rPr>
        <w:t xml:space="preserve">Its role is to strengthen integrity, non-repudiation, and auditability of the evidence generated by the authorisation process [2, 28].</w:t>
      </w:r>
      <w:r>
        <w:rPr>
          <w:rFonts w:ascii="Cambria" w:cs="Cambria" w:eastAsia="Cambria" w:hAnsi="Cambria"/>
          <w:sz w:val="24"/>
          <w:szCs w:val="24"/>
        </w:rPr>
        <w:t xml:space="preserve">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0000CC"/>
          <w:sz w:val="24"/>
          <w:szCs w:val="24"/>
        </w:rPr>
        <w:t xml:space="preserve">The record ER is the per-request instance of the evidence component E of the consent object C, and in the implementation it corresponds to the event rows of the audit ledger, which for on-chain events additionally carry the Sepolia transaction hash and block number, as described in Section 6.8.8.</w:t>
      </w:r>
    </w:p>
    <w:p>
      <w:pPr>
        <w:pStyle w:val="Heading2"/>
        <w:spacing w:after="160" w:before="280"/>
      </w:pPr>
      <w:r>
        <w:rPr>
          <w:rFonts w:ascii="Cambria" w:cs="Cambria" w:eastAsia="Cambria" w:hAnsi="Cambria"/>
          <w:sz w:val="24"/>
          <w:szCs w:val="24"/>
        </w:rP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w:t>
      </w:r>
      <w:r>
        <w:rPr>
          <w:rFonts w:ascii="Cambria" w:cs="Cambria" w:eastAsia="Cambria" w:hAnsi="Cambria"/>
          <w:color w:val="E6007E"/>
          <w:sz w:val="24"/>
          <w:szCs w:val="24"/>
        </w:rPr>
        <w:t xml:space="preserve">These properties, together with the separation of interaction and enforcement established in Section 5.1.4, are summarised in Table 12, in which collective authorisation integrity and decision accountability appear as multi-party authorisation integrity and authorisation evidence respectively.</w:t>
      </w:r>
    </w:p>
    <w:p>
      <w:pPr>
        <w:pStyle w:val="Heading2"/>
        <w:spacing w:after="160" w:before="280"/>
      </w:pPr>
      <w:r>
        <w:rPr>
          <w:rFonts w:ascii="Cambria" w:cs="Cambria" w:eastAsia="Cambria" w:hAnsi="Cambria"/>
          <w:sz w:val="24"/>
          <w:szCs w:val="24"/>
        </w:rP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spacing w:after="140" w:line="300"/>
        <w:jc w:val="both"/>
      </w:pPr>
      <w:r>
        <w:rPr>
          <w:rFonts w:ascii="Cambria" w:cs="Cambria" w:eastAsia="Cambria" w:hAnsi="Cambria"/>
          <w:color w:val="0000CC"/>
          <w:sz w:val="24"/>
          <w:szCs w:val="24"/>
        </w:rPr>
        <w:t xml:space="preserve">RO5 is realised through the temporal and lifecycle state held in the Model and the corresponding predicates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evaluated by the Controller before any access decision is produced. RO6 operates across all three layers, since the evidence generated by the Controller and stored in the Model is what the empirical validation and the independent verifier examine.</w:t>
      </w:r>
    </w:p>
    <w:p>
      <w:pPr>
        <w:pStyle w:val="Heading2"/>
        <w:spacing w:after="160" w:before="280"/>
      </w:pPr>
      <w:r>
        <w:rPr>
          <w:rFonts w:ascii="Cambria" w:cs="Cambria" w:eastAsia="Cambria" w:hAnsi="Cambria"/>
          <w:sz w:val="24"/>
          <w:szCs w:val="24"/>
        </w:rP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w:t>
      </w:r>
      <w:r>
        <w:rPr>
          <w:rFonts w:ascii="Cambria" w:cs="Cambria" w:eastAsia="Cambria" w:hAnsi="Cambria"/>
          <w:color w:val="E6007E"/>
          <w:sz w:val="24"/>
          <w:szCs w:val="24"/>
        </w:rPr>
        <w:t xml:space="preserve">The key innovation is not the evaluable consent object as such, which the literature provides [71, 37, 44, 58], but the conjunction in which the effectiveness of the consent depends on the joint satisfaction of identity, authority, collective approval, policy, temporal and jurisdictional conditions on every access decision, and the assurance of that conjunction.</w:t>
      </w:r>
      <w:r>
        <w:rPr>
          <w:rFonts w:ascii="Cambria" w:cs="Cambria" w:eastAsia="Cambria" w:hAnsi="Cambria"/>
          <w:sz w:val="24"/>
          <w:szCs w:val="24"/>
        </w:rPr>
        <w:t xml:space="preserve"> For the current stage, the </w:t>
      </w:r>
      <w:r>
        <w:rPr>
          <w:rFonts w:ascii="Cambria" w:cs="Cambria" w:eastAsia="Cambria" w:hAnsi="Cambria"/>
          <w:color w:val="E6007E"/>
          <w:sz w:val="24"/>
          <w:szCs w:val="24"/>
        </w:rPr>
        <w:t xml:space="preserve">architecture therefore establishes the mechanisms required to answer RQ1–RQ5, while RQ6 is addressed empirically through the prototype evaluation in Section 6.8 and formally in the next stage.</w:t>
      </w:r>
      <w:r>
        <w:rPr>
          <w:rFonts w:ascii="Cambria" w:cs="Cambria" w:eastAsia="Cambria" w:hAnsi="Cambria"/>
          <w:sz w:val="24"/>
          <w:szCs w:val="24"/>
        </w:rPr>
        <w:t xml:space="preserve"> The implemented HALAH prototype provides the practical</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w:t>
      </w:r>
      <w:r>
        <w:rPr>
          <w:rFonts w:ascii="Cambria" w:cs="Cambria" w:eastAsia="Cambria" w:hAnsi="Cambria"/>
          <w:color w:val="E6007E"/>
          <w:sz w:val="24"/>
          <w:szCs w:val="24"/>
        </w:rPr>
        <w:t xml:space="preserve">stage will extend the assurance of the architecture rather than its mechanisms.</w:t>
      </w:r>
      <w:r>
        <w:rPr>
          <w:rFonts w:ascii="Cambria" w:cs="Cambria" w:eastAsia="Cambria" w:hAnsi="Cambria"/>
          <w:sz w:val="24"/>
          <w:szCs w:val="24"/>
        </w:rPr>
        <w:t xml:space="preserve"> </w:t>
      </w:r>
      <w:r>
        <w:rPr>
          <w:rFonts w:ascii="Cambria" w:cs="Cambria" w:eastAsia="Cambria" w:hAnsi="Cambria"/>
          <w:color w:val="E6007E"/>
          <w:sz w:val="24"/>
          <w:szCs w:val="24"/>
        </w:rPr>
        <w:t xml:space="preserve">The consent Model already includes temporal validity, expiration, revocation, and controlled lifecycle transitions, as defined in Section 5.3 and realised in the implemented prototype described in Section 6.8.</w:t>
      </w:r>
      <w:r>
        <w:rPr>
          <w:rFonts w:ascii="Cambria" w:cs="Cambria" w:eastAsia="Cambria" w:hAnsi="Cambria"/>
          <w:sz w:val="24"/>
          <w:szCs w:val="24"/>
        </w:rPr>
        <w:t xml:space="preserve"> </w:t>
      </w:r>
      <w:r>
        <w:rPr>
          <w:rFonts w:ascii="Cambria" w:cs="Cambria" w:eastAsia="Cambria" w:hAnsi="Cambria"/>
          <w:color w:val="E6007E"/>
          <w:sz w:val="24"/>
          <w:szCs w:val="24"/>
        </w:rPr>
        <w:t xml:space="preserve">The Controller therefore already evaluates the corresponding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and jurisdictional predicate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within the authorisation decision, as expressed in Eq. (26) and enforced in the prototype.</w:t>
      </w:r>
      <w:r>
        <w:rPr>
          <w:rFonts w:ascii="Cambria" w:cs="Cambria" w:eastAsia="Cambria" w:hAnsi="Cambria"/>
          <w:sz w:val="24"/>
          <w:szCs w:val="24"/>
        </w:rPr>
        <w:t xml:space="preserve">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rPr>
          <w:rFonts w:ascii="Cambria" w:cs="Cambria" w:eastAsia="Cambria" w:hAnsi="Cambria"/>
          <w:sz w:val="24"/>
          <w:szCs w:val="24"/>
        </w:rPr>
        <w:t xml:space="preserve">6  Proposed Solution</w:t>
      </w:r>
    </w:p>
    <w:p>
      <w:pPr>
        <w:spacing w:after="140" w:line="300"/>
        <w:jc w:val="both"/>
      </w:pPr>
      <w:r>
        <w:rPr>
          <w:rFonts w:ascii="Cambria" w:cs="Cambria" w:eastAsia="Cambria" w:hAnsi="Cambria"/>
          <w:color w:val="0000CC"/>
          <w:sz w:val="24"/>
          <w:szCs w:val="24"/>
        </w:rPr>
        <w:t xml:space="preserve">This chapter presents the proposed solution as six mechanisms, one for each research objective. Sections 6.1 to 6.6 define, for each objective, the formal condition, the workflow, the step-wise procedure and the corresponding algorithm, and each section also states which part of the mechanism is exercised by the current prototype and which part is reserved for the next stage. Section 6.7 relates the six algorithms to the research objectives, and Section 6.8 presents the implementation and the live demonstration of the framework on the Ethereum Sepolia testnet. Throughout the chapter, C denotes the consent object, G the guardian set, N the approval threshold, D the authorised doctor, R an access request and t the evaluation time.</w:t>
      </w:r>
    </w:p>
    <w:p>
      <w:pPr>
        <w:pStyle w:val="Heading2"/>
        <w:spacing w:after="160" w:before="280"/>
      </w:pPr>
      <w:r>
        <w:rPr>
          <w:rFonts w:ascii="Cambria" w:cs="Cambria" w:eastAsia="Cambria" w:hAnsi="Cambria"/>
          <w:sz w:val="24"/>
          <w:szCs w:val="24"/>
        </w:rP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(46)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color w:val="E6007E"/>
          <w:sz w:val="24"/>
          <w:szCs w:val="24"/>
        </w:rPr>
        <w:t xml:space="preserve">In addition, I represents patient and participant identity information, A represents authorisation requirements, P represents policy constraints, and E represents authorisation evidence. The temporal component defines the interval during which the consent may be exercised, and the jurisdictional component defines the territory in which it may be exercised.</w:t>
      </w:r>
      <w:r>
        <w:rPr>
          <w:rFonts w:ascii="Cambria" w:cs="Cambria" w:eastAsia="Cambria" w:hAnsi="Cambria"/>
          <w:sz w:val="24"/>
          <w:szCs w:val="24"/>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rPr>
          <w:rFonts w:ascii="Cambria" w:cs="Cambria" w:eastAsia="Cambria" w:hAnsi="Cambria"/>
          <w:sz w:val="24"/>
          <w:szCs w:val="24"/>
        </w:rP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rPr>
          <w:rFonts w:ascii="Cambria" w:cs="Cambria" w:eastAsia="Cambria" w:hAnsi="Cambria"/>
          <w:sz w:val="24"/>
          <w:szCs w:val="24"/>
        </w:rP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E6007E"/>
          <w:sz w:val="24"/>
          <w:szCs w:val="24"/>
        </w:rPr>
        <w:t xml:space="preserve">In the current prototype the identity validation of Steps 1 to 3 is a structural check that each identifier constitutes a well-formed DID.</w:t>
      </w:r>
      <w:r>
        <w:rPr>
          <w:rFonts w:ascii="Cambria" w:cs="Cambria" w:eastAsia="Cambria" w:hAnsi="Cambria"/>
          <w:color w:val="000000"/>
          <w:sz w:val="24"/>
          <w:szCs w:val="24"/>
        </w:rPr>
        <w:t xml:space="preserve">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color w:val="0000CC"/>
          <w:sz w:val="24"/>
          <w:szCs w:val="24"/>
        </w:rPr>
        <w:t xml:space="preserve">The declared jurisdiction L is then validated as a well-formed ISO alpha-2 territory code and bound to the consent object, as described in Section 6.1.1, so that the subsequent jurisdictional check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can be evaluated against it.</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Patient identity I</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authorised doctor D, guardian set G,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data scope S</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validity interval T, jurisdiction L</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color w:val="E6007E"/>
          <w:sz w:val="21"/>
          <w:szCs w:val="21"/>
        </w:rPr>
        <w:t xml:space="preserve">Validate jurisdiction L; 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rPr>
          <w:rFonts w:ascii="Cambria" w:cs="Cambria" w:eastAsia="Cambria" w:hAnsi="Cambria"/>
          <w:sz w:val="24"/>
          <w:szCs w:val="24"/>
        </w:rP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(47)</w:t>
      </w:r>
    </w:p>
    <w:p>
      <w:pPr>
        <w:spacing w:after="140" w:line="300"/>
        <w:jc w:val="both"/>
      </w:pPr>
      <w:r>
        <w:rPr>
          <w:rFonts w:ascii="Cambria" w:cs="Cambria" w:eastAsia="Cambria" w:hAnsi="Cambria"/>
          <w:color w:val="E6007E"/>
          <w:sz w:val="24"/>
          <w:szCs w:val="24"/>
        </w:rPr>
        <w:t xml:space="preserve">A valid DID provides an identity reference, while a valid VC provides evidence associated with a participant’s role, authority, or other relevant attribute [20].</w:t>
      </w:r>
      <w:r>
        <w:rPr>
          <w:rFonts w:ascii="Cambria" w:cs="Cambria" w:eastAsia="Cambria" w:hAnsi="Cambria"/>
          <w:sz w:val="24"/>
          <w:szCs w:val="24"/>
        </w:rPr>
        <w:t xml:space="preserv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rPr>
          <w:rFonts w:ascii="Cambria" w:cs="Cambria" w:eastAsia="Cambria" w:hAnsi="Cambria"/>
          <w:sz w:val="24"/>
          <w:szCs w:val="24"/>
        </w:rP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rPr>
          <w:rFonts w:ascii="Cambria" w:cs="Cambria" w:eastAsia="Cambria" w:hAnsi="Cambria"/>
          <w:sz w:val="24"/>
          <w:szCs w:val="24"/>
        </w:rP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rPr>
          <w:rFonts w:ascii="Cambria" w:cs="Cambria" w:eastAsia="Cambria" w:hAnsi="Cambria"/>
          <w:sz w:val="24"/>
          <w:szCs w:val="24"/>
        </w:rP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(49)</w:t>
      </w:r>
    </w:p>
    <w:p>
      <w:pPr>
        <w:spacing w:after="140" w:line="300"/>
        <w:jc w:val="both"/>
      </w:pPr>
      <w:r>
        <w:rPr>
          <w:rFonts w:ascii="Cambria" w:cs="Cambria" w:eastAsia="Cambria" w:hAnsi="Cambria"/>
          <w:color w:val="E6007E"/>
          <w:sz w:val="24"/>
          <w:szCs w:val="24"/>
        </w:rPr>
        <w:t xml:space="preserve">The threshold mechanism establishes collective authorisation. It follows the threshold-committee principle used in decentralised identity systems [4, 33], but applies it to consent approval rather than to credential issuance.</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w:t>
      </w:r>
      <w:r>
        <w:rPr>
          <w:rFonts w:ascii="Cambria" w:cs="Cambria" w:eastAsia="Cambria" w:hAnsi="Cambria"/>
          <w:color w:val="E6007E"/>
          <w:sz w:val="24"/>
          <w:szCs w:val="24"/>
        </w:rPr>
        <w:t xml:space="preserve">The N-of-N configuration was adopted for the prototype because it is the most conservative instantiation of the threshold condition, in which no designated guardian can be bypassed, and because it allows the mechanism to be demonstrated without the quorum-selection and key-management questions that a general k-of-n threshold introduces. A configurable k-of-n threshold, while a direct generalisation of the implemented mechanism, is therefore left to future work.</w:t>
      </w:r>
    </w:p>
    <w:p>
      <w:pPr>
        <w:pStyle w:val="Heading3"/>
        <w:spacing w:after="160" w:before="280"/>
      </w:pPr>
      <w:r>
        <w:rPr>
          <w:rFonts w:ascii="Cambria" w:cs="Cambria" w:eastAsia="Cambria" w:hAnsi="Cambria"/>
          <w:sz w:val="24"/>
          <w:szCs w:val="24"/>
        </w:rP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rPr>
          <w:rFonts w:ascii="Cambria" w:cs="Cambria" w:eastAsia="Cambria" w:hAnsi="Cambria"/>
          <w:sz w:val="24"/>
          <w:szCs w:val="24"/>
        </w:rP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w:t>
      </w:r>
      <w:r>
        <w:rPr>
          <w:rFonts w:ascii="Cambria" w:cs="Cambria" w:eastAsia="Cambria" w:hAnsi="Cambria"/>
          <w:color w:val="E6007E"/>
          <w:sz w:val="24"/>
          <w:szCs w:val="24"/>
        </w:rPr>
        <w:t xml:space="preserve">Formally, no approval already contained in the valid approval set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may originate from participant u.</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w:t>
      </w:r>
      <w:r>
        <w:rPr>
          <w:rFonts w:ascii="Cambria" w:cs="Cambria" w:eastAsia="Cambria" w:hAnsi="Cambria"/>
          <w:color w:val="E6007E"/>
          <w:sz w:val="24"/>
          <w:szCs w:val="24"/>
        </w:rPr>
        <w:t xml:space="preserve">Authorisation(C) = { ACTIVATED,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PENDING,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&lt; N }</w:t>
      </w:r>
      <w:r>
        <w:rPr>
          <w:rFonts w:ascii="Cambria" w:cs="Cambria" w:eastAsia="Cambria" w:hAnsi="Cambria"/>
          <w:sz w:val="24"/>
          <w:szCs w:val="24"/>
        </w:rPr>
        <w:t xml:space="preserve">.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w:t>
      </w:r>
      <w:r>
        <w:rPr>
          <w:rFonts w:ascii="Cambria Math" w:cs="Cambria Math" w:eastAsia="Cambria Math" w:hAnsi="Cambria Math"/>
          <w:i/>
          <w:iCs/>
          <w:color w:val="E6007E"/>
          <w:sz w:val="22"/>
          <w:szCs w:val="22"/>
        </w:rPr>
        <w:t xml:space="preserve">|A</w:t>
      </w:r>
      <w:r>
        <w:rPr>
          <w:rFonts w:ascii="Cambria Math" w:cs="Cambria Math" w:eastAsia="Cambria Math" w:hAnsi="Cambria Math"/>
          <w:i/>
          <w:iCs/>
          <w:color w:val="E6007E"/>
          <w:sz w:val="22"/>
          <w:szCs w:val="22"/>
          <w:vertAlign w:val="subscript"/>
        </w:rPr>
        <w:t xml:space="preserve">v</w:t>
      </w:r>
      <w:r>
        <w:rPr>
          <w:rFonts w:ascii="Cambria Math" w:cs="Cambria Math" w:eastAsia="Cambria Math" w:hAnsi="Cambria Math"/>
          <w:i/>
          <w:iCs/>
          <w:color w:val="E6007E"/>
          <w:sz w:val="22"/>
          <w:szCs w:val="22"/>
        </w:rPr>
        <w:t xml:space="preserve">| ≥ N → { ACTIVATED; PENDING }</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w:t>
      </w:r>
      <w:r>
        <w:rPr>
          <w:rFonts w:ascii="Cambria" w:cs="Cambria" w:eastAsia="Cambria" w:hAnsi="Cambria"/>
          <w:color w:val="E6007E"/>
          <w:sz w:val="24"/>
          <w:szCs w:val="24"/>
        </w:rPr>
        <w:t xml:space="preserve">|A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 Authorisation(C) = ACTIVATED.</w:t>
      </w:r>
      <w:r>
        <w:rPr>
          <w:rFonts w:ascii="Cambria" w:cs="Cambria" w:eastAsia="Cambria" w:hAnsi="Cambria"/>
          <w:sz w:val="24"/>
          <w:szCs w:val="24"/>
        </w:rPr>
        <w:t xml:space="preserve">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(51)</w:t>
      </w:r>
    </w:p>
    <w:p>
      <w:pPr>
        <w:pStyle w:val="Heading3"/>
        <w:spacing w:after="160" w:before="280"/>
      </w:pPr>
      <w:r>
        <w:rPr>
          <w:rFonts w:ascii="Cambria" w:cs="Cambria" w:eastAsia="Cambria" w:hAnsi="Cambria"/>
          <w:sz w:val="24"/>
          <w:szCs w:val="24"/>
        </w:rP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w:t>
      </w:r>
      <w:r>
        <w:rPr>
          <w:rFonts w:ascii="Cambria" w:cs="Cambria" w:eastAsia="Cambria" w:hAnsi="Cambria"/>
          <w:color w:val="E6007E"/>
          <w:sz w:val="24"/>
          <w:szCs w:val="24"/>
        </w:rPr>
        <w:t xml:space="preserve">The complete authorisation decision enforced by the implemented system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(54)</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rPr>
          <w:rFonts w:ascii="Cambria" w:cs="Cambria" w:eastAsia="Cambria" w:hAnsi="Cambria"/>
          <w:sz w:val="24"/>
          <w:szCs w:val="24"/>
        </w:rP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C</w:t>
      </w:r>
      <w:r>
        <w:rPr>
          <w:rFonts w:ascii="Cambria Math" w:cs="Cambria Math" w:eastAsia="Cambria Math" w:hAnsi="Cambria Math"/>
          <w:i/>
          <w:iCs/>
          <w:color w:val="E6007E"/>
          <w:sz w:val="22"/>
          <w:szCs w:val="22"/>
        </w:rPr>
        <w:t xml:space="preserve"> = {Observation, Medication},</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(56)</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pStyle w:val="Heading3"/>
        <w:spacing w:after="160" w:before="280"/>
      </w:pPr>
      <w:r>
        <w:rPr>
          <w:rFonts w:ascii="Cambria" w:cs="Cambria" w:eastAsia="Cambria" w:hAnsi="Cambria"/>
          <w:sz w:val="24"/>
          <w:szCs w:val="24"/>
        </w:rP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Consent object C, access request R = (u, P</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S</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Jur(R)), requesting participant u, current time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rPr>
          <w:rFonts w:ascii="Cambria" w:cs="Cambria" w:eastAsia="Cambria" w:hAnsi="Cambria"/>
          <w:sz w:val="24"/>
          <w:szCs w:val="24"/>
        </w:rP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w:t>
      </w:r>
      <w:r>
        <w:rPr>
          <w:rFonts w:ascii="Cambria" w:cs="Cambria" w:eastAsia="Cambria" w:hAnsi="Cambria"/>
          <w:color w:val="E6007E"/>
          <w:sz w:val="24"/>
          <w:szCs w:val="24"/>
        </w:rPr>
        <w:t xml:space="preserve">represented as R = (u, 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Jur(R)), where Jur(R) is the jurisdiction declared by the requester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w:t>
      </w:r>
      <w:r>
        <w:rPr>
          <w:rFonts w:ascii="Cambria" w:cs="Cambria" w:eastAsia="Cambria" w:hAnsi="Cambria"/>
          <w:color w:val="E6007E"/>
          <w:sz w:val="24"/>
          <w:szCs w:val="24"/>
        </w:rPr>
        <w:t xml:space="preserve">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which means the requested</w:t>
      </w:r>
      <w:r>
        <w:rPr>
          <w:rFonts w:ascii="Cambria" w:cs="Cambria" w:eastAsia="Cambria" w:hAnsi="Cambria"/>
          <w:color w:val="000000"/>
          <w:sz w:val="24"/>
          <w:szCs w:val="24"/>
        </w:rPr>
        <w:t xml:space="preserve">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w:t>
      </w:r>
      <w:r>
        <w:rPr>
          <w:rFonts w:ascii="Cambria" w:cs="Cambria" w:eastAsia="Cambria" w:hAnsi="Cambria"/>
          <w:color w:val="E6007E"/>
          <w:sz w:val="24"/>
          <w:szCs w:val="24"/>
        </w:rPr>
        <w:t xml:space="preserve">based on the conjunction of identity validity, active consent, sufficient multi-party approval, purpose compatibility, scope containment, temporal validity and jurisdictional match.</w:t>
      </w:r>
      <w:r>
        <w:rPr>
          <w:rFonts w:ascii="Cambria" w:cs="Cambria" w:eastAsia="Cambria" w:hAnsi="Cambria"/>
          <w:sz w:val="24"/>
          <w:szCs w:val="24"/>
        </w:rPr>
        <w:t xml:space="preserve">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w:t>
      </w:r>
      <w:r>
        <w:rPr>
          <w:rFonts w:ascii="Cambria" w:cs="Cambria" w:eastAsia="Cambria" w:hAnsi="Cambria"/>
          <w:color w:val="E6007E"/>
          <w:sz w:val="24"/>
          <w:szCs w:val="24"/>
        </w:rPr>
        <w:t xml:space="preserve">PurposeMatch(P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ScopeMatch(S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 t ≤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 (Jur(R) = Jur(C))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w:t>
      </w:r>
      <w:r>
        <w:rPr>
          <w:rFonts w:ascii="Cambria" w:cs="Cambria" w:eastAsia="Cambria" w:hAnsi="Cambria"/>
          <w:color w:val="E6007E"/>
          <w:sz w:val="24"/>
          <w:szCs w:val="24"/>
        </w:rPr>
        <w:t xml:space="preserve">A formal proof that no execution path can violate the privacy policy is, however, deliberately left to future work.</w:t>
      </w:r>
    </w:p>
    <w:p>
      <w:pPr>
        <w:spacing w:after="140" w:line="300"/>
        <w:jc w:val="both"/>
      </w:pPr>
      <w:r>
        <w:rPr>
          <w:rFonts w:ascii="Cambria" w:cs="Cambria" w:eastAsia="Cambria" w:hAnsi="Cambria"/>
          <w:color w:val="0000CC"/>
          <w:sz w:val="24"/>
          <w:szCs w:val="24"/>
        </w:rPr>
        <w:t xml:space="preserve">In the HALAH implementation, this step is realised by generating and verifying a Groth16 zero-knowledge proof that the requester holds the consent secret committed on-chain through a Poseidon hash and that the consent has not expired at time t; the proof mode is recorded with the decision in the audit ledger. Therefore, the proof constitutes the access evidence required by Algorithm 4 (line 28) before any data are retrieved.</w:t>
      </w:r>
    </w:p>
    <w:p>
      <w:pPr>
        <w:spacing w:after="140" w:line="300"/>
        <w:jc w:val="both"/>
      </w:pPr>
      <w:r>
        <w:rPr>
          <w:rFonts w:ascii="Cambria" w:cs="Cambria" w:eastAsia="Cambria" w:hAnsi="Cambria"/>
          <w:sz w:val="24"/>
          <w:szCs w:val="24"/>
        </w:rPr>
        <w:t xml:space="preserve">The final access decision can be formally expressed as </w:t>
      </w:r>
      <w:r>
        <w:rPr>
          <w:rFonts w:ascii="Cambria" w:cs="Cambria" w:eastAsia="Cambria" w:hAnsi="Cambria"/>
          <w:color w:val="E6007E"/>
          <w:sz w:val="24"/>
          <w:szCs w:val="24"/>
        </w:rPr>
        <w:t xml:space="preserve">ALLOW ⟺ Identity ∧ Consent ∧ Authority ∧ Threshold ∧ Purpose ∧ Scope ∧ Time ∧ Jurisdiction ∧ Evidence</w:t>
      </w:r>
      <w:r>
        <w:rPr>
          <w:rFonts w:ascii="Cambria" w:cs="Cambria" w:eastAsia="Cambria" w:hAnsi="Cambria"/>
          <w:sz w:val="24"/>
          <w:szCs w:val="24"/>
        </w:rPr>
        <w:t xml:space="preserve"> where the individual conditions represent verified participant identity, active consent, sufficient authority, satisfied multi-party approval, </w:t>
      </w:r>
      <w:r>
        <w:rPr>
          <w:rFonts w:ascii="Cambria" w:cs="Cambria" w:eastAsia="Cambria" w:hAnsi="Cambria"/>
          <w:color w:val="E6007E"/>
          <w:sz w:val="24"/>
          <w:szCs w:val="24"/>
        </w:rPr>
        <w:t xml:space="preserve">compatible purpose, authorised data scope, temporal validity, jurisdictional match, and sufficient decision evidence, respectively.</w:t>
      </w:r>
      <w:r>
        <w:rPr>
          <w:rFonts w:ascii="Cambria" w:cs="Cambria" w:eastAsia="Cambria" w:hAnsi="Cambria"/>
          <w:sz w:val="24"/>
          <w:szCs w:val="24"/>
        </w:rPr>
        <w:t xml:space="preserve">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rPr>
          <w:rFonts w:ascii="Cambria" w:cs="Cambria" w:eastAsia="Cambria" w:hAnsi="Cambria"/>
          <w:sz w:val="24"/>
          <w:szCs w:val="24"/>
        </w:rP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w:t>
      </w:r>
      <w:r>
        <w:rPr>
          <w:rFonts w:ascii="Cambria" w:cs="Cambria" w:eastAsia="Cambria" w:hAnsi="Cambria"/>
          <w:color w:val="E6007E"/>
          <w:sz w:val="24"/>
          <w:szCs w:val="24"/>
        </w:rPr>
        <w:t xml:space="preserve">Although this objective was originally planned for the next stage (CA3), it has been realised in the current prototype; it investigates how an authorisation remains trustworthy as time passes and as the consent state changes.</w:t>
      </w:r>
      <w:r>
        <w:rPr>
          <w:rFonts w:ascii="Cambria" w:cs="Cambria" w:eastAsia="Cambria" w:hAnsi="Cambria"/>
          <w:sz w:val="24"/>
          <w:szCs w:val="24"/>
        </w:rPr>
        <w:t xml:space="preserve"> The current stage model evaluates identity, collective authorisation, and policy compliance. </w:t>
      </w:r>
      <w:r>
        <w:rPr>
          <w:rFonts w:ascii="Cambria" w:cs="Cambria" w:eastAsia="Cambria" w:hAnsi="Cambria"/>
          <w:color w:val="E6007E"/>
          <w:sz w:val="24"/>
          <w:szCs w:val="24"/>
        </w:rPr>
        <w:t xml:space="preserve">RO5 extends this model by introducing temporal and lifecycle conditions. The temporal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(58)</w:t>
      </w:r>
    </w:p>
    <w:p>
      <w:pPr>
        <w:spacing w:after="140" w:line="300"/>
        <w:jc w:val="both"/>
      </w:pPr>
      <w:r>
        <w:rPr>
          <w:rFonts w:ascii="Cambria" w:cs="Cambria" w:eastAsia="Cambria" w:hAnsi="Cambria"/>
          <w:color w:val="E6007E"/>
          <w:sz w:val="24"/>
          <w:szCs w:val="24"/>
        </w:rPr>
        <w:t xml:space="preserve">The jurisdictional condition, written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here and abbreviated to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the decision rules that follow because the request R is understood,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 </w:t>
      </w:r>
      <w:r>
        <w:rPr>
          <w:rFonts w:ascii="Cambria" w:cs="Cambria" w:eastAsia="Cambria" w:hAnsi="Cambria"/>
          <w:color w:val="0000CC"/>
          <w:sz w:val="24"/>
          <w:szCs w:val="24"/>
        </w:rPr>
        <w:t xml:space="preserve">It should be noted that, because the jurisdiction L is validated and bound at consent creation (Section 6.1.1), the disjunct Jur(C) = ∅ is not reached for any consent created through the current interface, so that in the demonstrated system the predicate reduces to strict equality, as Section 6.8.5 confirms.</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rPr>
          <w:rFonts w:ascii="Cambria" w:cs="Cambria" w:eastAsia="Cambria" w:hAnsi="Cambria"/>
          <w:sz w:val="24"/>
          <w:szCs w:val="24"/>
        </w:rP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rPr>
          <w:rFonts w:ascii="Cambria" w:cs="Cambria" w:eastAsia="Cambria" w:hAnsi="Cambria"/>
          <w:sz w:val="24"/>
          <w:szCs w:val="24"/>
        </w:rP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E6007E"/>
          <w:sz w:val="24"/>
          <w:szCs w:val="24"/>
        </w:rPr>
        <w:t xml:space="preserve">It should be noted that the symbol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in this section denotes the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of Eq. (13), extended here with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which the implementation evaluates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and that it must not be confused with the data-scope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R) of Eq. (52); for this reason the lifecycle predicate is always written with three arguments,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in this section. It is evaluated by this procedure</w:t>
      </w:r>
      <w:r>
        <w:rPr>
          <w:rFonts w:ascii="Cambria" w:cs="Cambria" w:eastAsia="Cambria" w:hAnsi="Cambria"/>
          <w:color w:val="000000"/>
          <w:sz w:val="24"/>
          <w:szCs w:val="24"/>
        </w:rPr>
        <w:t xml:space="preserv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E6007E"/>
          <w:sz w:val="24"/>
          <w:szCs w:val="24"/>
        </w:rPr>
        <w:t xml:space="preserve">The lifecycle validation mechanism can therefore be interpreted as a per- request validity layer</w:t>
      </w:r>
      <w:r>
        <w:rPr>
          <w:rFonts w:ascii="Cambria" w:cs="Cambria" w:eastAsia="Cambria" w:hAnsi="Cambria"/>
          <w:color w:val="000000"/>
          <w:sz w:val="24"/>
          <w:szCs w:val="24"/>
        </w:rPr>
        <w:t xml:space="preserve">: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w:t>
      </w:r>
      <w:r>
        <w:rPr>
          <w:rFonts w:ascii="Cambria" w:cs="Cambria" w:eastAsia="Cambria" w:hAnsi="Cambria"/>
          <w:color w:val="E6007E"/>
          <w:sz w:val="24"/>
          <w:szCs w:val="24"/>
        </w:rPr>
        <w:t xml:space="preserve">for dynamic consent environments [13, 24] in which permissions may expire, be revoked, suspended, renewed, or otherwise modified</w:t>
      </w:r>
      <w:r>
        <w:rPr>
          <w:rFonts w:ascii="Cambria" w:cs="Cambria" w:eastAsia="Cambria" w:hAnsi="Cambria"/>
          <w:sz w:val="24"/>
          <w:szCs w:val="24"/>
        </w:rPr>
        <w:t xml:space="preserve"> during the lifecycle of a healthcare data-sharing relationship.</w:t>
      </w:r>
    </w:p>
    <w:p>
      <w:pPr>
        <w:pStyle w:val="Heading3"/>
        <w:spacing w:after="160" w:before="280"/>
      </w:pPr>
      <w:r>
        <w:rPr>
          <w:rFonts w:ascii="Cambria" w:cs="Cambria" w:eastAsia="Cambria" w:hAnsi="Cambria"/>
          <w:sz w:val="24"/>
          <w:szCs w:val="24"/>
        </w:rP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rPr>
          <w:rFonts w:ascii="Cambria" w:cs="Cambria" w:eastAsia="Cambria" w:hAnsi="Cambria"/>
          <w:sz w:val="24"/>
          <w:szCs w:val="24"/>
        </w:rP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w:t>
      </w:r>
      <w:r>
        <w:rPr>
          <w:rFonts w:ascii="Cambria" w:cs="Cambria" w:eastAsia="Cambria" w:hAnsi="Cambria"/>
          <w:color w:val="E6007E"/>
          <w:sz w:val="24"/>
          <w:szCs w:val="24"/>
        </w:rPr>
        <w:t xml:space="preserve">The formal decision model is expressed in Equation (61) below.</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 </w:t>
      </w:r>
      <w:r>
        <w:rPr>
          <w:rFonts w:ascii="Cambria" w:cs="Cambria" w:eastAsia="Cambria" w:hAnsi="Cambria"/>
          <w:color w:val="0000CC"/>
          <w:sz w:val="24"/>
          <w:szCs w:val="24"/>
        </w:rPr>
        <w:t xml:space="preserve">The empirical evidence comprises the 23 automated tests that exercise per-dimension failures of the decision matrix, invalid EIP-712 guardian signatures and tampered or expired proofs, the live jurisdiction-based denial and the revocation followed by refusal on Sepolia, and the independent re-verification of every recorded transaction against the chain, all of which are presented in Section 6.8.</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(61)</w:t>
      </w:r>
    </w:p>
    <w:p>
      <w:pPr>
        <w:spacing w:after="140" w:line="300"/>
        <w:jc w:val="both"/>
      </w:pPr>
      <w:r>
        <w:rPr>
          <w:rFonts w:ascii="Cambria" w:cs="Cambria" w:eastAsia="Cambria" w:hAnsi="Cambria"/>
          <w:color w:val="E6007E"/>
          <w:sz w:val="24"/>
          <w:szCs w:val="24"/>
        </w:rPr>
        <w:t xml:space="preserve">The soundness property actually validated is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of which Equations (62) and (63) give the foundational three-predicate form; and each conjunct of the five-predicate rule is exercised by a dedicated per-dimension failure test</w:t>
      </w:r>
      <w:r>
        <w:rPr>
          <w:rFonts w:ascii="Cambria" w:cs="Cambria" w:eastAsia="Cambria" w:hAnsi="Cambria"/>
          <w:color w:val="000000"/>
          <w:sz w:val="24"/>
          <w:szCs w:val="24"/>
        </w:rPr>
        <w:t xml:space="preserve">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(63)</w:t>
      </w:r>
    </w:p>
    <w:p>
      <w:pPr>
        <w:pStyle w:val="Heading3"/>
        <w:spacing w:after="160" w:before="280"/>
      </w:pPr>
      <w:r>
        <w:rPr>
          <w:rFonts w:ascii="Cambria" w:cs="Cambria" w:eastAsia="Cambria" w:hAnsi="Cambria"/>
          <w:sz w:val="24"/>
          <w:szCs w:val="24"/>
        </w:rP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rPr>
          <w:rFonts w:ascii="Cambria" w:cs="Cambria" w:eastAsia="Cambria" w:hAnsi="Cambria"/>
          <w:sz w:val="24"/>
          <w:szCs w:val="24"/>
        </w:rP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w:t>
      </w:r>
      <w:r>
        <w:rPr>
          <w:rFonts w:ascii="Cambria" w:cs="Cambria" w:eastAsia="Cambria" w:hAnsi="Cambria"/>
          <w:color w:val="E6007E"/>
          <w:sz w:val="24"/>
          <w:szCs w:val="24"/>
        </w:rPr>
        <w:t xml:space="preserve">The expected threshold property is Authorisation(C) = ACTIVATED ⇒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w:t>
      </w:r>
      <w:r>
        <w:rPr>
          <w:rFonts w:ascii="Cambria" w:cs="Cambria" w:eastAsia="Cambria" w:hAnsi="Cambria"/>
          <w:sz w:val="24"/>
          <w:szCs w:val="24"/>
        </w:rPr>
        <w:t xml:space="preserve">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rPr>
          <w:rFonts w:ascii="Cambria" w:cs="Cambria" w:eastAsia="Cambria" w:hAnsi="Cambria"/>
          <w:sz w:val="24"/>
          <w:szCs w:val="24"/>
        </w:rP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w:t>
      </w:r>
      <w:r>
        <w:rPr>
          <w:rFonts w:ascii="Cambria" w:cs="Cambria" w:eastAsia="Cambria" w:hAnsi="Cambria"/>
          <w:color w:val="E6007E"/>
          <w:sz w:val="24"/>
          <w:szCs w:val="24"/>
        </w:rPr>
        <w:t xml:space="preserve">the current stage establishes the foundational authorisation mechanisms together with their dynamic validity, and CA3 completes their formal</w:t>
      </w:r>
    </w:p>
    <w:p>
      <w:pPr>
        <w:spacing w:after="140" w:line="300"/>
        <w:jc w:val="both"/>
      </w:pPr>
      <w:r>
        <w:rPr>
          <w:rFonts w:ascii="Cambria" w:cs="Cambria" w:eastAsia="Cambria" w:hAnsi="Cambria"/>
          <w:color w:val="E6007E"/>
          <w:sz w:val="24"/>
          <w:szCs w:val="24"/>
        </w:rPr>
        <w:t xml:space="preserve">security assurance and comprehensive practical evaluation.</w:t>
      </w:r>
      <w:r>
        <w:rPr>
          <w:rFonts w:ascii="Cambria" w:cs="Cambria" w:eastAsia="Cambria" w:hAnsi="Cambria"/>
          <w:sz w:val="24"/>
          <w:szCs w:val="24"/>
        </w:rPr>
        <w:t xml:space="preserve">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E6007E"/>
          <w:sz w:val="24"/>
          <w:szCs w:val="24"/>
        </w:rPr>
        <w:t xml:space="preserve">4) Policy Compliance, 5) Temporal, Jurisdictional and Lifecycle Trust, and 6) Formal and Empirical Assurance of the complete decision.</w:t>
      </w:r>
      <w:r>
        <w:rPr>
          <w:rFonts w:ascii="Cambria" w:cs="Cambria" w:eastAsia="Cambria" w:hAnsi="Cambria"/>
          <w:sz w:val="24"/>
          <w:szCs w:val="24"/>
        </w:rPr>
        <w:t xml:space="preserve"> </w:t>
      </w:r>
      <w:r>
        <w:rPr>
          <w:rFonts w:ascii="Cambria" w:cs="Cambria" w:eastAsia="Cambria" w:hAnsi="Cambria"/>
          <w:color w:val="E6007E"/>
          <w:sz w:val="24"/>
          <w:szCs w:val="24"/>
        </w:rPr>
        <w:t xml:space="preserve">For the current stage implementation, the operational decision was originally based on the three-predicate rule of Equation (64), which the five-predicate rule of Equation (65) now supersedes in the implemented system.</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(64)</w:t>
      </w:r>
    </w:p>
    <w:p>
      <w:pPr>
        <w:spacing w:after="140" w:line="300"/>
        <w:jc w:val="both"/>
      </w:pPr>
      <w:r>
        <w:rPr>
          <w:rFonts w:ascii="Cambria" w:cs="Cambria" w:eastAsia="Cambria" w:hAnsi="Cambria"/>
          <w:color w:val="E6007E"/>
          <w:sz w:val="24"/>
          <w:szCs w:val="24"/>
        </w:rPr>
        <w:t xml:space="preserve">The extended rule, originally planned for CA3 and now enforced by the implemented system, incorporates temporal, jurisdictional and lifecycle conditions such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color w:val="000000"/>
          <w:sz w:val="24"/>
          <w:szCs w:val="24"/>
        </w:rPr>
        <w:t xml:space="preserve">The implemented system enforces the complete rule of Equation (65):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(64)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w:t>
      </w:r>
      <w:r>
        <w:rPr>
          <w:rFonts w:ascii="Cambria" w:cs="Cambria" w:eastAsia="Cambria" w:hAnsi="Cambria"/>
          <w:color w:val="E6007E"/>
          <w:sz w:val="24"/>
          <w:szCs w:val="24"/>
        </w:rPr>
        <w:t xml:space="preserve">Blockchain contributes integrity, tamper resistance, persistence, and auditability [2], [18].</w:t>
      </w:r>
      <w:r>
        <w:rPr>
          <w:rFonts w:ascii="Cambria" w:cs="Cambria" w:eastAsia="Cambria" w:hAnsi="Cambria"/>
          <w:sz w:val="24"/>
          <w:szCs w:val="24"/>
        </w:rPr>
        <w:t xml:space="preserve">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w:t>
      </w:r>
      <w:r>
        <w:rPr>
          <w:rFonts w:ascii="Cambria" w:cs="Cambria" w:eastAsia="Cambria" w:hAnsi="Cambria"/>
          <w:color w:val="E6007E"/>
          <w:sz w:val="24"/>
          <w:szCs w:val="24"/>
        </w:rPr>
        <w:t xml:space="preserve">electronic medical record (EMR) modules, the term used by the implementation for the electronic health record (EHR) components discussed in the earlier chapters, and finally revoked by the patient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(46), the identity and authority verification of Algorithm 2, the threshold-based multi-party authorisation of Algorithm 3, and the trust-predicate evaluation of Figure 8 </w:t>
      </w:r>
      <w:r>
        <w:rPr>
          <w:rFonts w:ascii="Cambria" w:cs="Cambria" w:eastAsia="Cambria" w:hAnsi="Cambria"/>
          <w:color w:val="E6007E"/>
          <w:sz w:val="24"/>
          <w:szCs w:val="24"/>
        </w:rPr>
        <w:t xml:space="preserve">are each exercised in this workflow, and the resulting activation and revocation are anchored by real transactions on the Ethereum Sepolia test network, so the conceptual model and the running system can be verified against one another</w:t>
      </w:r>
      <w:r>
        <w:rPr>
          <w:rFonts w:ascii="Cambria" w:cs="Cambria" w:eastAsia="Cambria" w:hAnsi="Cambria"/>
          <w:color w:val="000000"/>
          <w:sz w:val="24"/>
          <w:szCs w:val="24"/>
        </w:rPr>
        <w:t xml:space="preserve">.</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w:t>
      </w:r>
      <w:r>
        <w:rPr>
          <w:rFonts w:ascii="Cambria" w:cs="Cambria" w:eastAsia="Cambria" w:hAnsi="Cambria"/>
          <w:color w:val="E6007E"/>
          <w:sz w:val="24"/>
          <w:szCs w:val="24"/>
        </w:rPr>
        <w:t xml:space="preserve">decentralised identifiers (DIDs) [20] provide identity pointers</w:t>
      </w:r>
      <w:r>
        <w:rPr>
          <w:rFonts w:ascii="Cambria" w:cs="Cambria" w:eastAsia="Cambria" w:hAnsi="Cambria"/>
          <w:color w:val="000000"/>
          <w:sz w:val="24"/>
          <w:szCs w:val="24"/>
        </w:rPr>
        <w:t xml:space="preserve">,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w:t>
      </w:r>
      <w:r>
        <w:rPr>
          <w:rFonts w:ascii="Cambria" w:cs="Cambria" w:eastAsia="Cambria" w:hAnsi="Cambria"/>
          <w:color w:val="E6007E"/>
          <w:sz w:val="24"/>
          <w:szCs w:val="24"/>
        </w:rPr>
        <w:t xml:space="preserve">The contract stores the purpose only as a keccak256 hash and no medical content is written to the chain; it should be noted, however, that the plaintext purpose is passed as a parameter of the mint transaction and is therefore visible in the public transaction input, whereas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w:t>
      </w:r>
      <w:r>
        <w:rPr>
          <w:rFonts w:ascii="Cambria" w:cs="Cambria" w:eastAsia="Cambria" w:hAnsi="Cambria"/>
          <w:color w:val="E6007E"/>
          <w:sz w:val="24"/>
          <w:szCs w:val="24"/>
        </w:rPr>
        <w:t xml:space="preserve">and the evidence component E records the authorisation evidence, including whether the consent remains active or has been revoked</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(46)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w:t>
      </w:r>
      <w:r>
        <w:rPr>
          <w:rFonts w:ascii="Cambria" w:cs="Cambria" w:eastAsia="Cambria" w:hAnsi="Cambria"/>
          <w:color w:val="E6007E"/>
          <w:sz w:val="24"/>
          <w:szCs w:val="24"/>
        </w:rPr>
        <w:t xml:space="preserve">complete lifecycle (activation as token #1, granted access, refused access and final revocation), and all transaction evidence in this chapter follows it</w:t>
      </w:r>
      <w:r>
        <w:rPr>
          <w:rFonts w:ascii="Cambria" w:cs="Cambria" w:eastAsia="Cambria" w:hAnsi="Cambria"/>
          <w:color w:val="000000"/>
          <w:sz w:val="24"/>
          <w:szCs w:val="24"/>
        </w:rPr>
        <w:t xml:space="preserve">. Because a revoked consent cannot be photographed in its earlier states, the screenshots of consent creation, guardian approval and granted access were captured from a second lifecycle </w:t>
      </w:r>
      <w:r>
        <w:rPr>
          <w:rFonts w:ascii="Cambria" w:cs="Cambria" w:eastAsia="Cambria" w:hAnsi="Cambria"/>
          <w:color w:val="E6007E"/>
          <w:sz w:val="24"/>
          <w:szCs w:val="24"/>
        </w:rPr>
        <w:t xml:space="preserve">with the same configuration (the same four-module scope, the same guardians, jurisdiction, purpose and doctor), executed for a different demonstration patient</w:t>
      </w:r>
      <w:r>
        <w:rPr>
          <w:rFonts w:ascii="Cambria" w:cs="Cambria" w:eastAsia="Cambria" w:hAnsi="Cambria"/>
          <w:color w:val="000000"/>
          <w:sz w:val="24"/>
          <w:szCs w:val="24"/>
        </w:rPr>
        <w:t xml:space="preserve">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(49).</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w:t>
      </w:r>
      <w:r>
        <w:rPr>
          <w:rFonts w:ascii="Cambria" w:cs="Cambria" w:eastAsia="Cambria" w:hAnsi="Cambria"/>
          <w:color w:val="E6007E"/>
          <w:sz w:val="24"/>
          <w:szCs w:val="24"/>
        </w:rPr>
        <w:t xml:space="preserve">The guardian approval establishes the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conjunct of the logical authorisation rule that the implementation enforces at every subsequent access request:</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t>
      </w:r>
      <w:r>
        <w:rPr>
          <w:rFonts w:ascii="Cambria" w:cs="Cambria" w:eastAsia="Cambria" w:hAnsi="Cambria"/>
          <w:color w:val="E6007E"/>
          <w:sz w:val="24"/>
          <w:szCs w:val="24"/>
        </w:rPr>
        <w:t xml:space="preserve">which is the complete decision rule of Eq. (54) and Eq. (60), extending the three-predicate rule of Eq. (64) with the temporal and jurisdictional verdicts</w:t>
      </w:r>
      <w:r>
        <w:rPr>
          <w:rFonts w:ascii="Cambria" w:cs="Cambria" w:eastAsia="Cambria" w:hAnsi="Cambria"/>
          <w:color w:val="000000"/>
          <w:sz w:val="24"/>
          <w:szCs w:val="24"/>
        </w:rPr>
        <w:t xml:space="preserve">.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of Figure 8, as enforced by the implemented Consent Engine.⦆" title="Figure 28: ⦅Trust Predicate Evaluation and Authorisation Decision Flow of Figure 8,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w:t>
      </w:r>
      <w:r>
        <w:rPr>
          <w:rFonts w:ascii="Cambria" w:cs="Cambria" w:eastAsia="Cambria" w:hAnsi="Cambria"/>
          <w:color w:val="E6007E"/>
          <w:sz w:val="20"/>
          <w:szCs w:val="20"/>
        </w:rPr>
        <w:t xml:space="preserve">Trust Predicate Evaluation and Authorisation Decision Flow of Figure 8,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CC"/>
          <w:sz w:val="24"/>
          <w:szCs w:val="24"/>
        </w:rPr>
        <w:t xml:space="preserve">It should be noted that all medical records displayed in the demonstration are synthetic; no real patient data were used at any stage of the implementation or evaluation.</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w:t>
      </w:r>
      <w:r>
        <w:rPr>
          <w:rFonts w:ascii="Cambria" w:cs="Cambria" w:eastAsia="Cambria" w:hAnsi="Cambria"/>
          <w:color w:val="E6007E"/>
          <w:sz w:val="24"/>
          <w:szCs w:val="24"/>
        </w:rPr>
        <w:t xml:space="preserve">This module operationalises the revocation dimension of the evidence component E of the consent object, which requires</w:t>
      </w:r>
      <w:r>
        <w:rPr>
          <w:rFonts w:ascii="Cambria" w:cs="Cambria" w:eastAsia="Cambria" w:hAnsi="Cambria"/>
          <w:color w:val="000000"/>
          <w:sz w:val="24"/>
          <w:szCs w:val="24"/>
        </w:rPr>
        <w:t xml:space="preserve">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w:t>
      </w:r>
      <w:r>
        <w:rPr>
          <w:rFonts w:ascii="Cambria" w:cs="Cambria" w:eastAsia="Cambria" w:hAnsi="Cambria"/>
          <w:color w:val="E6007E"/>
          <w:sz w:val="24"/>
          <w:szCs w:val="24"/>
        </w:rPr>
        <w:t xml:space="preserve">the consent progresses through the controlled states PENDING_SIGNATURE, PENDING_TOKEN, NOT_STARTED, ACTIVE and REVOKED of the six-state lifecycle defined in Section 6.5, the EXPIRED state not being reached in the demonstration</w:t>
      </w:r>
      <w:r>
        <w:rPr>
          <w:rFonts w:ascii="Cambria" w:cs="Cambria" w:eastAsia="Cambria" w:hAnsi="Cambria"/>
          <w:color w:val="000000"/>
          <w:sz w:val="24"/>
          <w:szCs w:val="24"/>
        </w:rPr>
        <w:t xml:space="preserve">,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spacing w:after="140" w:line="300"/>
        <w:jc w:val="both"/>
      </w:pPr>
      <w:r>
        <w:rPr>
          <w:rFonts w:ascii="Cambria" w:cs="Cambria" w:eastAsia="Cambria" w:hAnsi="Cambria"/>
          <w:color w:val="0000CC"/>
          <w:sz w:val="24"/>
          <w:szCs w:val="24"/>
        </w:rPr>
        <w:t xml:space="preserve">It should be noted that the expiry path, in which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fails once the current time exceeds t</w:t>
      </w:r>
      <w:r>
        <w:rPr>
          <w:rFonts w:ascii="Cambria" w:cs="Cambria" w:eastAsia="Cambria" w:hAnsi="Cambria"/>
          <w:color w:val="0000CC"/>
          <w:sz w:val="24"/>
          <w:szCs w:val="24"/>
          <w:vertAlign w:val="subscript"/>
        </w:rPr>
        <w:t xml:space="preserve">e</w:t>
      </w:r>
      <w:r>
        <w:rPr>
          <w:rFonts w:ascii="Cambria" w:cs="Cambria" w:eastAsia="Cambria" w:hAnsi="Cambria"/>
          <w:color w:val="0000CC"/>
          <w:sz w:val="24"/>
          <w:szCs w:val="24"/>
        </w:rPr>
        <w:t xml:space="preserve"> and the consent enters the EXPIRED state, is exercised by the automated tests reported in Section 6.8.9 rather than by the live demonstration, because a consent with a validity window long enough to be photographed cannot be allowed to expire within the demonstration period.</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w:t>
      </w:r>
      <w:r>
        <w:rPr>
          <w:rFonts w:ascii="Cambria" w:cs="Cambria" w:eastAsia="Cambria" w:hAnsi="Cambria"/>
          <w:color w:val="E6007E"/>
          <w:sz w:val="24"/>
          <w:szCs w:val="24"/>
        </w:rPr>
        <w:t xml:space="preserve">the nine access requests comprise the six granted and refused requests recorded across the two lifecycles together with three granted requests recorded for the earlier trial consents</w:t>
      </w:r>
      <w:r>
        <w:rPr>
          <w:rFonts w:ascii="Cambria" w:cs="Cambria" w:eastAsia="Cambria" w:hAnsi="Cambria"/>
          <w:color w:val="000000"/>
          <w:sz w:val="24"/>
          <w:szCs w:val="24"/>
        </w:rPr>
        <w:t xml:space="preserve">.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w:t>
      </w:r>
      <w:r>
        <w:rPr>
          <w:rFonts w:ascii="Cambria" w:cs="Cambria" w:eastAsia="Cambria" w:hAnsi="Cambria"/>
          <w:color w:val="E6007E"/>
          <w:sz w:val="24"/>
          <w:szCs w:val="24"/>
        </w:rPr>
        <w:t xml:space="preserve">The formal component, namely proofs and model checking of the stated properties,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spacing w:after="140" w:line="300"/>
        <w:jc w:val="both"/>
      </w:pPr>
      <w:r>
        <w:rPr>
          <w:rFonts w:ascii="Cambria" w:cs="Cambria" w:eastAsia="Cambria" w:hAnsi="Cambria"/>
          <w:color w:val="0000CC"/>
          <w:sz w:val="24"/>
          <w:szCs w:val="24"/>
        </w:rPr>
        <w:t xml:space="preserve">In addition to the live demonstration, the same decision logic is exercised by a suite of 23 automated tests covering per-dimension failures of the decision matrix, rejection of invalid EIP-712 guardian signatures and tampered or expired zero-knowledge proofs. The live Sepolia evidence and the automated tests together constitute the empirical validation reported in Section 7.6.</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E6007E"/>
          <w:sz w:val="24"/>
          <w:szCs w:val="24"/>
        </w:rPr>
        <w:t xml:space="preserve">The subsystems collectively implement the principal stages of the proposed framework.</w:t>
      </w:r>
    </w:p>
    <w:p>
      <w:pPr>
        <w:spacing w:after="140" w:line="300"/>
        <w:jc w:val="both"/>
      </w:pPr>
      <w:r>
        <w:rPr>
          <w:rFonts w:ascii="Cambria" w:cs="Cambria" w:eastAsia="Cambria" w:hAnsi="Cambria"/>
          <w:color w:val="0000CC"/>
          <w:sz w:val="24"/>
          <w:szCs w:val="24"/>
        </w:rPr>
        <w:t xml:space="preserve">Table 14 summarises the correspondence between the components of the framework and the subsystems of the implementation, and it consolidates the correspondences stated at the end of each of the preceding subsections.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Authorisation Evidence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14: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CC"/>
          <w:sz w:val="24"/>
          <w:szCs w:val="24"/>
        </w:rPr>
        <w:t xml:space="preserve">In addition, this section reports functional evidence only. Transaction latency, gas cost and throughput have not been measured, and a systematic performance and overhead study is reserved for the next stage, as set out in Section 9.2.</w:t>
      </w:r>
    </w:p>
    <w:p>
      <w:pPr>
        <w:spacing w:after="140" w:line="300"/>
        <w:jc w:val="both"/>
      </w:pPr>
      <w:r>
        <w:rPr>
          <w:rFonts w:ascii="Cambria" w:cs="Cambria" w:eastAsia="Cambria" w:hAnsi="Cambria"/>
          <w:color w:val="0000CC"/>
          <w:sz w:val="24"/>
          <w:szCs w:val="24"/>
        </w:rPr>
        <w:t xml:space="preserve">It should be noted that, in the same way,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in the prototype performs identifier- and credential-format validation only; cryptographic resolution of DIDs against a registry and authentication of the requester are reserved for the next stage, as stated in Section 7.2.</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rPr>
          <w:rFonts w:ascii="Cambria" w:cs="Cambria" w:eastAsia="Cambria" w:hAnsi="Cambria"/>
          <w:sz w:val="24"/>
          <w:szCs w:val="24"/>
        </w:rPr>
        <w:t xml:space="preserve">7  Current Progress Status</w:t>
      </w:r>
    </w:p>
    <w:p>
      <w:pPr>
        <w:pStyle w:val="Heading2"/>
        <w:spacing w:after="160" w:before="280"/>
      </w:pPr>
      <w:r>
        <w:rPr>
          <w:rFonts w:ascii="Cambria" w:cs="Cambria" w:eastAsia="Cambria" w:hAnsi="Cambria"/>
          <w:sz w:val="24"/>
          <w:szCs w:val="24"/>
        </w:rP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(66)</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w:t>
      </w:r>
      <w:r>
        <w:rPr>
          <w:rFonts w:ascii="Cambria" w:cs="Cambria" w:eastAsia="Cambria" w:hAnsi="Cambria"/>
          <w:color w:val="E6007E"/>
          <w:sz w:val="24"/>
          <w:szCs w:val="24"/>
        </w:rPr>
        <w:t xml:space="preserve">The current result demonstrates that consent can be represented as an evaluable authorisation object that, unlike the objects reported in the literature [71, 37, 44, 58, 66], carries the guardian set and threshold together with the purpose, data scope, validity interval, jurisdiction and lifecycle state.</w:t>
      </w:r>
      <w:r>
        <w:rPr>
          <w:rFonts w:ascii="Cambria" w:cs="Cambria" w:eastAsia="Cambria" w:hAnsi="Cambria"/>
          <w:sz w:val="24"/>
          <w:szCs w:val="24"/>
        </w:rPr>
        <w:t xml:space="preserve"> This provides a conceptual basis for dynamic access decisions and allows subsequent authorisation conditions to be evaluated consistently.</w:t>
      </w:r>
    </w:p>
    <w:p>
      <w:pPr>
        <w:spacing w:after="140" w:line="300"/>
        <w:jc w:val="both"/>
      </w:pPr>
      <w:r>
        <w:rPr>
          <w:rFonts w:ascii="Cambria" w:cs="Cambria" w:eastAsia="Cambria" w:hAnsi="Cambria"/>
          <w:color w:val="0000CC"/>
          <w:sz w:val="24"/>
          <w:szCs w:val="24"/>
        </w:rPr>
        <w:t xml:space="preserve">Temporal information defines the validity interval [t</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 t</w:t>
      </w:r>
      <w:r>
        <w:rPr>
          <w:rFonts w:ascii="Cambria" w:cs="Cambria" w:eastAsia="Cambria" w:hAnsi="Cambria"/>
          <w:color w:val="0000CC"/>
          <w:sz w:val="24"/>
          <w:szCs w:val="24"/>
          <w:vertAlign w:val="subscript"/>
        </w:rPr>
        <w:t xml:space="preserve">e</w:t>
      </w:r>
      <w:r>
        <w:rPr>
          <w:rFonts w:ascii="Cambria" w:cs="Cambria" w:eastAsia="Cambria" w:hAnsi="Cambria"/>
          <w:color w:val="0000CC"/>
          <w:sz w:val="24"/>
          <w:szCs w:val="24"/>
        </w:rPr>
        <w:t xml:space="preserve">] within which the consent may be exercised, and the jurisdiction component records the legal territory in which access is permitted.</w:t>
      </w:r>
    </w:p>
    <w:p>
      <w:pPr>
        <w:pStyle w:val="Heading2"/>
        <w:spacing w:after="160" w:before="280"/>
      </w:pPr>
      <w:r>
        <w:rPr>
          <w:rFonts w:ascii="Cambria" w:cs="Cambria" w:eastAsia="Cambria" w:hAnsi="Cambria"/>
          <w:sz w:val="24"/>
          <w:szCs w:val="24"/>
        </w:rPr>
        <w:t xml:space="preserve">7.2  </w:t>
      </w:r>
      <w:r>
        <w:rPr>
          <w:rFonts w:ascii="Cambria" w:cs="Cambria" w:eastAsia="Cambria" w:hAnsi="Cambria"/>
          <w:color w:val="E6007E"/>
          <w:sz w:val="24"/>
          <w:szCs w:val="24"/>
        </w:rPr>
        <w:t xml:space="preserve">Progress of RO2: Decentralised Identity and Authority Trust</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(68)</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E6007E"/>
          <w:sz w:val="24"/>
          <w:szCs w:val="24"/>
        </w:rPr>
        <w:t xml:space="preserve">With respect to the multi-party authorisation of RO3, which is discussed further in Section 7.3, the approval threshold in the current prototype is fixed at N-of-N: every</w:t>
      </w:r>
      <w:r>
        <w:rPr>
          <w:rFonts w:ascii="Cambria" w:cs="Cambria" w:eastAsia="Cambria" w:hAnsi="Cambria"/>
          <w:color w:val="000000"/>
          <w:sz w:val="24"/>
          <w:szCs w:val="24"/>
        </w:rPr>
        <w:t xml:space="preserve">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rPr>
          <w:rFonts w:ascii="Cambria" w:cs="Cambria" w:eastAsia="Cambria" w:hAnsi="Cambria"/>
          <w:sz w:val="24"/>
          <w:szCs w:val="24"/>
        </w:rP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spacing w:after="140" w:line="300"/>
        <w:jc w:val="both"/>
      </w:pPr>
      <w:r>
        <w:rPr>
          <w:rFonts w:ascii="Cambria" w:cs="Cambria" w:eastAsia="Cambria" w:hAnsi="Cambria"/>
          <w:color w:val="0000CC"/>
          <w:sz w:val="24"/>
          <w:szCs w:val="24"/>
        </w:rPr>
        <w:t xml:space="preserve">It should be noted that the implemented threshold is derived from the designated guardian set as N = |G|, so the prototype currently enforces an N-of-N instantiation of Eq. (69) and has been evaluated in the 2-of-2 configuration; configurable k-of-n thresholds are reserved for the next stage.</w:t>
      </w:r>
    </w:p>
    <w:p>
      <w:pPr>
        <w:pStyle w:val="Heading2"/>
        <w:spacing w:after="160" w:before="280"/>
      </w:pPr>
      <w:r>
        <w:rPr>
          <w:rFonts w:ascii="Cambria" w:cs="Cambria" w:eastAsia="Cambria" w:hAnsi="Cambria"/>
          <w:sz w:val="24"/>
          <w:szCs w:val="24"/>
        </w:rPr>
        <w:t xml:space="preserve">7.4  </w:t>
      </w:r>
      <w:r>
        <w:rPr>
          <w:rFonts w:ascii="Cambria" w:cs="Cambria" w:eastAsia="Cambria" w:hAnsi="Cambria"/>
          <w:color w:val="E6007E"/>
          <w:sz w:val="24"/>
          <w:szCs w:val="24"/>
        </w:rPr>
        <w:t xml:space="preserve">Progress of RO4: Policy- and Context-Aware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is not a subset of the authorised scope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color w:val="E6007E"/>
          <w:sz w:val="24"/>
          <w:szCs w:val="24"/>
        </w:rPr>
        <w:t xml:space="preserve">RO4 represents the third layer of the foundational framework, beyond identity</w:t>
      </w:r>
      <w:r>
        <w:rPr>
          <w:rFonts w:ascii="Cambria" w:cs="Cambria" w:eastAsia="Cambria" w:hAnsi="Cambria"/>
          <w:sz w:val="24"/>
          <w:szCs w:val="24"/>
        </w:rPr>
        <w:t xml:space="preserve">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w:t>
      </w:r>
      <w:r>
        <w:rPr>
          <w:rFonts w:ascii="Cambria" w:cs="Cambria" w:eastAsia="Cambria" w:hAnsi="Cambria"/>
          <w:color w:val="E6007E"/>
          <w:sz w:val="24"/>
          <w:szCs w:val="24"/>
        </w:rPr>
        <w:t xml:space="preserve">the request exceeds the authorised scope,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evaluates to 0 and the request is denied with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named as the failed check; this over-scope denial is exercised by the per-dimension failure tests described in Section 6.8.9, while Section 6.8.4 shows the requested-subset rule enforced on the live system.</w:t>
      </w:r>
    </w:p>
    <w:p>
      <w:pPr>
        <w:pStyle w:val="Heading2"/>
        <w:spacing w:after="160" w:before="280"/>
      </w:pPr>
      <w:r>
        <w:rPr>
          <w:rFonts w:ascii="Cambria" w:cs="Cambria" w:eastAsia="Cambria" w:hAnsi="Cambria"/>
          <w:sz w:val="24"/>
          <w:szCs w:val="24"/>
        </w:rP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w:t>
      </w:r>
      <w:r>
        <w:rPr>
          <w:rFonts w:ascii="Cambria" w:cs="Cambria" w:eastAsia="Cambria" w:hAnsi="Cambria"/>
          <w:color w:val="E6007E"/>
          <w:sz w:val="24"/>
          <w:szCs w:val="24"/>
        </w:rPr>
        <w:t xml:space="preserve">rather than temporal enforcement itself. The temporal predicate enforced at every access request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(74)</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rPr>
          <w:rFonts w:ascii="Cambria" w:cs="Cambria" w:eastAsia="Cambria" w:hAnsi="Cambria"/>
          <w:sz w:val="24"/>
          <w:szCs w:val="24"/>
        </w:rPr>
        <w:t xml:space="preserve">7.6  </w:t>
      </w:r>
      <w:r>
        <w:rPr>
          <w:rFonts w:ascii="Cambria" w:cs="Cambria" w:eastAsia="Cambria" w:hAnsi="Cambria"/>
          <w:color w:val="E6007E"/>
          <w:sz w:val="24"/>
          <w:szCs w:val="24"/>
        </w:rPr>
        <w:t xml:space="preserve">Progress of RO6: Formal Security Assurance and Empirical Validation</w:t>
      </w:r>
    </w:p>
    <w:p>
      <w:pPr>
        <w:spacing w:after="140" w:line="300"/>
        <w:jc w:val="both"/>
      </w:pPr>
      <w:r>
        <w:rPr>
          <w:rFonts w:ascii="Cambria" w:cs="Cambria" w:eastAsia="Cambria" w:hAnsi="Cambria"/>
          <w:color w:val="E6007E"/>
          <w:sz w:val="24"/>
          <w:szCs w:val="24"/>
        </w:rPr>
        <w:t xml:space="preserve">Empirical validation now covers all five trust predicates of the decision matrix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together with on-chain revocation.</w:t>
      </w:r>
      <w:r>
        <w:rPr>
          <w:rFonts w:ascii="Cambria" w:cs="Cambria" w:eastAsia="Cambria" w:hAnsi="Cambria"/>
          <w:color w:val="000000"/>
          <w:sz w:val="24"/>
          <w:szCs w:val="24"/>
        </w:rPr>
        <w:t xml:space="preserve">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w:t>
      </w:r>
      <w:r>
        <w:rPr>
          <w:rFonts w:ascii="Cambria" w:cs="Cambria" w:eastAsia="Cambria" w:hAnsi="Cambria"/>
          <w:color w:val="E6007E"/>
          <w:sz w:val="24"/>
          <w:szCs w:val="24"/>
        </w:rPr>
        <w:t xml:space="preserve">The implemented decision rule is therefore exactly Eq. (75).</w:t>
      </w:r>
      <w:r>
        <w:rPr>
          <w:rFonts w:ascii="Cambria" w:cs="Cambria" w:eastAsia="Cambria" w:hAnsi="Cambria"/>
          <w:color w:val="000000"/>
          <w:sz w:val="24"/>
          <w:szCs w:val="24"/>
        </w:rPr>
        <w:t xml:space="preserve"> Formal security analysis and a systematic performance study remain for the next stage. </w:t>
      </w:r>
      <w:r>
        <w:rPr>
          <w:rFonts w:ascii="Cambria" w:cs="Cambria" w:eastAsia="Cambria" w:hAnsi="Cambria"/>
          <w:color w:val="0000CC"/>
          <w:sz w:val="24"/>
          <w:szCs w:val="24"/>
        </w:rPr>
        <w:t xml:space="preserve">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color w:val="E6007E"/>
          <w:sz w:val="24"/>
          <w:szCs w:val="24"/>
        </w:rPr>
        <w:t xml:space="preserve">Status: Partially Completed (scenario-based empirical validation complete; formal assurance and performance study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(u)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(C)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(C, R)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(C, t)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(C); DENY, otherwise.</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At the current stage, the experimental evidence primarily demonstrates </w:t>
      </w:r>
      <w:r>
        <w:rPr>
          <w:rFonts w:ascii="Cambria" w:cs="Cambria" w:eastAsia="Cambria" w:hAnsi="Cambria"/>
          <w:color w:val="E6007E"/>
          <w:sz w:val="24"/>
          <w:szCs w:val="24"/>
        </w:rPr>
        <w:t xml:space="preserve">the consistency between the implemented consent, identity, policy, temporal, jurisdictional and</w:t>
      </w:r>
      <w:r>
        <w:rPr>
          <w:rFonts w:ascii="Cambria" w:cs="Cambria" w:eastAsia="Cambria" w:hAnsi="Cambria"/>
          <w:sz w:val="24"/>
          <w:szCs w:val="24"/>
        </w:rPr>
        <w:t xml:space="preserve">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w:t>
      </w:r>
      <w:r>
        <w:rPr>
          <w:rFonts w:ascii="Cambria" w:cs="Cambria" w:eastAsia="Cambria" w:hAnsi="Cambria"/>
          <w:color w:val="E6007E"/>
          <w:sz w:val="24"/>
          <w:szCs w:val="24"/>
        </w:rPr>
        <w:t xml:space="preserve">have now been demonstrated empirically: jurisdiction violation and revocation followed by denial in the live Sepolia deployment, and policy violation, temporal expiration and invalid lifecycle transitions in the automated test suite.</w:t>
      </w:r>
      <w:r>
        <w:rPr>
          <w:rFonts w:ascii="Cambria" w:cs="Cambria" w:eastAsia="Cambria" w:hAnsi="Cambria"/>
          <w:color w:val="000000"/>
          <w:sz w:val="24"/>
          <w:szCs w:val="24"/>
        </w:rPr>
        <w:t xml:space="preserve">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 </w:t>
      </w:r>
      <w:r>
        <w:rPr>
          <w:rFonts w:ascii="Cambria" w:cs="Cambria" w:eastAsia="Cambria" w:hAnsi="Cambria"/>
          <w:color w:val="0000CC"/>
          <w:sz w:val="24"/>
          <w:szCs w:val="24"/>
        </w:rPr>
        <w:t xml:space="preserve">In summary, RO1 to RO4 are completed at the conceptual and prototype level, RO5 is largely completed with its temporal and revocation controls enforced and anchored on-chain, and RO6 is partially completed through its empirical component. Therefore, the next stage of the research is defined by the formal component of RO6, the performance study and the dynamic lifecycle extensions of RO5, as set out in Chapter 9.</w:t>
      </w:r>
    </w:p>
    <w:p>
      <w:pPr>
        <w:pStyle w:val="Heading1"/>
        <w:pageBreakBefore/>
        <w:spacing w:after="160" w:before="400"/>
      </w:pPr>
      <w:r>
        <w:rPr>
          <w:rFonts w:ascii="Cambria" w:cs="Cambria" w:eastAsia="Cambria" w:hAnsi="Cambria"/>
          <w:sz w:val="24"/>
          <w:szCs w:val="24"/>
        </w:rP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spacing w:after="140" w:line="300"/>
        <w:jc w:val="both"/>
      </w:pPr>
      <w:r>
        <w:rPr>
          <w:rFonts w:ascii="Cambria" w:cs="Cambria" w:eastAsia="Cambria" w:hAnsi="Cambria"/>
          <w:color w:val="0000CC"/>
          <w:sz w:val="24"/>
          <w:szCs w:val="24"/>
        </w:rPr>
        <w:t xml:space="preserve">It should be noted that no manuscript has been submitted at the time of writing. The first paper is intended for submission early in the next stage, so that it can present the consent model together with the deployed contract and its verified transaction evidence.</w:t>
      </w:r>
    </w:p>
    <w:p>
      <w:pPr>
        <w:spacing w:after="140" w:line="300"/>
        <w:jc w:val="both"/>
      </w:pPr>
      <w:r>
        <w:rPr>
          <w:rFonts w:ascii="Cambria" w:cs="Cambria" w:eastAsia="Cambria" w:hAnsi="Cambria"/>
          <w:color w:val="0000CC"/>
          <w:sz w:val="24"/>
          <w:szCs w:val="24"/>
        </w:rPr>
        <w:t xml:space="preserve">Table 15 summarises the planned research outputs, their target venues, their current status and their alignment with the research questions.</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w:t>
            </w:r>
            <w:r>
              <w:rPr>
                <w:rFonts w:ascii="Cambria" w:cs="Cambria" w:eastAsia="Cambria" w:hAnsi="Cambria"/>
                <w:b w:val="false"/>
                <w:bCs w:val="false"/>
                <w:color w:val="E6007E"/>
                <w:sz w:val="19"/>
                <w:szCs w:val="19"/>
              </w:rPr>
              <w:t xml:space="preserve">addresses RQ1 to RQ4 (Sections 6.1 to 6.4).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w:t>
            </w:r>
            <w:r>
              <w:rPr>
                <w:rFonts w:ascii="Cambria" w:cs="Cambria" w:eastAsia="Cambria" w:hAnsi="Cambria"/>
                <w:b w:val="false"/>
                <w:bCs w:val="false"/>
                <w:color w:val="E6007E"/>
                <w:sz w:val="19"/>
                <w:szCs w:val="19"/>
              </w:rPr>
              <w:t xml:space="preserve">addresses formal security assurance (Section 6.6).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rPr>
          <w:rFonts w:ascii="Cambria" w:cs="Cambria" w:eastAsia="Cambria" w:hAnsi="Cambria"/>
          <w:sz w:val="24"/>
          <w:szCs w:val="24"/>
        </w:rP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rPr>
          <w:rFonts w:ascii="Cambria" w:cs="Cambria" w:eastAsia="Cambria" w:hAnsi="Cambria"/>
          <w:sz w:val="24"/>
          <w:szCs w:val="24"/>
        </w:rP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 </w:t>
      </w:r>
      <w:r>
        <w:rPr>
          <w:rFonts w:ascii="Cambria" w:cs="Cambria" w:eastAsia="Cambria" w:hAnsi="Cambria"/>
          <w:color w:val="0000CC"/>
          <w:sz w:val="24"/>
          <w:szCs w:val="24"/>
        </w:rPr>
        <w:t xml:space="preserve">The plan for the next stage therefore follows directly from the progress status reported in Chapter 7: </w:t>
      </w:r>
      <w:r>
        <w:rPr>
          <w:rFonts w:ascii="Cambria" w:cs="Cambria" w:eastAsia="Cambria" w:hAnsi="Cambria"/>
          <w:color w:val="E6007E"/>
          <w:sz w:val="24"/>
          <w:szCs w:val="24"/>
        </w:rPr>
        <w:t xml:space="preserve">the objectives marked as completed require no further conceptual development, whereas the formal component of RO6, the systematic performance and overhead study, and the identified prototype limitations, namely the N-of-N approval rule, the server-derived guardian keys, the unauthenticated requester and the absence of cryptographic DID resolution, define the remaining work.</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rPr>
          <w:rFonts w:ascii="Cambria" w:cs="Cambria" w:eastAsia="Cambria" w:hAnsi="Cambria"/>
          <w:sz w:val="24"/>
          <w:szCs w:val="24"/>
        </w:rP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w:t>
      </w:r>
      <w:r>
        <w:rPr>
          <w:rFonts w:ascii="Cambria" w:cs="Cambria" w:eastAsia="Cambria" w:hAnsi="Cambria"/>
          <w:color w:val="E6007E"/>
          <w:sz w:val="24"/>
          <w:szCs w:val="24"/>
        </w:rPr>
        <w:t xml:space="preserve">the next stage concentrates on formal security assurance and comprehensive empirical validation, including performance measurement, together with the dynamic consent governance extensions of RO5, namely consent modification, delegation and guardian-set changes.</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w:t>
      </w:r>
      <w:r>
        <w:rPr>
          <w:rFonts w:ascii="Cambria" w:cs="Cambria" w:eastAsia="Cambria" w:hAnsi="Cambria"/>
          <w:color w:val="E6007E"/>
          <w:sz w:val="24"/>
          <w:szCs w:val="24"/>
        </w:rPr>
        <w:t xml:space="preserve">extend the research towards dynamic consent governance [13, 24], formal security assurance,</w:t>
      </w:r>
      <w:r>
        <w:rPr>
          <w:rFonts w:ascii="Cambria" w:cs="Cambria" w:eastAsia="Cambria" w:hAnsi="Cambria"/>
          <w:sz w:val="24"/>
          <w:szCs w:val="24"/>
        </w:rPr>
        <w:t xml:space="preserv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color w:val="0000CC"/>
          <w:sz w:val="24"/>
          <w:szCs w:val="24"/>
        </w:rPr>
        <w:t xml:space="preserve">The next stage activities are planned sequentially. The formal specification of the security properties will be undertaken first, since the empirical experiments are to be designed against those properties; the performance and adversarial evaluation will follow in the second half of the stage, and the lifecycle extensions and integrated evaluation will be completed last, once the formal model is stable.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16.</w:t>
      </w:r>
    </w:p>
    <w:p>
      <w:pPr>
        <w:spacing w:after="140" w:line="300"/>
        <w:jc w:val="both"/>
      </w:pPr>
      <w:r>
        <w:rPr>
          <w:rFonts w:ascii="Cambria" w:cs="Cambria" w:eastAsia="Cambria" w:hAnsi="Cambria"/>
          <w:color w:val="0000CC"/>
          <w:sz w:val="24"/>
          <w:szCs w:val="24"/>
        </w:rPr>
        <w:t xml:space="preserve">The performance study will measure the gas cost of the mint and revoke transactions, the block-confirmation latency on Sepolia, the Groth16 proof generation and verification time, and the end-to-end decision latency per access request, and will report enforcement accuracy as the proportion of adversarial requests correctly denied.</w:t>
      </w:r>
    </w:p>
    <w:p>
      <w:pPr>
        <w:spacing w:after="140" w:line="300"/>
        <w:jc w:val="both"/>
      </w:pPr>
      <w:r>
        <w:rPr>
          <w:rFonts w:ascii="Cambria" w:cs="Cambria" w:eastAsia="Cambria" w:hAnsi="Cambria"/>
          <w:color w:val="0000CC"/>
          <w:sz w:val="24"/>
          <w:szCs w:val="24"/>
        </w:rPr>
        <w:t xml:space="preserve">The formal component will state the soundness property Decision(C, R, t) = ALLOW ⇒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and the lifecycle invariant that no REVOKED or EXPIRED consent can re-enter ACTIVE, and will verify them by model checking of the state machine or by proof over the predicate definitions of Chapter 6. The evaluation criterion for this component is that every property is either verified or refuted by an explicit counterexample.</w:t>
      </w:r>
    </w:p>
    <w:p>
      <w:pPr>
        <w:keepNext/>
        <w:spacing w:after="80" w:before="160"/>
        <w:jc w:val="center"/>
      </w:pPr>
      <w:r>
        <w:rPr>
          <w:rFonts w:ascii="Cambria" w:cs="Cambria" w:eastAsia="Cambria" w:hAnsi="Cambria"/>
          <w:b/>
          <w:bCs/>
          <w:color w:val="000000"/>
          <w:sz w:val="21"/>
          <w:szCs w:val="21"/>
        </w:rPr>
        <w:t xml:space="preserve">Table 16: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Extend the implemented lifecycle mechanism to support consent modification, delegation and guardian-set changes, and formalise the state-transition model so that unauthorised transitions are excluded by construction.</w:t>
            </w:r>
            <w:r>
              <w:rPr>
                <w:rFonts w:ascii="Cambria" w:cs="Cambria" w:eastAsia="Cambria" w:hAnsi="Cambria"/>
                <w:b w:val="false"/>
                <w:bCs w:val="false"/>
                <w:sz w:val="19"/>
                <w:szCs w:val="19"/>
              </w:rPr>
              <w:t xml:space="preserve">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E6007E"/>
          <w:sz w:val="24"/>
          <w:szCs w:val="24"/>
        </w:rPr>
        <w:t xml:space="preserve">At the time of writing, the status of the activities in Table 16 is as follows.</w:t>
      </w:r>
      <w:r>
        <w:rPr>
          <w:rFonts w:ascii="Cambria" w:cs="Cambria" w:eastAsia="Cambria" w:hAnsi="Cambria"/>
          <w:color w:val="E6007E"/>
          <w:sz w:val="24"/>
          <w:szCs w:val="24"/>
        </w:rPr>
        <w:t xml:space="preserve"> The temporal and lifecycle foundation of the first activity, Consent Modification, Delegation and Lifecycle Extensions, is largely completed (on-chain notBefore and expiry fields; revoke transaction confirmed in block 11,771,307; explicit lifecycle state machine), whereas the modification, delegation and guardian-set extensions themselves have not been started.</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Comprehensive Empirical Validation is partially delivered (23 automated tests; live jurisdiction denial and revocation-then-denial on Sepolia; independent chain verification reporting ALL CHECKS PASSED), with performance and overhead measurement remaining. Formal Security Assurance and the Integrated Framework Evaluation have not been started and constitute the next stage in full.</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rPr>
          <w:rFonts w:ascii="Cambria" w:cs="Cambria" w:eastAsia="Cambria" w:hAnsi="Cambria"/>
          <w:sz w:val="24"/>
          <w:szCs w:val="24"/>
        </w:rP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(46),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 </w:t>
            </w:r>
            <w:r>
              <w:rPr>
                <w:rFonts w:ascii="Cambria" w:cs="Cambria" w:eastAsia="Cambria" w:hAnsi="Cambria"/>
                <w:b w:val="false"/>
                <w:bCs w:val="false"/>
                <w:color w:val="E6007E"/>
                <w:sz w:val="18"/>
                <w:szCs w:val="18"/>
              </w:rPr>
              <w:t xml:space="preserve">(VI itself performs identifier- and credential-format validation only; DID resolution is reserved for the next stage)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(49),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RO4 / RQ4 — Policy predicate VP, Eqs. (52)–(53), Algorithm 4</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§6.4</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Doctor subsystem: requested scope SR must be a non-empty subset of the authorised scope SC; purpose hash compared with the consent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STATE_CHECK and DATA_ACCESS events recording VP = PASS for the four-module scope of consents f050c29a and 04da25f5</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(54),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§5.1.2, §6.4,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RO5 / RQ5 — Temporal and lifecycle trust, Eqs. (58)–(59), Algorithm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RO6 / RQ6 — Empirical validation, Eq. (61), Algorithm 6 (formal component outstanding)</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17: Traceability from the formal artefacts of this report to the implemented mechanisms and their on-chain evidence.</w:t>
      </w:r>
    </w:p>
    <w:p>
      <w:pPr>
        <w:pStyle w:val="Heading1"/>
        <w:pageBreakBefore/>
        <w:spacing w:after="160" w:before="400"/>
      </w:pPr>
      <w:r>
        <w:rPr>
          <w:rFonts w:ascii="Cambria" w:cs="Cambria" w:eastAsia="Cambria" w:hAnsi="Cambria"/>
          <w:sz w:val="24"/>
          <w:szCs w:val="24"/>
        </w:rPr>
        <w:t xml:space="preserve">References</w:t>
      </w:r>
    </w:p>
    <w:p>
      <w:pPr>
        <w:spacing w:after="140" w:line="300"/>
        <w:jc w:val="both"/>
      </w:pPr>
      <w:r>
        <w:rPr>
          <w:rFonts w:ascii="Cambria" w:cs="Cambria" w:eastAsia="Cambria" w:hAnsi="Cambria"/>
          <w:sz w:val="24"/>
          <w:szCs w:val="24"/>
        </w:rPr>
        <w:t xml:space="preserve">[1] Abdullah Al Mamun, Sami Azam, and Clementine Gritti. </w:t>
      </w:r>
      <w:r>
        <w:rPr>
          <w:rFonts w:ascii="Cambria" w:cs="Cambria" w:eastAsia="Cambria" w:hAnsi="Cambria"/>
          <w:color w:val="E6007E"/>
          <w:sz w:val="24"/>
          <w:szCs w:val="24"/>
        </w:rPr>
        <w:t xml:space="preserve">Blockchain-based electronic health records management: A comprehensive review and future research direction.</w:t>
      </w:r>
      <w:r>
        <w:rPr>
          <w:rFonts w:ascii="Cambria" w:cs="Cambria" w:eastAsia="Cambria" w:hAnsi="Cambria"/>
          <w:sz w:val="24"/>
          <w:szCs w:val="24"/>
        </w:rPr>
        <w:t xml:space="preserve">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w:t>
      </w:r>
      <w:r>
        <w:rPr>
          <w:rFonts w:ascii="Cambria" w:cs="Cambria" w:eastAsia="Cambria" w:hAnsi="Cambria"/>
          <w:color w:val="E6007E"/>
          <w:sz w:val="24"/>
          <w:szCs w:val="24"/>
        </w:rPr>
        <w:t xml:space="preserve">Blockchain application in healthcare systems: A review.</w:t>
      </w:r>
      <w:r>
        <w:rPr>
          <w:rFonts w:ascii="Cambria" w:cs="Cambria" w:eastAsia="Cambria" w:hAnsi="Cambria"/>
          <w:sz w:val="24"/>
          <w:szCs w:val="24"/>
        </w:rPr>
        <w:t xml:space="preserve">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w:t>
      </w:r>
      <w:r>
        <w:rPr>
          <w:rFonts w:ascii="Cambria" w:cs="Cambria" w:eastAsia="Cambria" w:hAnsi="Cambria"/>
          <w:color w:val="E6007E"/>
          <w:sz w:val="24"/>
          <w:szCs w:val="24"/>
        </w:rPr>
        <w:t xml:space="preserve">Information privacy in healthcare: The vital role of informed consent.</w:t>
      </w:r>
      <w:r>
        <w:rPr>
          <w:rFonts w:ascii="Cambria" w:cs="Cambria" w:eastAsia="Cambria" w:hAnsi="Cambria"/>
          <w:sz w:val="24"/>
          <w:szCs w:val="24"/>
        </w:rPr>
        <w:t xml:space="preserve">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w:t>
      </w:r>
      <w:r>
        <w:rPr>
          <w:rFonts w:ascii="Cambria" w:cs="Cambria" w:eastAsia="Cambria" w:hAnsi="Cambria"/>
          <w:color w:val="E6007E"/>
          <w:sz w:val="24"/>
          <w:szCs w:val="24"/>
        </w:rPr>
        <w:t xml:space="preserve">Enhancing patient autonomy in data ownership: Privacy models and consent frameworks for healthcare.</w:t>
      </w:r>
      <w:r>
        <w:rPr>
          <w:rFonts w:ascii="Cambria" w:cs="Cambria" w:eastAsia="Cambria" w:hAnsi="Cambria"/>
          <w:sz w:val="24"/>
          <w:szCs w:val="24"/>
        </w:rPr>
        <w:t xml:space="preserv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w:t>
      </w:r>
      <w:r>
        <w:rPr>
          <w:rFonts w:ascii="Cambria" w:cs="Cambria" w:eastAsia="Cambria" w:hAnsi="Cambria"/>
          <w:color w:val="E6007E"/>
          <w:sz w:val="24"/>
          <w:szCs w:val="24"/>
        </w:rPr>
        <w:t xml:space="preserve">ACM Transactions on Management Information Systems, 13(4):1–21, 2022.</w:t>
      </w:r>
    </w:p>
    <w:p>
      <w:pPr>
        <w:spacing w:after="140" w:line="300"/>
        <w:jc w:val="both"/>
      </w:pPr>
      <w:r>
        <w:rPr>
          <w:rFonts w:ascii="Cambria" w:cs="Cambria" w:eastAsia="Cambria" w:hAnsi="Cambria"/>
          <w:sz w:val="24"/>
          <w:szCs w:val="24"/>
        </w:rPr>
        <w:t xml:space="preserve">[28] Ahmed M Tawfik, Ayman Al-Ahwal, Adly S Tag Eldien, and Hala H Zayed. </w:t>
      </w:r>
      <w:r>
        <w:rPr>
          <w:rFonts w:ascii="Cambria" w:cs="Cambria" w:eastAsia="Cambria" w:hAnsi="Cambria"/>
          <w:color w:val="E6007E"/>
          <w:sz w:val="24"/>
          <w:szCs w:val="24"/>
        </w:rPr>
        <w:t xml:space="preserve">Blockchain-based access control and privacy preservation in healthcare: A comprehensive survey.</w:t>
      </w:r>
      <w:r>
        <w:rPr>
          <w:rFonts w:ascii="Cambria" w:cs="Cambria" w:eastAsia="Cambria" w:hAnsi="Cambria"/>
          <w:sz w:val="24"/>
          <w:szCs w:val="24"/>
        </w:rPr>
        <w:t xml:space="preserve">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p>
      <w:pPr>
        <w:spacing w:after="140" w:line="300"/>
        <w:jc w:val="both"/>
      </w:pPr>
      <w:r>
        <w:rPr>
          <w:rFonts w:ascii="Cambria" w:cs="Cambria" w:eastAsia="Cambria" w:hAnsi="Cambria"/>
          <w:color w:val="0000CC"/>
          <w:sz w:val="24"/>
          <w:szCs w:val="24"/>
        </w:rPr>
        <w:t xml:space="preserve">[35] A. Abbasi, M. N. Humeidi, and Q. Wang. Nexa: Enabling Secure, Scalable, and Decentralized Management of Electronic Health Records Using Threshold Cryptography and Public Blockchains. IEEE Access, 2026. doi:10.1109/ACCESS.2026.3677499</w:t>
      </w:r>
    </w:p>
    <w:p>
      <w:pPr>
        <w:spacing w:after="140" w:line="300"/>
        <w:jc w:val="both"/>
      </w:pPr>
      <w:r>
        <w:rPr>
          <w:rFonts w:ascii="Cambria" w:cs="Cambria" w:eastAsia="Cambria" w:hAnsi="Cambria"/>
          <w:color w:val="0000CC"/>
          <w:sz w:val="24"/>
          <w:szCs w:val="24"/>
        </w:rPr>
        <w:t xml:space="preserve">[36] S. Akter and T. F. Sanam. A Blockchain Framework for Secure Healthcare Data Management Using Role-Based Access Control and Smart Contracts. 2025 International Conference on Electrical, Computer and Communication Engineering (ECCE), 2025. doi:10.1109/ECCE64574.2025.11013162</w:t>
      </w:r>
    </w:p>
    <w:p>
      <w:pPr>
        <w:spacing w:after="140" w:line="300"/>
        <w:jc w:val="both"/>
      </w:pPr>
      <w:r>
        <w:rPr>
          <w:rFonts w:ascii="Cambria" w:cs="Cambria" w:eastAsia="Cambria" w:hAnsi="Cambria"/>
          <w:color w:val="0000CC"/>
          <w:sz w:val="24"/>
          <w:szCs w:val="24"/>
        </w:rPr>
        <w:t xml:space="preserve">[37] F. Albalwy, A. Brass, and A. Davies. A Blockchain-based dynamic consent architecture to support clinical genomic data sharing (ConsentChain): Proof-of-concept study. JMIR Medical Informatics, 2021. doi:10.2196/27816</w:t>
      </w:r>
    </w:p>
    <w:p>
      <w:pPr>
        <w:spacing w:after="140" w:line="300"/>
        <w:jc w:val="both"/>
      </w:pPr>
      <w:r>
        <w:rPr>
          <w:rFonts w:ascii="Cambria" w:cs="Cambria" w:eastAsia="Cambria" w:hAnsi="Cambria"/>
          <w:color w:val="0000CC"/>
          <w:sz w:val="24"/>
          <w:szCs w:val="24"/>
        </w:rPr>
        <w:t xml:space="preserve">[38] M. Al Amin, A. Altarawneh, and I. Ray. Informed Consent as Patient Driven Policy for Clinical Diagnosis and Treatment: A Smart Contract Based Approach. Proceedings of the International Conference on Security and Cryptography, 2023. doi:10.5220/0012090600003555</w:t>
      </w:r>
    </w:p>
    <w:p>
      <w:pPr>
        <w:spacing w:after="140" w:line="300"/>
        <w:jc w:val="both"/>
      </w:pPr>
      <w:r>
        <w:rPr>
          <w:rFonts w:ascii="Cambria" w:cs="Cambria" w:eastAsia="Cambria" w:hAnsi="Cambria"/>
          <w:color w:val="0000CC"/>
          <w:sz w:val="24"/>
          <w:szCs w:val="24"/>
        </w:rPr>
        <w:t xml:space="preserve">[39] G. Bhalerao. Decentralized Cryptographic Governance for Cloud-Based Medical Record Infrastructure: A Distributed Ledger Framework for Cyber-Resilient Healthcare Data Sovereignty. 2026 2nd International Conference on Emerging and Intelligent Technologies and Systems (EITS), 2026. doi:10.1109/EITS70066.2026.11609600</w:t>
      </w:r>
    </w:p>
    <w:p>
      <w:pPr>
        <w:spacing w:after="140" w:line="300"/>
        <w:jc w:val="both"/>
      </w:pPr>
      <w:r>
        <w:rPr>
          <w:rFonts w:ascii="Cambria" w:cs="Cambria" w:eastAsia="Cambria" w:hAnsi="Cambria"/>
          <w:color w:val="0000CC"/>
          <w:sz w:val="24"/>
          <w:szCs w:val="24"/>
        </w:rPr>
        <w:t xml:space="preserve">[40] S. Cao, L. Han, G. Liu, T. Zhang, X. Zhang, and X. Yang. A Privacy Set Intersection Protocol for Medical Data Security Sharing. 2025 IEEE International Conference on Big Data (BigData), 2025. doi:10.1109/BigData66926.2025.11402158</w:t>
      </w:r>
    </w:p>
    <w:p>
      <w:pPr>
        <w:spacing w:after="140" w:line="300"/>
        <w:jc w:val="both"/>
      </w:pPr>
      <w:r>
        <w:rPr>
          <w:rFonts w:ascii="Cambria" w:cs="Cambria" w:eastAsia="Cambria" w:hAnsi="Cambria"/>
          <w:color w:val="0000CC"/>
          <w:sz w:val="24"/>
          <w:szCs w:val="24"/>
        </w:rPr>
        <w:t xml:space="preserve">[41] S. Chockalingam, S. Pirbhulal, and H. Abie. Improving Security and Privacy of Cognitive Digital Twins Through Dynamic Consent for Healthcare and Resilient Societies. Lecture Notes in Computer Science, 2026. doi:10.1007/978-3-032-12801-0_20</w:t>
      </w:r>
    </w:p>
    <w:p>
      <w:pPr>
        <w:spacing w:after="140" w:line="300"/>
        <w:jc w:val="both"/>
      </w:pPr>
      <w:r>
        <w:rPr>
          <w:rFonts w:ascii="Cambria" w:cs="Cambria" w:eastAsia="Cambria" w:hAnsi="Cambria"/>
          <w:color w:val="0000CC"/>
          <w:sz w:val="24"/>
          <w:szCs w:val="24"/>
        </w:rPr>
        <w:t xml:space="preserve">[42] </w:t>
      </w:r>
      <w:r>
        <w:rPr>
          <w:rFonts w:ascii="Cambria" w:cs="Cambria" w:eastAsia="Cambria" w:hAnsi="Cambria"/>
          <w:color w:val="E6007E"/>
          <w:sz w:val="24"/>
          <w:szCs w:val="24"/>
        </w:rPr>
        <w:t xml:space="preserve">J. A. Dhanraj, P. Dhongle, R. Tamilamuthan, M. Lakshmanan, N. Ashtankar, and S. R. Hole.</w:t>
      </w:r>
      <w:r>
        <w:rPr>
          <w:rFonts w:ascii="Cambria" w:cs="Cambria" w:eastAsia="Cambria" w:hAnsi="Cambria"/>
          <w:color w:val="0000CC"/>
          <w:sz w:val="24"/>
          <w:szCs w:val="24"/>
        </w:rPr>
        <w:t xml:space="preserve"> Blockchain-Augmented Federated Learning for Secure and Healthcare Diagnosis from Distributed Electronic Health Records. 2026 1st International Conference on Emerging Trends in Advancements and Applications of Computational Intelligence Tech, 2026. doi:10.1109/ETAACT69135.2026.11541890</w:t>
      </w:r>
    </w:p>
    <w:p>
      <w:pPr>
        <w:spacing w:after="140" w:line="300"/>
        <w:jc w:val="both"/>
      </w:pPr>
      <w:r>
        <w:rPr>
          <w:rFonts w:ascii="Cambria" w:cs="Cambria" w:eastAsia="Cambria" w:hAnsi="Cambria"/>
          <w:color w:val="0000CC"/>
          <w:sz w:val="24"/>
          <w:szCs w:val="24"/>
        </w:rPr>
        <w:t xml:space="preserve">[43] </w:t>
      </w:r>
      <w:r>
        <w:rPr>
          <w:rFonts w:ascii="Cambria" w:cs="Cambria" w:eastAsia="Cambria" w:hAnsi="Cambria"/>
          <w:color w:val="E6007E"/>
          <w:sz w:val="24"/>
          <w:szCs w:val="24"/>
        </w:rPr>
        <w:t xml:space="preserve">K. Ekholm, A. Augustinsson, J. Sundström, C. Johansen, M. Storgärds, L. Ljöstad, et al.</w:t>
      </w:r>
      <w:r>
        <w:rPr>
          <w:rFonts w:ascii="Cambria" w:cs="Cambria" w:eastAsia="Cambria" w:hAnsi="Cambria"/>
          <w:color w:val="0000CC"/>
          <w:sz w:val="24"/>
          <w:szCs w:val="24"/>
        </w:rPr>
        <w:t xml:space="preserve"> Implementing electronic informed consent in rare disease genomics. </w:t>
      </w:r>
      <w:r>
        <w:rPr>
          <w:rFonts w:ascii="Cambria" w:cs="Cambria" w:eastAsia="Cambria" w:hAnsi="Cambria"/>
          <w:color w:val="E6007E"/>
          <w:sz w:val="24"/>
          <w:szCs w:val="24"/>
        </w:rPr>
        <w:t xml:space="preserve">Scientific Reports, 2025.</w:t>
      </w:r>
      <w:r>
        <w:rPr>
          <w:rFonts w:ascii="Cambria" w:cs="Cambria" w:eastAsia="Cambria" w:hAnsi="Cambria"/>
          <w:color w:val="0000CC"/>
          <w:sz w:val="24"/>
          <w:szCs w:val="24"/>
        </w:rPr>
        <w:t xml:space="preserve"> doi:10.1038/s41598-025-32740-1</w:t>
      </w:r>
    </w:p>
    <w:p>
      <w:pPr>
        <w:spacing w:after="140" w:line="300"/>
        <w:jc w:val="both"/>
      </w:pPr>
      <w:r>
        <w:rPr>
          <w:rFonts w:ascii="Cambria" w:cs="Cambria" w:eastAsia="Cambria" w:hAnsi="Cambria"/>
          <w:color w:val="0000CC"/>
          <w:sz w:val="24"/>
          <w:szCs w:val="24"/>
        </w:rPr>
        <w:t xml:space="preserve">[44] A. U. Eneh, L. A. C. Ahakonye, J. M. Lee, and D. -S. Kim. Demo: EdgeConsent: On-Chain Attribute-Based Access Control for Data Consent Management. 2026 IEEE International Conference on Blockchain and Cryptocurrency (ICBC), 2026. doi:10.1109/ICBC67748.2026.11575534</w:t>
      </w:r>
    </w:p>
    <w:p>
      <w:pPr>
        <w:spacing w:after="140" w:line="300"/>
        <w:jc w:val="both"/>
      </w:pPr>
      <w:r>
        <w:rPr>
          <w:rFonts w:ascii="Cambria" w:cs="Cambria" w:eastAsia="Cambria" w:hAnsi="Cambria"/>
          <w:color w:val="0000CC"/>
          <w:sz w:val="24"/>
          <w:szCs w:val="24"/>
        </w:rPr>
        <w:t xml:space="preserve">[45] J. C. Ferreira, R. Correia, L. Rosário, and A. Vila. Blockchain Integration for Trust and Consent Management in MCP-Enabled FHIR Systems. 2025 IEEE International Conference on Distributed Ledger Technologies (ICDLT), 2025. doi:10.1109/ICDLT66400.2025.11466653</w:t>
      </w:r>
    </w:p>
    <w:p>
      <w:pPr>
        <w:spacing w:after="140" w:line="300"/>
        <w:jc w:val="both"/>
      </w:pPr>
      <w:r>
        <w:rPr>
          <w:rFonts w:ascii="Cambria" w:cs="Cambria" w:eastAsia="Cambria" w:hAnsi="Cambria"/>
          <w:color w:val="0000CC"/>
          <w:sz w:val="24"/>
          <w:szCs w:val="24"/>
        </w:rPr>
        <w:t xml:space="preserve">[46] D. Ghosh, A.K. Das, S. Prajapat, and B. Sikdar. Blockchain-Enabled Hybrid Quantum-Safe Attribute-Based Access Control Scheme with Attribute Revocation Strategy for Smart Healthcare System. </w:t>
      </w:r>
      <w:r>
        <w:rPr>
          <w:rFonts w:ascii="Cambria" w:cs="Cambria" w:eastAsia="Cambria" w:hAnsi="Cambria"/>
          <w:color w:val="E6007E"/>
          <w:sz w:val="24"/>
          <w:szCs w:val="24"/>
        </w:rPr>
        <w:t xml:space="preserve">Distributed Ledger Technologies: Research and Practice, 2026.</w:t>
      </w:r>
      <w:r>
        <w:rPr>
          <w:rFonts w:ascii="Cambria" w:cs="Cambria" w:eastAsia="Cambria" w:hAnsi="Cambria"/>
          <w:color w:val="0000CC"/>
          <w:sz w:val="24"/>
          <w:szCs w:val="24"/>
        </w:rPr>
        <w:t xml:space="preserve"> doi:10.1145/3827623</w:t>
      </w:r>
    </w:p>
    <w:p>
      <w:pPr>
        <w:spacing w:after="140" w:line="300"/>
        <w:jc w:val="both"/>
      </w:pPr>
      <w:r>
        <w:rPr>
          <w:rFonts w:ascii="Cambria" w:cs="Cambria" w:eastAsia="Cambria" w:hAnsi="Cambria"/>
          <w:color w:val="0000CC"/>
          <w:sz w:val="24"/>
          <w:szCs w:val="24"/>
        </w:rPr>
        <w:t xml:space="preserve">[47] </w:t>
      </w:r>
      <w:r>
        <w:rPr>
          <w:rFonts w:ascii="Cambria" w:cs="Cambria" w:eastAsia="Cambria" w:hAnsi="Cambria"/>
          <w:color w:val="E6007E"/>
          <w:sz w:val="24"/>
          <w:szCs w:val="24"/>
        </w:rPr>
        <w:t xml:space="preserve">J. Hagström, M. Hägglund, M. Holmroos, P. Lähteenmäki, and I. Hörhammer.</w:t>
      </w:r>
      <w:r>
        <w:rPr>
          <w:rFonts w:ascii="Cambria" w:cs="Cambria" w:eastAsia="Cambria" w:hAnsi="Cambria"/>
          <w:color w:val="0000CC"/>
          <w:sz w:val="24"/>
          <w:szCs w:val="24"/>
        </w:rPr>
        <w:t xml:space="preserve"> Minors’ and guardian access to and use of a national patient portal: A retrospective comparative case study of Sweden and Finland. International Journal of Medical Informatics, 2024. doi:10.1016/j.ijmedinf.2024.105465</w:t>
      </w:r>
    </w:p>
    <w:p>
      <w:pPr>
        <w:spacing w:after="140" w:line="300"/>
        <w:jc w:val="both"/>
      </w:pPr>
      <w:r>
        <w:rPr>
          <w:rFonts w:ascii="Cambria" w:cs="Cambria" w:eastAsia="Cambria" w:hAnsi="Cambria"/>
          <w:color w:val="E6007E"/>
          <w:sz w:val="24"/>
          <w:szCs w:val="24"/>
        </w:rPr>
        <w:t xml:space="preserve">[48] H. Gao, X. Wu, H. Huang, Q. Li, and Y. Xing. A Blockchain-Assisted Revocable and Efficient ABSE Scheme for Secure Medical Data Sharing. ACM Transactions on the Web, 20(1):1–29, 2026. doi:10.1145/3771992</w:t>
      </w:r>
    </w:p>
    <w:p>
      <w:pPr>
        <w:spacing w:after="140" w:line="300"/>
        <w:jc w:val="both"/>
      </w:pPr>
      <w:r>
        <w:rPr>
          <w:rFonts w:ascii="Cambria" w:cs="Cambria" w:eastAsia="Cambria" w:hAnsi="Cambria"/>
          <w:color w:val="0000CC"/>
          <w:sz w:val="24"/>
          <w:szCs w:val="24"/>
        </w:rPr>
        <w:t xml:space="preserve">[49] V. Jaiman and V. Urovi. A Consent Model for Blockchain-Based Health Data Sharing Platforms. IEEE Access, 2020. doi:10.1109/ACCESS.2020.3014565</w:t>
      </w:r>
    </w:p>
    <w:p>
      <w:pPr>
        <w:spacing w:after="140" w:line="300"/>
        <w:jc w:val="both"/>
      </w:pPr>
      <w:r>
        <w:rPr>
          <w:rFonts w:ascii="Cambria" w:cs="Cambria" w:eastAsia="Cambria" w:hAnsi="Cambria"/>
          <w:color w:val="0000CC"/>
          <w:sz w:val="24"/>
          <w:szCs w:val="24"/>
        </w:rPr>
        <w:t xml:space="preserve">[50] </w:t>
      </w:r>
      <w:r>
        <w:rPr>
          <w:rFonts w:ascii="Cambria" w:cs="Cambria" w:eastAsia="Cambria" w:hAnsi="Cambria"/>
          <w:color w:val="E6007E"/>
          <w:sz w:val="24"/>
          <w:szCs w:val="24"/>
        </w:rPr>
        <w:t xml:space="preserve">J. Zhao and Q. Su. A threshold traceable delegation authorization scheme for data sharing in healthcare. Computers &amp; Security, 139:103686, 2024.</w:t>
      </w:r>
      <w:r>
        <w:rPr>
          <w:rFonts w:ascii="Cambria" w:cs="Cambria" w:eastAsia="Cambria" w:hAnsi="Cambria"/>
          <w:color w:val="0000CC"/>
          <w:sz w:val="24"/>
          <w:szCs w:val="24"/>
        </w:rPr>
        <w:t xml:space="preserve"> doi:10.1016/j.cose.2023.103686</w:t>
      </w:r>
    </w:p>
    <w:p>
      <w:pPr>
        <w:spacing w:after="140" w:line="300"/>
        <w:jc w:val="both"/>
      </w:pPr>
      <w:r>
        <w:rPr>
          <w:rFonts w:ascii="Cambria" w:cs="Cambria" w:eastAsia="Cambria" w:hAnsi="Cambria"/>
          <w:color w:val="0000CC"/>
          <w:sz w:val="24"/>
          <w:szCs w:val="24"/>
        </w:rPr>
        <w:t xml:space="preserve">[51] H. Li, D. Li, G. Lv, N. Crespi, R. Minerva, W. Shao,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Privacy-Preserving Fine-Grained EMR Access Control for IoMT: A Hybrid RBAC-Smart Contract Scheme With Attribute-Based Authorization. IEEE Internet of Things Journal, 2026. doi:10.1109/JIOT.2025.3633504</w:t>
      </w:r>
    </w:p>
    <w:p>
      <w:pPr>
        <w:spacing w:after="140" w:line="300"/>
        <w:jc w:val="both"/>
      </w:pPr>
      <w:r>
        <w:rPr>
          <w:rFonts w:ascii="Cambria" w:cs="Cambria" w:eastAsia="Cambria" w:hAnsi="Cambria"/>
          <w:color w:val="0000CC"/>
          <w:sz w:val="24"/>
          <w:szCs w:val="24"/>
        </w:rPr>
        <w:t xml:space="preserve">[52] J. Luo, P. Zeng, and X. Wang. Bilateral Privacy-Aware Proxy Re-Encryption With Traceability and Revocation for IoMT. IEEE Internet of Things Journal, 2025. doi:10.1109/JIOT.2025.3616987</w:t>
      </w:r>
    </w:p>
    <w:p>
      <w:pPr>
        <w:spacing w:after="140" w:line="300"/>
        <w:jc w:val="both"/>
      </w:pPr>
      <w:r>
        <w:rPr>
          <w:rFonts w:ascii="Cambria" w:cs="Cambria" w:eastAsia="Cambria" w:hAnsi="Cambria"/>
          <w:color w:val="0000CC"/>
          <w:sz w:val="24"/>
          <w:szCs w:val="24"/>
        </w:rPr>
        <w:t xml:space="preserve">[53] M. M. Madine, K. Salah, R. Jayaraman, I. Yaqoob, Y. Al-Hammadi, S. Ellahham,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Fully Decentralized Multi-Party Consent Management for Secure Sharing of Patient Health Records. IEEE Access, 2020. doi:10.1109/ACCESS.2020.3045048</w:t>
      </w:r>
    </w:p>
    <w:p>
      <w:pPr>
        <w:spacing w:after="140" w:line="300"/>
        <w:jc w:val="both"/>
      </w:pPr>
      <w:r>
        <w:rPr>
          <w:rFonts w:ascii="Cambria" w:cs="Cambria" w:eastAsia="Cambria" w:hAnsi="Cambria"/>
          <w:color w:val="0000CC"/>
          <w:sz w:val="24"/>
          <w:szCs w:val="24"/>
        </w:rPr>
        <w:t xml:space="preserve">[54] V. Maruthi and K. Singh. Enhancing Security and Privacy of IoMT Data for Unconscious Patient With Blockchain. IEEE Transactions on Network and Service Management, 2025. doi:10.1109/TNSM.2025.3602117</w:t>
      </w:r>
    </w:p>
    <w:p>
      <w:pPr>
        <w:spacing w:after="140" w:line="300"/>
        <w:jc w:val="both"/>
      </w:pPr>
      <w:r>
        <w:rPr>
          <w:rFonts w:ascii="Cambria" w:cs="Cambria" w:eastAsia="Cambria" w:hAnsi="Cambria"/>
          <w:color w:val="0000CC"/>
          <w:sz w:val="24"/>
          <w:szCs w:val="24"/>
        </w:rPr>
        <w:t xml:space="preserve">[55] L. Mei, K. Huang, X. Li, H. Wang, and X. Zhang. Efficient Dual-Revocation CP-ABE for Secure and Fine-Grained Data Sharing in IoMT. IEEE Internet of Things Journal, 2026. doi:10.1109/JIOT.2026.3685269</w:t>
      </w:r>
    </w:p>
    <w:p>
      <w:pPr>
        <w:spacing w:after="140" w:line="300"/>
        <w:jc w:val="both"/>
      </w:pPr>
      <w:r>
        <w:rPr>
          <w:rFonts w:ascii="Cambria" w:cs="Cambria" w:eastAsia="Cambria" w:hAnsi="Cambria"/>
          <w:color w:val="0000CC"/>
          <w:sz w:val="24"/>
          <w:szCs w:val="24"/>
        </w:rPr>
        <w:t xml:space="preserve">[56] </w:t>
      </w:r>
      <w:r>
        <w:rPr>
          <w:rFonts w:ascii="Cambria" w:cs="Cambria" w:eastAsia="Cambria" w:hAnsi="Cambria"/>
          <w:color w:val="E6007E"/>
          <w:sz w:val="24"/>
          <w:szCs w:val="24"/>
        </w:rPr>
        <w:t xml:space="preserve">M. Zhang, F. Shao, R. Zheng, M. Liu, and Z. Ji.</w:t>
      </w:r>
      <w:r>
        <w:rPr>
          <w:rFonts w:ascii="Cambria" w:cs="Cambria" w:eastAsia="Cambria" w:hAnsi="Cambria"/>
          <w:color w:val="0000CC"/>
          <w:sz w:val="24"/>
          <w:szCs w:val="24"/>
        </w:rPr>
        <w:t xml:space="preserve"> An Efficient Encryption Scheme with Fully Hidden Access Policy for Medical Data. Electronics, 2023. doi:10.3390/electronics12132930</w:t>
      </w:r>
    </w:p>
    <w:p>
      <w:pPr>
        <w:spacing w:after="140" w:line="300"/>
        <w:jc w:val="both"/>
      </w:pPr>
      <w:r>
        <w:rPr>
          <w:rFonts w:ascii="Cambria" w:cs="Cambria" w:eastAsia="Cambria" w:hAnsi="Cambria"/>
          <w:color w:val="0000CC"/>
          <w:sz w:val="24"/>
          <w:szCs w:val="24"/>
        </w:rPr>
        <w:t xml:space="preserve">[57] D.P. Panagoulias, A.I. Damian, C. Stamate, V. Toderian, P. Butusina, A. De Franceschi,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Blockchain-Enabled Trust and Compliance for Clinical AI: Decentralized Governance Without Decentralized Data Storage. Electronics, 2026. doi:10.3390/electronics15143046</w:t>
      </w:r>
    </w:p>
    <w:p>
      <w:pPr>
        <w:spacing w:after="140" w:line="300"/>
        <w:jc w:val="both"/>
      </w:pPr>
      <w:r>
        <w:rPr>
          <w:rFonts w:ascii="Cambria" w:cs="Cambria" w:eastAsia="Cambria" w:hAnsi="Cambria"/>
          <w:color w:val="0000CC"/>
          <w:sz w:val="24"/>
          <w:szCs w:val="24"/>
        </w:rPr>
        <w:t xml:space="preserve">[58] S. Phuyal, M. Bhandari, R. Bista, and J. C. Ferreira. Enabling Cross-Institution Health Data Sharing in Norway: EUDI Wallets, On-Chain Consent, and openEHR↔FHIR Translation. IEEE Access, 2026. doi:10.1109/ACCESS.2026.3661642</w:t>
      </w:r>
    </w:p>
    <w:p>
      <w:pPr>
        <w:spacing w:after="140" w:line="300"/>
        <w:jc w:val="both"/>
      </w:pPr>
      <w:r>
        <w:rPr>
          <w:rFonts w:ascii="Cambria" w:cs="Cambria" w:eastAsia="Cambria" w:hAnsi="Cambria"/>
          <w:color w:val="0000CC"/>
          <w:sz w:val="24"/>
          <w:szCs w:val="24"/>
        </w:rPr>
        <w:t xml:space="preserve">[59] S. Phuyal, M. Bhandari, R. Bista, and J.C. Ferreira. A Blockchain-Based Architecture for Dynamic and Auditable Patient Consent in Secondary Use of Health Data. Blockchain in Healthcare Today, 2026. doi:10.30953/bhty.v9.491</w:t>
      </w:r>
    </w:p>
    <w:p>
      <w:pPr>
        <w:spacing w:after="140" w:line="300"/>
        <w:jc w:val="both"/>
      </w:pPr>
      <w:r>
        <w:rPr>
          <w:rFonts w:ascii="Cambria" w:cs="Cambria" w:eastAsia="Cambria" w:hAnsi="Cambria"/>
          <w:color w:val="0000CC"/>
          <w:sz w:val="24"/>
          <w:szCs w:val="24"/>
        </w:rPr>
        <w:t xml:space="preserve">[60] M.S. Prashanth, R. Karnati, M.S. Velpuru, and H. Venkateshwara Reddy. Enhancing Health Record Security and Privacy with Blockchain-Based Access Management. Lecture Notes of the Institute for Computer Sciences, Social-Informatics and Telecommunications Engineering, LNICST, 2024. doi:10.1007/978-3-031-66044-3_13</w:t>
      </w:r>
    </w:p>
    <w:p>
      <w:pPr>
        <w:spacing w:after="140" w:line="300"/>
        <w:jc w:val="both"/>
      </w:pPr>
      <w:r>
        <w:rPr>
          <w:rFonts w:ascii="Cambria" w:cs="Cambria" w:eastAsia="Cambria" w:hAnsi="Cambria"/>
          <w:color w:val="0000CC"/>
          <w:sz w:val="24"/>
          <w:szCs w:val="24"/>
        </w:rPr>
        <w:t xml:space="preserve">[61] A. Punia, P. Gulia, N.S. Gill, D. Kaushik, N. Alduaiji, P.K. Shukla,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An access control system for cloud-based healthcare systems driven by blockchain. Journal of Cloud Computing, 2025. doi:10.1186/s13677-025-00831-z</w:t>
      </w:r>
    </w:p>
    <w:p>
      <w:pPr>
        <w:spacing w:after="140" w:line="300"/>
        <w:jc w:val="both"/>
      </w:pPr>
      <w:r>
        <w:rPr>
          <w:rFonts w:ascii="Cambria" w:cs="Cambria" w:eastAsia="Cambria" w:hAnsi="Cambria"/>
          <w:color w:val="0000CC"/>
          <w:sz w:val="24"/>
          <w:szCs w:val="24"/>
        </w:rPr>
        <w:t xml:space="preserve">[62] J. Qiao, N. Wang, J. Fu, L. Deng, J. Wang, and J. Liu. A Lightweight CP-ABE Scheme for EHR Over Cloud Based on Blockchain and Secure Multi-Party Computation. Transactions on Emerging Telecommunications Technologies, 2025. doi:10.1002/ett.70053</w:t>
      </w:r>
    </w:p>
    <w:p>
      <w:pPr>
        <w:spacing w:after="140" w:line="300"/>
        <w:jc w:val="both"/>
      </w:pPr>
      <w:r>
        <w:rPr>
          <w:rFonts w:ascii="Cambria" w:cs="Cambria" w:eastAsia="Cambria" w:hAnsi="Cambria"/>
          <w:color w:val="0000CC"/>
          <w:sz w:val="24"/>
          <w:szCs w:val="24"/>
        </w:rPr>
        <w:t xml:space="preserve">[63] I. Román-Martínez, J. Calvillo-Arbizu, V. J. Mayor-Gallego, G. Madinabeitia-Luque, A. J. Estepa-Alonso, and R. M. Estepa-Alonso. Blockchain-Based Service-Oriented Architecture for Consent Management, Access Control, and Auditing. IEEE Access, 2023. doi:10.1109/ACCESS.2023.3242605</w:t>
      </w:r>
    </w:p>
    <w:p>
      <w:pPr>
        <w:spacing w:after="140" w:line="300"/>
        <w:jc w:val="both"/>
      </w:pPr>
      <w:r>
        <w:rPr>
          <w:rFonts w:ascii="Cambria" w:cs="Cambria" w:eastAsia="Cambria" w:hAnsi="Cambria"/>
          <w:color w:val="E6007E"/>
          <w:sz w:val="24"/>
          <w:szCs w:val="24"/>
        </w:rPr>
        <w:t xml:space="preserve">[64] Hema S., Goli Bulli Sai Reddy, and Shalini R. Patient Centric Cryptographic Protection of Cloud Electronic Health Records. 2026 6th International Conference on Expert Clouds and Applications (ICOECA), 2026. doi:10.1109/ICOECA68095.2026.11485301</w:t>
      </w:r>
    </w:p>
    <w:p>
      <w:pPr>
        <w:spacing w:after="140" w:line="300"/>
        <w:jc w:val="both"/>
      </w:pPr>
      <w:r>
        <w:rPr>
          <w:rFonts w:ascii="Cambria" w:cs="Cambria" w:eastAsia="Cambria" w:hAnsi="Cambria"/>
          <w:color w:val="0000CC"/>
          <w:sz w:val="24"/>
          <w:szCs w:val="24"/>
        </w:rPr>
        <w:t xml:space="preserve">[65] N.M. Sawant and J. Gomes. A Decentralized Solution for Smarter and Safer Healthcare Systems with FabricMedChain. Iranian Journal of Science and Technology - Transactions of Electrical Engineering, 2026. doi:10.1007/s40998-025-00994-0</w:t>
      </w:r>
    </w:p>
    <w:p>
      <w:pPr>
        <w:spacing w:after="140" w:line="300"/>
        <w:jc w:val="both"/>
      </w:pPr>
      <w:r>
        <w:rPr>
          <w:rFonts w:ascii="Cambria" w:cs="Cambria" w:eastAsia="Cambria" w:hAnsi="Cambria"/>
          <w:color w:val="0000CC"/>
          <w:sz w:val="24"/>
          <w:szCs w:val="24"/>
        </w:rPr>
        <w:t xml:space="preserve">[66] M. Shanmugham and C. Senthilkumar. Blockchain Enabled Self-Sovereign Identity and Consent Framework for Secure Healthcare Data Access. 2026 3rd International Conference on Emerging Trends in Engineering and Medical Sciences (ICETEMS), 2026. doi:10.1109/ICETEMS66917.2026.11469586</w:t>
      </w:r>
    </w:p>
    <w:p>
      <w:pPr>
        <w:spacing w:after="140" w:line="300"/>
        <w:jc w:val="both"/>
      </w:pPr>
      <w:r>
        <w:rPr>
          <w:rFonts w:ascii="Cambria" w:cs="Cambria" w:eastAsia="Cambria" w:hAnsi="Cambria"/>
          <w:color w:val="0000CC"/>
          <w:sz w:val="24"/>
          <w:szCs w:val="24"/>
        </w:rPr>
        <w:t xml:space="preserve">[67] </w:t>
      </w:r>
      <w:r>
        <w:rPr>
          <w:rFonts w:ascii="Cambria" w:cs="Cambria" w:eastAsia="Cambria" w:hAnsi="Cambria"/>
          <w:color w:val="E6007E"/>
          <w:sz w:val="24"/>
          <w:szCs w:val="24"/>
        </w:rPr>
        <w:t xml:space="preserve">S. L. Soohoo, M. S. Keller, Y. Chen, D. Hu, S.-C. Huang, T.-T. Kuo, et al.</w:t>
      </w:r>
      <w:r>
        <w:rPr>
          <w:rFonts w:ascii="Cambria" w:cs="Cambria" w:eastAsia="Cambria" w:hAnsi="Cambria"/>
          <w:color w:val="0000CC"/>
          <w:sz w:val="24"/>
          <w:szCs w:val="24"/>
        </w:rPr>
        <w:t xml:space="preserve"> Development of the authentication and authorization processes for the iAgree portal, a platform for patient-controlled data sharing across health systems. JAMIA Open, 2026. doi:10.1093/jamiaopen/ooag111</w:t>
      </w:r>
    </w:p>
    <w:p>
      <w:pPr>
        <w:spacing w:after="140" w:line="300"/>
        <w:jc w:val="both"/>
      </w:pPr>
      <w:r>
        <w:rPr>
          <w:rFonts w:ascii="Cambria" w:cs="Cambria" w:eastAsia="Cambria" w:hAnsi="Cambria"/>
          <w:color w:val="E6007E"/>
          <w:sz w:val="24"/>
          <w:szCs w:val="24"/>
        </w:rPr>
        <w:t xml:space="preserve">[68] T. A. V. Y. Ranaweera, H. N. H. Hewage, H. K. D. W. M. C. B. Hapuhinna, K. L. K. T. Preethilal, A. Senarathne, and L. Ruggahakotuwa. Ensuring Electronic Health Record (EHR) Privacy using Zero Knowledge Proofs (ZKP) and Secure Encryption Schemes on Blockchain. 2023 5th International Conference on Advancements in Computing (ICAC), 2023. doi:10.1109/ICAC60630.2023.10417417</w:t>
      </w:r>
    </w:p>
    <w:p>
      <w:pPr>
        <w:spacing w:after="140" w:line="300"/>
        <w:jc w:val="both"/>
      </w:pPr>
      <w:r>
        <w:rPr>
          <w:rFonts w:ascii="Cambria" w:cs="Cambria" w:eastAsia="Cambria" w:hAnsi="Cambria"/>
          <w:color w:val="0000CC"/>
          <w:sz w:val="24"/>
          <w:szCs w:val="24"/>
        </w:rPr>
        <w:t xml:space="preserve">[69] </w:t>
      </w:r>
      <w:r>
        <w:rPr>
          <w:rFonts w:ascii="Cambria" w:cs="Cambria" w:eastAsia="Cambria" w:hAnsi="Cambria"/>
          <w:color w:val="E6007E"/>
          <w:sz w:val="24"/>
          <w:szCs w:val="24"/>
        </w:rPr>
        <w:t xml:space="preserve">K.-L. Tan, C.-H. Chi, and K.-Y. Lam.</w:t>
      </w:r>
      <w:r>
        <w:rPr>
          <w:rFonts w:ascii="Cambria" w:cs="Cambria" w:eastAsia="Cambria" w:hAnsi="Cambria"/>
          <w:color w:val="0000CC"/>
          <w:sz w:val="24"/>
          <w:szCs w:val="24"/>
        </w:rPr>
        <w:t xml:space="preserve"> Secure and privacy-preserving sharing of personal health records with multi-party pre-authorization verification. Wireless Networks, 2024. doi:10.1007/s11276-022-03114-6</w:t>
      </w:r>
    </w:p>
    <w:p>
      <w:pPr>
        <w:spacing w:after="140" w:line="300"/>
        <w:jc w:val="both"/>
      </w:pPr>
      <w:r>
        <w:rPr>
          <w:rFonts w:ascii="Cambria" w:cs="Cambria" w:eastAsia="Cambria" w:hAnsi="Cambria"/>
          <w:color w:val="0000CC"/>
          <w:sz w:val="24"/>
          <w:szCs w:val="24"/>
        </w:rPr>
        <w:t xml:space="preserve">[70] A. Teeda and Y.V. Subba Rao. A Patient-Centric Blockchain Based Electronic Health Records for Data Privacy and Confidentiality. Lecture Notes in Networks and Systems, 2026. doi:10.1007/978-3-032-08246-6_15</w:t>
      </w:r>
    </w:p>
    <w:p>
      <w:pPr>
        <w:spacing w:after="140" w:line="300"/>
        <w:jc w:val="both"/>
      </w:pPr>
      <w:r>
        <w:rPr>
          <w:rFonts w:ascii="Cambria" w:cs="Cambria" w:eastAsia="Cambria" w:hAnsi="Cambria"/>
          <w:color w:val="0000CC"/>
          <w:sz w:val="24"/>
          <w:szCs w:val="24"/>
        </w:rPr>
        <w:t xml:space="preserve">[71] </w:t>
      </w:r>
      <w:r>
        <w:rPr>
          <w:rFonts w:ascii="Cambria" w:cs="Cambria" w:eastAsia="Cambria" w:hAnsi="Cambria"/>
          <w:color w:val="E6007E"/>
          <w:sz w:val="24"/>
          <w:szCs w:val="24"/>
        </w:rPr>
        <w:t xml:space="preserve">D. Tith, J.-S. Lee, H. Suzuki, W. M. A. B. Wijesundara, N. Taira, T. Obi, et al.</w:t>
      </w:r>
      <w:r>
        <w:rPr>
          <w:rFonts w:ascii="Cambria" w:cs="Cambria" w:eastAsia="Cambria" w:hAnsi="Cambria"/>
          <w:color w:val="0000CC"/>
          <w:sz w:val="24"/>
          <w:szCs w:val="24"/>
        </w:rPr>
        <w:t xml:space="preserve"> Patient consent management by a purpose-based consent model for electronic health record based on blockchain technology. Healthcare Informatics Research, 2020. doi:10.4258/hir.2020.26.4.265</w:t>
      </w:r>
    </w:p>
    <w:p>
      <w:pPr>
        <w:spacing w:after="140" w:line="300"/>
        <w:jc w:val="both"/>
      </w:pPr>
      <w:r>
        <w:rPr>
          <w:rFonts w:ascii="Cambria" w:cs="Cambria" w:eastAsia="Cambria" w:hAnsi="Cambria"/>
          <w:color w:val="0000CC"/>
          <w:sz w:val="24"/>
          <w:szCs w:val="24"/>
        </w:rPr>
        <w:t xml:space="preserve">[72] G. Tremper, T. Brenner, M. Ben Amor, T. Kussel, and M. Lablans. Mainzelliste: Ten years of pseudonymization, record linkage, and informed consent management. Patterns, 2026. doi:10.1016/j.patter.2025.101432</w:t>
      </w:r>
    </w:p>
    <w:p>
      <w:pPr>
        <w:spacing w:after="140" w:line="300"/>
        <w:jc w:val="both"/>
      </w:pPr>
      <w:r>
        <w:rPr>
          <w:rFonts w:ascii="Cambria" w:cs="Cambria" w:eastAsia="Cambria" w:hAnsi="Cambria"/>
          <w:color w:val="0000CC"/>
          <w:sz w:val="24"/>
          <w:szCs w:val="24"/>
        </w:rPr>
        <w:t xml:space="preserve">[73] </w:t>
      </w:r>
      <w:r>
        <w:rPr>
          <w:rFonts w:ascii="Cambria" w:cs="Cambria" w:eastAsia="Cambria" w:hAnsi="Cambria"/>
          <w:color w:val="E6007E"/>
          <w:sz w:val="24"/>
          <w:szCs w:val="24"/>
        </w:rPr>
        <w:t xml:space="preserve">C.-H. Tseng, Y.-H. Hsieh, H.-Y. Lin, and S.-M. Yuan.</w:t>
      </w:r>
      <w:r>
        <w:rPr>
          <w:rFonts w:ascii="Cambria" w:cs="Cambria" w:eastAsia="Cambria" w:hAnsi="Cambria"/>
          <w:color w:val="0000CC"/>
          <w:sz w:val="24"/>
          <w:szCs w:val="24"/>
        </w:rPr>
        <w:t xml:space="preserve"> EMR-Chain: Decentralized Electronic Medical Record Exchange System. Technologies, 2025. doi:10.3390/technologies13100446</w:t>
      </w:r>
    </w:p>
    <w:p>
      <w:pPr>
        <w:spacing w:after="140" w:line="300"/>
        <w:jc w:val="both"/>
      </w:pPr>
      <w:r>
        <w:rPr>
          <w:rFonts w:ascii="Cambria" w:cs="Cambria" w:eastAsia="Cambria" w:hAnsi="Cambria"/>
          <w:color w:val="0000CC"/>
          <w:sz w:val="24"/>
          <w:szCs w:val="24"/>
        </w:rPr>
        <w:t xml:space="preserve">[74] </w:t>
      </w:r>
      <w:r>
        <w:rPr>
          <w:rFonts w:ascii="Cambria" w:cs="Cambria" w:eastAsia="Cambria" w:hAnsi="Cambria"/>
          <w:color w:val="E6007E"/>
          <w:sz w:val="24"/>
          <w:szCs w:val="24"/>
        </w:rPr>
        <w:t xml:space="preserve">J. Wagner, H. Schneiderheinze, M. Wurlitzer, O. Köckritz, N. Dittberner, M. Bialke, et al.</w:t>
      </w:r>
      <w:r>
        <w:rPr>
          <w:rFonts w:ascii="Cambria" w:cs="Cambria" w:eastAsia="Cambria" w:hAnsi="Cambria"/>
          <w:color w:val="0000CC"/>
          <w:sz w:val="24"/>
          <w:szCs w:val="24"/>
        </w:rPr>
        <w:t xml:space="preserve"> Integration of Trusted Third Party Software into an EDC System for Data Protection - Compliant Identity Management, Consent Management and Pseudonymization in Medical Research Studies. Studies in Health Technology and Informatics, 2024. doi:10.3233/SHTI240840</w:t>
      </w:r>
    </w:p>
    <w:p>
      <w:pPr>
        <w:spacing w:after="140" w:line="300"/>
        <w:jc w:val="both"/>
      </w:pPr>
      <w:r>
        <w:rPr>
          <w:rFonts w:ascii="Cambria" w:cs="Cambria" w:eastAsia="Cambria" w:hAnsi="Cambria"/>
          <w:color w:val="0000CC"/>
          <w:sz w:val="24"/>
          <w:szCs w:val="24"/>
        </w:rPr>
        <w:t xml:space="preserve">[75] Y. Wu, C. Liu, L. Sebald, P. Nguyen, and Y. Yesha. Apply Trust Computing and Privacy Preserving Smart Contracts to Manage, Share, and Analyze Multi-site Clinical Trial Data. </w:t>
      </w:r>
      <w:r>
        <w:rPr>
          <w:rFonts w:ascii="Cambria" w:cs="Cambria" w:eastAsia="Cambria" w:hAnsi="Cambria"/>
          <w:color w:val="E6007E"/>
          <w:sz w:val="24"/>
          <w:szCs w:val="24"/>
        </w:rPr>
        <w:t xml:space="preserve">In Proceedings of the International Conference on Deep Learning, Big Data and Blockchain (DBB 2022), Lecture Notes in Networks and Systems, vol. 541, pages 3–14. Springer, 2023.</w:t>
      </w:r>
      <w:r>
        <w:rPr>
          <w:rFonts w:ascii="Cambria" w:cs="Cambria" w:eastAsia="Cambria" w:hAnsi="Cambria"/>
          <w:color w:val="0000CC"/>
          <w:sz w:val="24"/>
          <w:szCs w:val="24"/>
        </w:rPr>
        <w:t xml:space="preserve"> doi:10.1007/978-3-031-16035-6_1</w:t>
      </w:r>
    </w:p>
    <w:p>
      <w:pPr>
        <w:spacing w:after="140" w:line="300"/>
        <w:jc w:val="both"/>
      </w:pPr>
      <w:r>
        <w:rPr>
          <w:rFonts w:ascii="Cambria" w:cs="Cambria" w:eastAsia="Cambria" w:hAnsi="Cambria"/>
          <w:color w:val="0000CC"/>
          <w:sz w:val="24"/>
          <w:szCs w:val="24"/>
        </w:rPr>
        <w:t xml:space="preserve">[76] </w:t>
      </w:r>
      <w:r>
        <w:rPr>
          <w:rFonts w:ascii="Cambria" w:cs="Cambria" w:eastAsia="Cambria" w:hAnsi="Cambria"/>
          <w:color w:val="E6007E"/>
          <w:sz w:val="24"/>
          <w:szCs w:val="24"/>
        </w:rPr>
        <w:t xml:space="preserve">Z. Wu and D. Zhang. HealthDID: An efficient and authorizable multi-party privacy-preserving EMR sharing system based on DID. Computer Standards &amp; Interfaces, 93:103967, 2025.</w:t>
      </w:r>
      <w:r>
        <w:rPr>
          <w:rFonts w:ascii="Cambria" w:cs="Cambria" w:eastAsia="Cambria" w:hAnsi="Cambria"/>
          <w:color w:val="0000CC"/>
          <w:sz w:val="24"/>
          <w:szCs w:val="24"/>
        </w:rPr>
        <w:t xml:space="preserve"> doi:10.1016/j.csi.2024.103967</w:t>
      </w:r>
    </w:p>
    <w:p>
      <w:pPr>
        <w:spacing w:after="140" w:line="300"/>
        <w:jc w:val="both"/>
      </w:pPr>
      <w:r>
        <w:rPr>
          <w:rFonts w:ascii="Cambria" w:cs="Cambria" w:eastAsia="Cambria" w:hAnsi="Cambria"/>
          <w:color w:val="0000CC"/>
          <w:sz w:val="24"/>
          <w:szCs w:val="24"/>
        </w:rPr>
        <w:t xml:space="preserve">[77] G. Xu, C. Qi, W. Dong, L. Gong, S. Liu, S. Chen,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 Privacy-Preserving Medical Data Sharing Scheme Based on Blockchain. IEEE Journal of Biomedical and Health Informatics, 2023. doi:10.1109/JBHI.2022.3203577</w:t>
      </w:r>
    </w:p>
    <w:p>
      <w:pPr>
        <w:spacing w:after="140" w:line="300"/>
        <w:jc w:val="both"/>
      </w:pPr>
      <w:r>
        <w:rPr>
          <w:rFonts w:ascii="Cambria" w:cs="Cambria" w:eastAsia="Cambria" w:hAnsi="Cambria"/>
          <w:color w:val="0000CC"/>
          <w:sz w:val="24"/>
          <w:szCs w:val="24"/>
        </w:rPr>
        <w:t xml:space="preserve">[78] L. Zhang, H. Kan, and H. Huang. Patient-centered cross-enterprise document sharing and dynamic consent framework using consortium blockchain and ciphertext-policy attribute-based encryption. ACM International Conference Proceeding Series, 2022. doi:10.1145/3528416.3530228</w:t>
      </w:r>
    </w:p>
    <w:p>
      <w:pPr>
        <w:spacing w:after="140" w:line="300"/>
        <w:jc w:val="both"/>
      </w:pPr>
      <w:r>
        <w:rPr>
          <w:rFonts w:ascii="Cambria" w:cs="Cambria" w:eastAsia="Cambria" w:hAnsi="Cambria"/>
          <w:color w:val="0000CC"/>
          <w:sz w:val="24"/>
          <w:szCs w:val="24"/>
        </w:rPr>
        <w:t xml:space="preserve">[79] S. Phuyal, M. Bhandari, R. Bista, and J.C. Ferreira. HL7 FHIR consent for healthcare data sharing: challenges, opportunities and integrity implications. International Journal of Medical Informatics, 2026. doi:10.1016/j.ijmedinf.2026.106405</w:t>
      </w:r>
    </w:p>
    <w:p>
      <w:pPr>
        <w:spacing w:after="140" w:line="300"/>
        <w:jc w:val="both"/>
      </w:pPr>
      <w:r>
        <w:rPr>
          <w:rFonts w:ascii="Cambria" w:cs="Cambria" w:eastAsia="Cambria" w:hAnsi="Cambria"/>
          <w:color w:val="0000CC"/>
          <w:sz w:val="24"/>
          <w:szCs w:val="24"/>
        </w:rPr>
        <w:t xml:space="preserve">[80] </w:t>
      </w:r>
      <w:r>
        <w:rPr>
          <w:rFonts w:ascii="Cambria" w:cs="Cambria" w:eastAsia="Cambria" w:hAnsi="Cambria"/>
          <w:color w:val="E6007E"/>
          <w:sz w:val="24"/>
          <w:szCs w:val="24"/>
        </w:rPr>
        <w:t xml:space="preserve">S. Phuyal, M. Bhandari, R. Correia Bezerra, R. Bista, and J. C. Ferreira. Dynamic Consent for Secondary Use of Health Data: Challenges and Opportunities Under European Law. JMIR Medical Informatics,</w:t>
      </w:r>
      <w:r>
        <w:rPr>
          <w:rFonts w:ascii="Cambria" w:cs="Cambria" w:eastAsia="Cambria" w:hAnsi="Cambria"/>
          <w:color w:val="0000CC"/>
          <w:sz w:val="24"/>
          <w:szCs w:val="24"/>
        </w:rPr>
        <w:t xml:space="preserve"> 2026. doi:10.2196/93348</w:t>
      </w:r>
    </w:p>
    <w:p>
      <w:pPr>
        <w:spacing w:after="140" w:line="300"/>
        <w:jc w:val="both"/>
      </w:pPr>
      <w:r>
        <w:rPr>
          <w:rFonts w:ascii="Cambria" w:cs="Cambria" w:eastAsia="Cambria" w:hAnsi="Cambria"/>
          <w:color w:val="0000CC"/>
          <w:sz w:val="24"/>
          <w:szCs w:val="24"/>
        </w:rPr>
        <w:t xml:space="preserve">[81] J. Vinnakota, T. Raheem, and G. Hossain. Secure AI-Driven eConsent Platforms: Enhancing Trust, Compliance, and Participation in Clinical Research. 2026 IEEE 2nd International Conference on Secure IoT, Assured and Trusted Computing (SATC), 2026. doi:10.1109/SATC69565.2026.11542223</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653d234c264cb2d0ab9db9e87f0f9f11e93ed8.png"/><Relationship Id="rId9" Type="http://schemas.openxmlformats.org/officeDocument/2006/relationships/image" Target="media/ccd72e2e58b0dc6514d20c963b8b7becc3c295e6.png"/><Relationship Id="rId10" Type="http://schemas.openxmlformats.org/officeDocument/2006/relationships/image" Target="media/e534a290c527cb05bf4de99daf16a4b83cccc61b.png"/><Relationship Id="rId11" Type="http://schemas.openxmlformats.org/officeDocument/2006/relationships/image" Target="media/f4b6ea28e0e666686476222a6b1b89d73384aab9.png"/><Relationship Id="rId12" Type="http://schemas.openxmlformats.org/officeDocument/2006/relationships/image" Target="media/ee2ce06eb84fb3d2a932120266e3fed69179cb8c.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2026-09-29T09:32:04.480Z</dcterms:created>
  <dcterms:modified xsi:type="dcterms:W3CDTF">2026-09-29T09:32:04.480Z</dcterms:modified>
</cp:coreProperties>
</file>

<file path=docProps/custom.xml><?xml version="1.0" encoding="utf-8"?>
<Properties xmlns="http://schemas.openxmlformats.org/officeDocument/2006/custom-properties" xmlns:vt="http://schemas.openxmlformats.org/officeDocument/2006/docPropsVTypes"/>
</file>