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six quality evaluation questions,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critically evaluated based on the six quality evaluation questions, one for each key requirement of Section 2.2, as follows:</w:t>
      </w:r>
    </w:p>
    <w:p>
      <w:pPr>
        <w:spacing w:after="40"/>
      </w:pPr>
      <w:r>
        <w:rPr>
          <w:color w:val="FF0000"/>
        </w:rPr>
        <w:t>QA1: Does the study define a consent model covering identity, authority, policy, and evidence?</w:t>
      </w:r>
    </w:p>
    <w:p>
      <w:pPr>
        <w:spacing w:after="40"/>
      </w:pPr>
      <w:r>
        <w:rPr>
          <w:color w:val="FF0000"/>
        </w:rPr>
        <w:t>QA2: Does the study verify participant identities and their authorisation authority?</w:t>
      </w:r>
    </w:p>
    <w:p>
      <w:pPr>
        <w:spacing w:after="40"/>
      </w:pPr>
      <w:r>
        <w:rPr>
          <w:color w:val="FF0000"/>
        </w:rPr>
        <w:t>QA3: Does the study support consent decisions requiring approval from multiple authorised participants?</w:t>
      </w:r>
    </w:p>
    <w:p>
      <w:pPr>
        <w:spacing w:after="40"/>
      </w:pPr>
      <w:r>
        <w:rPr>
          <w:color w:val="FF0000"/>
        </w:rPr>
        <w:t>QA4: Does the study enforce purpose, data scope, and approval rules before allowing access?</w:t>
      </w:r>
    </w:p>
    <w:p>
      <w:pPr>
        <w:spacing w:after="40"/>
      </w:pPr>
      <w:r>
        <w:rPr>
          <w:color w:val="FF0000"/>
        </w:rPr>
        <w:t>QA5: Does the study manage consent validity, expiry, and revocation?</w:t>
      </w:r>
    </w:p>
    <w:p>
      <w:pPr>
        <w:spacing w:after="40"/>
      </w:pPr>
      <w:r>
        <w:rPr>
          <w:color w:val="FF0000"/>
        </w:rPr>
        <w:t>QA6: Does the study validate security and access decisions through formal analysis or implementation testing?</w:t>
      </w:r>
    </w:p>
    <w:p>
      <w:pPr/>
      <w:r>
        <w:rPr>
          <w:color w:val="FF0000"/>
        </w:rPr>
        <w:t>Each question was answered Yes or No, and any study which has at least three Yes answers to the six questions, and meets the eligibility criteria of Step 2, is included in this SLR. Of the 39 full-text studies, 25 satisfied the criteria, as shown in Table 2.3.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2.3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2.4: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2.10.</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2.10.</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2.10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2.10:</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2.10</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2.10.</w:t>
      </w:r>
    </w:p>
    <w:p>
      <w:pPr/>
      <w:r>
        <w:rPr>
          <w:color w:val="FF0000"/>
        </w:rPr>
        <w:t>As presented in Tables 2.4 to 2.10,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2.10).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2.10).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2.10),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2.10).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2026-10-22T09:10:02Z</dcterms:created>
  <dcterms:modified xsi:type="dcterms:W3CDTF">2026-10-22T09:10:02Z</dcterms:modified>
</cp:coreProperties>
</file>