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t>2.</w:t>
        <w:tab/>
      </w:r>
      <w:r>
        <w:rPr>
          <w:b/>
        </w:rPr>
        <w:t xml:space="preserve">Solidity: </w:t>
      </w:r>
      <w: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t>4.</w:t>
        <w:tab/>
      </w:r>
      <w:r>
        <w:rPr>
          <w:b/>
        </w:rPr>
        <w:t xml:space="preserve">EIP-712 and Groth16: </w:t>
      </w:r>
      <w: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t>This thesis denotes</w:t>
      </w:r>
      <w:r>
        <w:t xml:space="preserve"> that check V</w:t>
      </w:r>
      <w:r>
        <w:rPr>
          <w:vertAlign w:val="subscript"/>
        </w:rPr>
        <w:t>J</w:t>
      </w:r>
      <w:r>
        <w:t xml:space="preserve"> and treats jurisdiction as a contextual policy condition for the next stage </w:t>
      </w:r>
      <w:r>
        <w:t>(Chapter 8)</w:t>
      </w:r>
      <w:r>
        <w:t>.</w:t>
      </w:r>
    </w:p>
    <w:p>
      <w:pPr/>
      <w:r>
        <w:t>Taken together, these five conditions give the access decision of the framework, which Equation (5.1) states: a request is allowed only when every condition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VI(u) ∧ VA(C) ∧ VP(C, R) ∧ VT(C, t) ∧ VL(C).</w:t>
      </w:r>
      <w:r>
        <w:tab/>
        <w:t>(5.1)</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¬(VI ∧ VA ∧ VP ∧ VT ∧ VL) ⟹ Decision(C, R, t) = DENY.</w:t>
      </w:r>
      <w: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creation is logged; a rejected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t>5.9.3 Discussion</w:t>
      </w:r>
    </w:p>
    <w:p>
      <w:pPr/>
      <w: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2026-10-23T00:57:58Z</dcterms:created>
  <dcterms:modified xsi:type="dcterms:W3CDTF">2026-10-23T00:57:58Z</dcterms:modified>
</cp:coreProperties>
</file>