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86</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126</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129</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137</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2a: Profile of the 33 included studies: distribution by publication year and by review stream. The single 2019 study is the foundational source [31] retained outside the systematic search window; a study may contribute to more than one stream." title="Figure 2a: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2a: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2b: Correspondence between the seven review questions of Section 2.2.2 and the sections of the review in which they are addressed, ending in the research gap carried into Chapter 3." title="Figure 2b: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2b: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2c: Synthesis of the review: the five research streams provide strong but fragmented mechanisms; their lack of integration constitutes the research gap, which the proposed framework addresses by treating consent as an evaluable authorisation object." title="Figure 2c: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2c: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4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5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sation Framework" title="Figure 6: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1: RO5 workflow for temporal and consent lifecycle trust" title="Figure 11: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12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workflow for formal security assurance and empirical validation" title="Figure 12: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5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3: Compilation of ConsentSBTv3 in Remix: the compiler reports a successful compilation and the contract is selected for deployment." title="Figure 13: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4: Deployment of ConsentSBTv3 from Remix through MetaMask on the Sepolia network." title="Figure 14: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5: Remix after deployment: the contract appears under Deployed Contracts and the source verification service reports Verification Successful." title="Figure 15: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6: The deployed contract on Sepolia Etherscan, with the creator wallet, the MedicalConsent (CONSENT) token tracker and the first mint transaction." title="Figure 16: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17: The patient subsystem after consent creation: four EMR modules, two designated guardians, jurisdiction AU, and the state PENDING_SIGNATURE." title="Figure 17: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18: The guardian subsystem at the first approval: the EIP-712 signature of did:parent:A is verified and the multi-signature count is 1/2." title="Figure 18: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19: The guardian subsystem at the moment of the second approval: the EIP-712 signature is verified, the 2/2 threshold is reached, the SBT is minted in the local ledger and the Sepolia anchoring starts in the background." title="Figure 19: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0: The guardian subsystem while the mint transaction is pending: the 2/2 threshold is reached but not yet anchored, the anchoring runs in the background, and a repeated signature from the same guardian is refused." title="Figure 20: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1: The guardian subsystem revisited after the background job has completed: 'Already anchored on Sepolia - token #2'." title="Figure 21: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2: The anchoring transaction of the evaluated consent on Sepolia Etherscan: status Success, block 11,771,243, 'Mint 1 of MedicalConsent' to the pseudonymous patient address (function selector 0x1e1e7c76, mintConsentV3)." title="Figure 22: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3: The doctor subsystem with requester jurisdiction AU (the evaluated consent f050c29a, captured before its revocation): all five checks report PASS, ALLOW = PASS, and the consent state is ACTIVE." title="Figure 23: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4: Trust Predicate Evaluation and Authorisation Decision Flow, as enforced by the implemented Consent Engine." title="Figure 24: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5: The doctor subsystem after verification (the photographed lifecycle 04da25f5 introduced earlier): access granted and the authorised medical records displayed per EMR module; the Observation module's Download CSV control is visible." title="Figure 25: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6: The remaining authorised modules of the same request: the Condition and Procedure records, with the Condition module's export control visible." title="Figure 26: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27: The doctor subsystem with requester jurisdiction SA: VL reports FAIL and consequently ALLOW = FAIL, although the consent state remains ACTIVE." title="Figure 27: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28: The refused request: 'Security Exception: Access Denied by ZK-Policy. Failed checks: VL'." title="Figure 28: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29: The patient subsystem during revocation: 'Revoking on Sepolia - waiting for block confirmation…'." title="Figure 29: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0: The patient subsystem after revocation: the evaluated consent f050c29a is REVOKED with token #1 (displayed as SBT-1). The other rows are earlier trial consents." title="Figure 30: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1: The implemented consent lifecycle: every consent progresses through controlled states, and the activating and revoking transitions are anchored as verifiable Sepolia transactions." title="Figure 31: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2: The doctor subsystem after revocation: VA reports FAIL and the consent is reported as 'not active. Current state: REVOKED'." title="Figure 32: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3: The revocation transaction on Sepolia Etherscan: status Success, block 11,771,307, decoded input 'Function: revoke(uint256 tokenId)' with tokenId = 1." title="Figure 33: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4: The Consent Lifecycle reconstruction for the evaluated consent: the guardian signatures, MINT_SBT and ONCHAIN_MINT on the left, and the STATE_CHECK, DENIED, REVOKE_CONSENT and ONCHAIN_REVOKE events on the right." title="Figure 34: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5: The auditor subsystem with the evaluated consent selected: aggregate indicators and the Detailed Audit Records, in which the on-chain events carry their transaction hashes and block numbers." title="Figure 35: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6: The final verdict of the independent verification, re-executed after the second lifecycle: RESULT: ALL CHECKS PASSED." title="Figure 36: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B: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A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ee95cfbafdc45fc97602cba6ccc94f86e621b2e0.png"/><Relationship Id="rId19" Type="http://schemas.openxmlformats.org/officeDocument/2006/relationships/image" Target="media/8a0259851c9ce9543a4dd4e70fbf6ef776d64c4f.png"/><Relationship Id="rId20" Type="http://schemas.openxmlformats.org/officeDocument/2006/relationships/image" Target="media/751a1c2ff4c695ebcf2d04aee2d3822c664dbd66.png"/><Relationship Id="rId21" Type="http://schemas.openxmlformats.org/officeDocument/2006/relationships/image" Target="media/6b2eed335569e4023d73a2acfc049e4652246425.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0dab734b3591fc6e44f28d70c229863ac765dd6c.png"/><Relationship Id="rId43" Type="http://schemas.openxmlformats.org/officeDocument/2006/relationships/image" Target="media/77a7b903f3de550876bb41810cdf2d1e7c0ac7f2.png"/><Relationship Id="rId44" Type="http://schemas.openxmlformats.org/officeDocument/2006/relationships/image" Target="media/2f0f0886862a384327500130debd3ae79225e0b4.png"/><Relationship Id="rId45" Type="http://schemas.openxmlformats.org/officeDocument/2006/relationships/image" Target="media/05da8f4effe706cf5aafdd89f16572da00d8acd2.png"/><Relationship Id="rId46" Type="http://schemas.openxmlformats.org/officeDocument/2006/relationships/image" Target="media/18110f2d94411825c7d788fe5ccde19f68a450f5.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2026-09-26T02:02:29.280Z</dcterms:created>
  <dcterms:modified xsi:type="dcterms:W3CDTF">2026-09-26T02:02:29.281Z</dcterms:modified>
</cp:coreProperties>
</file>

<file path=docProps/custom.xml><?xml version="1.0" encoding="utf-8"?>
<Properties xmlns="http://schemas.openxmlformats.org/officeDocument/2006/custom-properties" xmlns:vt="http://schemas.openxmlformats.org/officeDocument/2006/docPropsVTypes"/>
</file>